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9BB36">
      <w:pPr>
        <w:widowControl/>
        <w:spacing w:line="336" w:lineRule="auto"/>
        <w:jc w:val="left"/>
        <w:rPr>
          <w:rFonts w:hint="eastAsia" w:ascii="宋体" w:hAnsi="宋体" w:eastAsia="宋体" w:cs="宋体"/>
          <w:color w:val="000000"/>
          <w:kern w:val="0"/>
          <w:lang w:eastAsia="zh-CN" w:bidi="ar"/>
        </w:rPr>
        <w:sectPr>
          <w:pgSz w:w="11906" w:h="16838"/>
          <w:pgMar w:top="1440" w:right="1800" w:bottom="1440" w:left="1800" w:header="851" w:footer="992" w:gutter="0"/>
          <w:cols w:space="720" w:num="1"/>
          <w:docGrid w:linePitch="360" w:charSpace="0"/>
        </w:sectPr>
      </w:pPr>
      <w:r>
        <w:rPr>
          <w:rFonts w:hint="eastAsia" w:ascii="宋体" w:hAnsi="宋体" w:eastAsia="宋体" w:cs="宋体"/>
          <w:color w:val="000000"/>
          <w:kern w:val="0"/>
          <w:lang w:bidi="ar"/>
        </w:rPr>
        <w:t>如有建议或意见，请以书面形式并加盖公章、注明联系人、联系方式，于202</w:t>
      </w:r>
      <w:r>
        <w:rPr>
          <w:rFonts w:hint="eastAsia" w:ascii="宋体" w:hAnsi="宋体" w:eastAsia="宋体" w:cs="宋体"/>
          <w:color w:val="000000"/>
          <w:kern w:val="0"/>
          <w:lang w:val="en-US" w:eastAsia="zh-CN" w:bidi="ar"/>
        </w:rPr>
        <w:t>6</w:t>
      </w:r>
      <w:r>
        <w:rPr>
          <w:rFonts w:hint="eastAsia" w:ascii="宋体" w:hAnsi="宋体" w:eastAsia="宋体" w:cs="宋体"/>
          <w:color w:val="000000"/>
          <w:kern w:val="0"/>
          <w:lang w:bidi="ar"/>
        </w:rPr>
        <w:t xml:space="preserve"> 年</w:t>
      </w:r>
      <w:r>
        <w:rPr>
          <w:rFonts w:hint="eastAsia" w:ascii="宋体" w:hAnsi="宋体" w:eastAsia="宋体" w:cs="宋体"/>
          <w:color w:val="000000"/>
          <w:kern w:val="0"/>
          <w:lang w:val="en-US" w:eastAsia="zh-CN" w:bidi="ar"/>
        </w:rPr>
        <w:t>01</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09</w:t>
      </w:r>
      <w:r>
        <w:rPr>
          <w:rFonts w:hint="eastAsia" w:ascii="宋体" w:hAnsi="宋体" w:eastAsia="宋体" w:cs="宋体"/>
          <w:color w:val="000000"/>
          <w:kern w:val="0"/>
          <w:lang w:bidi="ar"/>
        </w:rPr>
        <w:t>日 17:00 之前送至我单位，逾期不受理（如邮寄，202</w:t>
      </w:r>
      <w:r>
        <w:rPr>
          <w:rFonts w:hint="eastAsia" w:ascii="宋体" w:hAnsi="宋体" w:eastAsia="宋体" w:cs="宋体"/>
          <w:color w:val="000000"/>
          <w:kern w:val="0"/>
          <w:lang w:val="en-US" w:eastAsia="zh-CN" w:bidi="ar"/>
        </w:rPr>
        <w:t>6</w:t>
      </w:r>
      <w:r>
        <w:rPr>
          <w:rFonts w:hint="eastAsia" w:ascii="宋体" w:hAnsi="宋体" w:eastAsia="宋体" w:cs="宋体"/>
          <w:color w:val="000000"/>
          <w:kern w:val="0"/>
          <w:lang w:bidi="ar"/>
        </w:rPr>
        <w:t>年</w:t>
      </w:r>
      <w:r>
        <w:rPr>
          <w:rFonts w:hint="eastAsia" w:ascii="宋体" w:hAnsi="宋体" w:eastAsia="宋体" w:cs="宋体"/>
          <w:color w:val="000000"/>
          <w:kern w:val="0"/>
          <w:lang w:val="en-US" w:eastAsia="zh-CN" w:bidi="ar"/>
        </w:rPr>
        <w:t>01</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09</w:t>
      </w:r>
      <w:r>
        <w:rPr>
          <w:rFonts w:hint="eastAsia" w:ascii="宋体" w:hAnsi="宋体" w:eastAsia="宋体" w:cs="宋体"/>
          <w:color w:val="000000"/>
          <w:kern w:val="0"/>
          <w:lang w:bidi="ar"/>
        </w:rPr>
        <w:t>日 17:00 之后到达本公司的邮件将不再受理</w:t>
      </w:r>
      <w:r>
        <w:rPr>
          <w:rFonts w:hint="eastAsia" w:ascii="宋体" w:hAnsi="宋体" w:eastAsia="宋体" w:cs="宋体"/>
          <w:color w:val="000000"/>
          <w:kern w:val="0"/>
          <w:lang w:eastAsia="zh-CN" w:bidi="ar"/>
        </w:rPr>
        <w:t>）。</w:t>
      </w:r>
    </w:p>
    <w:p w14:paraId="6D268247">
      <w:pPr>
        <w:widowControl/>
        <w:spacing w:line="360" w:lineRule="auto"/>
        <w:ind w:firstLine="48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第六章  采购需求</w:t>
      </w:r>
    </w:p>
    <w:p w14:paraId="637070F7">
      <w:pPr>
        <w:spacing w:line="360" w:lineRule="auto"/>
        <w:jc w:val="center"/>
        <w:outlineLvl w:val="0"/>
        <w:rPr>
          <w:rFonts w:hint="eastAsia" w:ascii="宋体" w:hAnsi="宋体" w:eastAsia="宋体" w:cs="宋体"/>
          <w:highlight w:val="none"/>
          <w:lang w:eastAsia="zh-CN"/>
        </w:rPr>
      </w:pPr>
      <w:bookmarkStart w:id="0" w:name="_Toc316486464"/>
      <w:bookmarkStart w:id="1" w:name="_Toc331665135"/>
      <w:bookmarkStart w:id="2" w:name="_Toc339114187"/>
      <w:r>
        <w:rPr>
          <w:rFonts w:hint="eastAsia" w:ascii="宋体" w:hAnsi="宋体" w:cs="宋体"/>
          <w:b/>
          <w:bCs/>
          <w:sz w:val="32"/>
          <w:highlight w:val="none"/>
          <w:lang w:val="en-US" w:eastAsia="zh-CN"/>
        </w:rPr>
        <w:t>采购需求</w:t>
      </w:r>
    </w:p>
    <w:p w14:paraId="6681D02F">
      <w:pPr>
        <w:pBdr>
          <w:top w:val="none" w:color="000000" w:sz="0" w:space="0"/>
          <w:left w:val="none" w:color="000000" w:sz="0" w:space="0"/>
          <w:bottom w:val="none" w:color="000000" w:sz="0" w:space="0"/>
          <w:right w:val="none" w:color="000000" w:sz="0" w:space="0"/>
        </w:pBdr>
        <w:spacing w:after="0" w:line="360" w:lineRule="auto"/>
        <w:jc w:val="both"/>
        <w:rPr>
          <w:rFonts w:hint="eastAsia" w:ascii="宋体" w:hAnsi="宋体" w:eastAsia="宋体" w:cs="宋体"/>
          <w:b/>
          <w:bCs/>
          <w:sz w:val="24"/>
          <w:szCs w:val="24"/>
          <w:lang w:eastAsia="zh-CN"/>
        </w:rPr>
      </w:pPr>
      <w:r>
        <w:rPr>
          <w:rFonts w:hint="eastAsia" w:ascii="宋体" w:hAnsi="宋体" w:eastAsia="宋体" w:cs="宋体"/>
          <w:b/>
          <w:bCs/>
          <w:color w:val="000000"/>
          <w:sz w:val="24"/>
          <w:highlight w:val="none"/>
          <w:lang w:val="en-US" w:eastAsia="zh-CN"/>
        </w:rPr>
        <w:t xml:space="preserve">一  </w:t>
      </w:r>
      <w:r>
        <w:rPr>
          <w:rFonts w:hint="eastAsia" w:ascii="宋体" w:hAnsi="宋体" w:eastAsia="宋体" w:cs="宋体"/>
          <w:b/>
          <w:bCs/>
          <w:sz w:val="24"/>
          <w:szCs w:val="24"/>
          <w:lang w:eastAsia="zh-CN"/>
        </w:rPr>
        <w:t>采购项目预算金额</w:t>
      </w:r>
    </w:p>
    <w:p w14:paraId="09CC9DF4">
      <w:pPr>
        <w:spacing w:after="0" w:line="360" w:lineRule="auto"/>
        <w:ind w:firstLine="480"/>
        <w:rPr>
          <w:rFonts w:hint="eastAsia" w:ascii="宋体" w:hAnsi="宋体" w:eastAsia="宋体" w:cs="宋体"/>
          <w:kern w:val="0"/>
          <w:sz w:val="24"/>
          <w:highlight w:val="none"/>
          <w:lang w:val="en-US" w:eastAsia="zh-CN"/>
        </w:rPr>
      </w:pPr>
      <w:r>
        <w:rPr>
          <w:rFonts w:hint="eastAsia" w:ascii="宋体" w:hAnsi="宋体" w:eastAsia="宋体" w:cs="宋体"/>
          <w:sz w:val="24"/>
          <w:szCs w:val="24"/>
          <w:lang w:eastAsia="zh-CN"/>
        </w:rPr>
        <w:t>（一）本项目不接受超过</w:t>
      </w:r>
      <w:r>
        <w:rPr>
          <w:rFonts w:hint="eastAsia" w:ascii="宋体" w:hAnsi="宋体" w:eastAsia="宋体" w:cs="宋体"/>
          <w:b/>
          <w:bCs/>
          <w:sz w:val="24"/>
          <w:szCs w:val="24"/>
          <w:u w:val="single"/>
          <w:lang w:eastAsia="zh-CN"/>
        </w:rPr>
        <w:t>采购预算单价</w:t>
      </w:r>
      <w:r>
        <w:rPr>
          <w:rFonts w:hint="eastAsia" w:ascii="宋体" w:hAnsi="宋体" w:eastAsia="宋体" w:cs="宋体"/>
          <w:sz w:val="24"/>
          <w:szCs w:val="24"/>
          <w:lang w:eastAsia="zh-CN"/>
        </w:rPr>
        <w:t>的投标报价（即优惠率必须大于0）。</w:t>
      </w:r>
      <w:r>
        <w:rPr>
          <w:rFonts w:hint="eastAsia" w:ascii="宋体" w:hAnsi="宋体" w:eastAsia="宋体" w:cs="宋体"/>
          <w:b/>
          <w:bCs/>
          <w:sz w:val="24"/>
          <w:szCs w:val="24"/>
          <w:lang w:eastAsia="zh-CN"/>
        </w:rPr>
        <w:t>投标报价包括完成招标范围内的所有工作的全部费用，包括但不限于人工、材料、机械、差旅、采样、检测、编制、评审、管理、利润、规费、税金等费用。投标人应充分了解该项目的总体情况、各类市场风险以及影响投标报价的其他要素风险，服务期内结算总费用委托方委托受托方调查项目数量和中标单价来计算。</w:t>
      </w:r>
    </w:p>
    <w:p w14:paraId="60EF92D1">
      <w:pPr>
        <w:spacing w:line="360" w:lineRule="auto"/>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二  本次招标范围及预算单价</w:t>
      </w:r>
    </w:p>
    <w:p w14:paraId="15851880">
      <w:pPr>
        <w:spacing w:line="360" w:lineRule="auto"/>
        <w:ind w:firstLine="424" w:firstLineChars="177"/>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江苏省徐州市沛县2025年城区范围内出让地块地表清理项目，共计约20000平方米进行地表清理。其中包含地表垃圾清运，地下垃圾挖运，地下挖运土方深度约为1.5米，最终以实际挖运量为准。</w:t>
      </w:r>
    </w:p>
    <w:tbl>
      <w:tblPr>
        <w:tblStyle w:val="1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937"/>
        <w:gridCol w:w="1009"/>
        <w:gridCol w:w="4805"/>
      </w:tblGrid>
      <w:tr w14:paraId="3B14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3" w:type="dxa"/>
            <w:noWrap w:val="0"/>
            <w:vAlign w:val="center"/>
          </w:tcPr>
          <w:p w14:paraId="37676B86">
            <w:pPr>
              <w:ind w:left="0" w:leftChars="0" w:firstLine="0" w:firstLineChars="0"/>
              <w:jc w:val="center"/>
              <w:rPr>
                <w:rFonts w:hint="eastAsia" w:ascii="宋体" w:hAnsi="宋体" w:eastAsia="宋体" w:cs="宋体"/>
                <w:szCs w:val="21"/>
              </w:rPr>
            </w:pPr>
            <w:r>
              <w:rPr>
                <w:rFonts w:hint="eastAsia" w:ascii="宋体" w:hAnsi="宋体" w:eastAsia="宋体" w:cs="宋体"/>
                <w:szCs w:val="21"/>
              </w:rPr>
              <w:t>序号</w:t>
            </w:r>
          </w:p>
        </w:tc>
        <w:tc>
          <w:tcPr>
            <w:tcW w:w="2937" w:type="dxa"/>
            <w:noWrap w:val="0"/>
            <w:vAlign w:val="center"/>
          </w:tcPr>
          <w:p w14:paraId="40032FFE">
            <w:pPr>
              <w:ind w:left="0" w:leftChars="0" w:firstLine="0" w:firstLineChars="0"/>
              <w:jc w:val="center"/>
              <w:rPr>
                <w:rFonts w:hint="eastAsia" w:ascii="宋体" w:hAnsi="宋体" w:eastAsia="宋体" w:cs="宋体"/>
                <w:szCs w:val="21"/>
              </w:rPr>
            </w:pPr>
            <w:r>
              <w:rPr>
                <w:rFonts w:hint="eastAsia" w:ascii="宋体" w:hAnsi="宋体" w:eastAsia="宋体" w:cs="宋体"/>
                <w:szCs w:val="21"/>
              </w:rPr>
              <w:t>具体内容</w:t>
            </w:r>
          </w:p>
        </w:tc>
        <w:tc>
          <w:tcPr>
            <w:tcW w:w="1009" w:type="dxa"/>
            <w:noWrap w:val="0"/>
            <w:vAlign w:val="center"/>
          </w:tcPr>
          <w:p w14:paraId="2E0E5F96">
            <w:pPr>
              <w:ind w:left="0" w:leftChars="0" w:firstLine="0" w:firstLineChars="0"/>
              <w:jc w:val="center"/>
              <w:rPr>
                <w:rFonts w:hint="eastAsia" w:ascii="宋体" w:hAnsi="宋体" w:eastAsia="宋体" w:cs="宋体"/>
                <w:szCs w:val="21"/>
                <w:lang w:eastAsia="zh-CN"/>
              </w:rPr>
            </w:pPr>
            <w:r>
              <w:rPr>
                <w:rFonts w:hint="eastAsia" w:ascii="宋体" w:hAnsi="宋体" w:eastAsia="宋体" w:cs="宋体"/>
                <w:szCs w:val="21"/>
                <w:lang w:val="en-US" w:eastAsia="zh-CN"/>
              </w:rPr>
              <w:t>单价</w:t>
            </w:r>
          </w:p>
        </w:tc>
        <w:tc>
          <w:tcPr>
            <w:tcW w:w="4805" w:type="dxa"/>
            <w:noWrap w:val="0"/>
            <w:vAlign w:val="center"/>
          </w:tcPr>
          <w:p w14:paraId="643495AE">
            <w:pPr>
              <w:ind w:left="0" w:leftChars="0" w:firstLine="0" w:firstLineChars="0"/>
              <w:jc w:val="center"/>
              <w:rPr>
                <w:rFonts w:hint="eastAsia" w:ascii="宋体" w:hAnsi="宋体" w:eastAsia="宋体" w:cs="宋体"/>
                <w:szCs w:val="21"/>
              </w:rPr>
            </w:pPr>
            <w:r>
              <w:rPr>
                <w:rFonts w:hint="eastAsia" w:ascii="宋体" w:hAnsi="宋体" w:eastAsia="宋体" w:cs="宋体"/>
                <w:szCs w:val="21"/>
              </w:rPr>
              <w:t>备注</w:t>
            </w:r>
          </w:p>
        </w:tc>
      </w:tr>
      <w:tr w14:paraId="4D24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noWrap w:val="0"/>
            <w:vAlign w:val="center"/>
          </w:tcPr>
          <w:p w14:paraId="71C07CD5">
            <w:pPr>
              <w:ind w:left="0" w:leftChars="0"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2937" w:type="dxa"/>
            <w:noWrap w:val="0"/>
            <w:vAlign w:val="center"/>
          </w:tcPr>
          <w:p w14:paraId="294BB5C6">
            <w:pPr>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地表垃圾及地下垃圾清运</w:t>
            </w:r>
          </w:p>
        </w:tc>
        <w:tc>
          <w:tcPr>
            <w:tcW w:w="1009" w:type="dxa"/>
            <w:noWrap w:val="0"/>
            <w:vAlign w:val="center"/>
          </w:tcPr>
          <w:p w14:paraId="62DBB753">
            <w:pPr>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20元/立方米</w:t>
            </w:r>
          </w:p>
        </w:tc>
        <w:tc>
          <w:tcPr>
            <w:tcW w:w="4805" w:type="dxa"/>
            <w:noWrap w:val="0"/>
            <w:vAlign w:val="center"/>
          </w:tcPr>
          <w:p w14:paraId="65D50D0E">
            <w:pPr>
              <w:numPr>
                <w:ilvl w:val="0"/>
                <w:numId w:val="1"/>
              </w:numPr>
              <w:jc w:val="both"/>
              <w:rPr>
                <w:rFonts w:hint="eastAsia" w:ascii="宋体" w:hAnsi="宋体" w:eastAsia="宋体" w:cs="宋体"/>
              </w:rPr>
            </w:pPr>
            <w:r>
              <w:rPr>
                <w:rFonts w:hint="eastAsia" w:ascii="宋体" w:hAnsi="宋体" w:eastAsia="宋体" w:cs="宋体"/>
              </w:rPr>
              <w:t>清运数量</w:t>
            </w:r>
            <w:r>
              <w:rPr>
                <w:rFonts w:hint="eastAsia" w:ascii="宋体" w:hAnsi="宋体" w:eastAsia="宋体" w:cs="宋体"/>
                <w:lang w:val="en-US" w:eastAsia="zh-CN"/>
              </w:rPr>
              <w:t>及挖运深度</w:t>
            </w:r>
            <w:r>
              <w:rPr>
                <w:rFonts w:hint="eastAsia" w:ascii="宋体" w:hAnsi="宋体" w:eastAsia="宋体" w:cs="宋体"/>
              </w:rPr>
              <w:t>为暂定，最终根据实际处置的垃圾重量按实结算。</w:t>
            </w:r>
            <w:bookmarkStart w:id="3" w:name="_GoBack"/>
            <w:bookmarkEnd w:id="3"/>
          </w:p>
          <w:p w14:paraId="3423E421">
            <w:pPr>
              <w:numPr>
                <w:ilvl w:val="0"/>
                <w:numId w:val="1"/>
              </w:numPr>
              <w:jc w:val="both"/>
              <w:rPr>
                <w:rFonts w:hint="eastAsia" w:ascii="宋体" w:hAnsi="宋体" w:eastAsia="宋体" w:cs="宋体"/>
              </w:rPr>
            </w:pPr>
            <w:r>
              <w:rPr>
                <w:rFonts w:hint="eastAsia" w:ascii="宋体" w:hAnsi="宋体" w:eastAsia="宋体" w:cs="宋体"/>
              </w:rPr>
              <w:t>投标人自行考虑相关风险。</w:t>
            </w:r>
          </w:p>
        </w:tc>
      </w:tr>
    </w:tbl>
    <w:p w14:paraId="3C7CD96D">
      <w:pPr>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三  项目数量</w:t>
      </w:r>
    </w:p>
    <w:p w14:paraId="215795DF">
      <w:pPr>
        <w:pStyle w:val="11"/>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江苏省徐州市沛县2025年城区范围内出让地块地表清理项目；数量：1项。</w:t>
      </w:r>
    </w:p>
    <w:p w14:paraId="5BB15600">
      <w:pPr>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四  施工要求：</w:t>
      </w:r>
    </w:p>
    <w:p w14:paraId="03F051DB">
      <w:pPr>
        <w:pStyle w:val="11"/>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1）清理拉运严格执行徐州市沛县人民政府及其他职能部门的相关规定、《徐州市建筑垃圾管理条例》要求执行，清运至正规消纳地点进行倾倒或填埋,并承担处置费用和消纳费用。禁止在道路、桥梁、公共场地、公共绿地、农田、河流、湖泊、供排水设施、水利设施以及其他非指定场地倾倒清运渣土。渣土拉运后应及时对清运地点进行收尾清理，平整地面。   </w:t>
      </w:r>
    </w:p>
    <w:p w14:paraId="5A47E9C0">
      <w:pPr>
        <w:pStyle w:val="11"/>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（2）在安全文明施工问题上，必须严格按照标准规范严格执行，在此期间所发生的一切事故应由中标单位自行承担。</w:t>
      </w:r>
    </w:p>
    <w:p w14:paraId="2E87E056">
      <w:pPr>
        <w:pStyle w:val="11"/>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（3）项目实施过程中不与其他人员发生纠纷，在服务期间与其他人员产生的纠纷，均由中标单位承担全部责任。</w:t>
      </w:r>
    </w:p>
    <w:p w14:paraId="051A5043">
      <w:pPr>
        <w:pStyle w:val="11"/>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（4）中标单位在清运渣土前需按照市容执法部门的要求安装车辆冲洗设备及渣土覆盖绿网、防尘措施等。</w:t>
      </w:r>
    </w:p>
    <w:p w14:paraId="54A84781">
      <w:pPr>
        <w:pStyle w:val="11"/>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中标单位应当对渣土进行分类，不得将渣土与生活垃圾、危险废物混合处置。拉运前应设置符合相关技术规范的围蔽设施，出口道路硬化处理，设置车辆冲洗设备并有效使用，设置洗车槽和沉淀池并有效使用，采取措施避免扬尘。</w:t>
      </w:r>
    </w:p>
    <w:p w14:paraId="706FDB8A">
      <w:pPr>
        <w:pStyle w:val="11"/>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（6）服务单位应当建立健全渣土运输车辆安全管理、驾驶人培训、车辆清运规范服务制度，加强车辆维修养护，保证运输安全规范。</w:t>
      </w:r>
    </w:p>
    <w:p w14:paraId="14B80032">
      <w:pPr>
        <w:pStyle w:val="11"/>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（7）运输过程中造成道路及环境污染的，乙方应当立即清除污染。未及时清除的，由所在区、县市容环境卫生行政管理部门组织清除，清除费用由乙方承担。</w:t>
      </w:r>
    </w:p>
    <w:p w14:paraId="0FA41AD6">
      <w:pPr>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w:t>
      </w:r>
      <w:bookmarkEnd w:id="0"/>
      <w:bookmarkEnd w:id="1"/>
      <w:bookmarkEnd w:id="2"/>
      <w:r>
        <w:rPr>
          <w:rFonts w:hint="eastAsia" w:ascii="宋体" w:hAnsi="宋体" w:eastAsia="宋体" w:cs="宋体"/>
          <w:b/>
          <w:bCs/>
          <w:kern w:val="2"/>
          <w:sz w:val="24"/>
          <w:szCs w:val="24"/>
          <w:highlight w:val="none"/>
          <w:lang w:val="en-US" w:eastAsia="zh-CN" w:bidi="ar-SA"/>
        </w:rPr>
        <w:t>、垃圾处理具体要求</w:t>
      </w:r>
    </w:p>
    <w:p w14:paraId="75BCDF18">
      <w:pPr>
        <w:spacing w:line="360" w:lineRule="auto"/>
        <w:ind w:firstLine="480" w:firstLineChars="20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（1）所有清运垃圾由成交供应商自行处理，不得随意倾倒。如发现随意倾倒引发的相关责任由成交供应商承担。</w:t>
      </w:r>
    </w:p>
    <w:p w14:paraId="06762776">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在正式开展运输前，根据总体计划安排运输路线，由中标方统一办理沿途涉及城管、交警、路政的有关许可手续；组织驾驶人员集中勘察现场、运输路线等，熟悉运输起、终点及沿线环境；组织所有作业人员开展安全和文明施工教育；明确奖惩制度，并在作业过程中坚决执行。确保作业过程安全和最终质量，不污染环境，不扰民。</w:t>
      </w:r>
    </w:p>
    <w:p w14:paraId="2387B634">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在运输起、终点的出口设置高压水枪，每辆即将进入市政道路的车辆必须清洗干净，尤其轮胎必须洗净，经专人检查后放行，以免造成对沿途道路的污染。洗车位置由中标方开挖沉淀池，洗车废水经沉淀池沉淀净化后重复利用，以利于节约用水和最终排放时最大限度地减少对附近水系的影响。</w:t>
      </w:r>
    </w:p>
    <w:p w14:paraId="2A2680CB">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（4）</w:t>
      </w:r>
      <w:r>
        <w:rPr>
          <w:rFonts w:hint="eastAsia" w:ascii="宋体" w:hAnsi="宋体" w:eastAsia="宋体" w:cs="Times New Roman"/>
          <w:kern w:val="2"/>
          <w:sz w:val="24"/>
          <w:szCs w:val="24"/>
          <w:highlight w:val="none"/>
          <w:lang w:val="en-US" w:eastAsia="zh-CN" w:bidi="ar-SA"/>
        </w:rPr>
        <w:t>所有车辆严格控制装载量，以尽量减少沿途抛洒的可能性。</w:t>
      </w:r>
    </w:p>
    <w:p w14:paraId="725BE92A">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控制每次作业时间，原则上作业时间安排在6:00时至17:00时之间，并且保证每周每个小区点位至少两次清运，清运数量按吨计取；工期紧张的情况下，在环境敏感点附近作业按上述时间控制，其他地点可在夜间进行，且在夜间作业时配备足够的照明设施。</w:t>
      </w:r>
    </w:p>
    <w:p w14:paraId="1B43E5AB">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车辆进入投放点后，车辆驾驶员及安全管理人员需身着工作服，并服从现场人员的管理和指挥，确保倾倒地点准确和人员、车辆的安全。倾卸时力争倾倒干净，必要时辅以人工清洁车厢，驾驶员必须收拾好篷布或盖板，以免回程中对沿途的二次污染。</w:t>
      </w:r>
    </w:p>
    <w:p w14:paraId="768570AB">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（7）</w:t>
      </w:r>
      <w:r>
        <w:rPr>
          <w:rFonts w:hint="eastAsia" w:ascii="宋体" w:hAnsi="宋体" w:eastAsia="宋体" w:cs="Times New Roman"/>
          <w:kern w:val="2"/>
          <w:sz w:val="24"/>
          <w:szCs w:val="24"/>
          <w:highlight w:val="none"/>
          <w:lang w:val="en-US" w:eastAsia="zh-CN" w:bidi="ar-SA"/>
        </w:rPr>
        <w:t>为确保按质按量完成，中标方需贯彻执行国家安全生产、劳动保护方面的方针、政策和法规，建立健全项目安全生产保证体系，建立和实施安全生产责任制。现场应实施机械安全管理制度，计划使用的机械、机具和电气设备必须经验收，确认机械状况良好、能安全运行，才准许投入使用。所有机械操作人员都必须经培训合格后，持证上岗。机械操作人员要进行登记存档，按期复验。机械使用期间，应当指定专人负责维护、保养，保证其机械设备的完好率和使用率以及安全运作。</w:t>
      </w:r>
    </w:p>
    <w:p w14:paraId="63A3B801">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（8）</w:t>
      </w:r>
      <w:r>
        <w:rPr>
          <w:rFonts w:hint="eastAsia" w:ascii="宋体" w:hAnsi="宋体" w:eastAsia="宋体" w:cs="Times New Roman"/>
          <w:kern w:val="2"/>
          <w:sz w:val="24"/>
          <w:szCs w:val="24"/>
          <w:highlight w:val="none"/>
          <w:lang w:val="en-US" w:eastAsia="zh-CN" w:bidi="ar-SA"/>
        </w:rPr>
        <w:t>限时承诺办结制度：针对运输过程中出现的车辆抛锚、交通事故等意外情况，在限定</w:t>
      </w:r>
    </w:p>
    <w:p w14:paraId="269A490C">
      <w:pPr>
        <w:spacing w:line="360" w:lineRule="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时间内及时处理完成。</w:t>
      </w:r>
    </w:p>
    <w:p w14:paraId="7BC7E0AE">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（9）</w:t>
      </w:r>
      <w:r>
        <w:rPr>
          <w:rFonts w:hint="eastAsia" w:ascii="宋体" w:hAnsi="宋体" w:eastAsia="宋体" w:cs="Times New Roman"/>
          <w:kern w:val="2"/>
          <w:sz w:val="24"/>
          <w:szCs w:val="24"/>
          <w:highlight w:val="none"/>
          <w:lang w:val="en-US" w:eastAsia="zh-CN" w:bidi="ar-SA"/>
        </w:rPr>
        <w:t>归档资料同步制度：日常运输计量台账等材料齐全。</w:t>
      </w:r>
    </w:p>
    <w:p w14:paraId="41D09A2B">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及时做好环卫运输车辆运送进场偷倒垃圾及废弃物的计量工作并做好相关台账。</w:t>
      </w:r>
    </w:p>
    <w:p w14:paraId="0E7C68D0">
      <w:pPr>
        <w:pStyle w:val="11"/>
        <w:ind w:left="0" w:leftChars="0" w:firstLine="0" w:firstLineChars="0"/>
        <w:rPr>
          <w:rFonts w:hint="default" w:ascii="宋体" w:hAnsi="宋体" w:eastAsia="宋体" w:cs="Times New Roman"/>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六、其他要求：</w:t>
      </w:r>
      <w:r>
        <w:rPr>
          <w:rFonts w:hint="eastAsia" w:ascii="宋体" w:hAnsi="宋体" w:eastAsia="宋体" w:cs="Times New Roman"/>
          <w:kern w:val="2"/>
          <w:sz w:val="24"/>
          <w:szCs w:val="24"/>
          <w:highlight w:val="none"/>
          <w:lang w:val="en-US" w:eastAsia="zh-CN" w:bidi="ar-SA"/>
        </w:rPr>
        <w:t>详细见《招标文件》附件：《合同草案条款》。</w:t>
      </w:r>
    </w:p>
    <w:p w14:paraId="4DB9B18F">
      <w:pPr>
        <w:widowControl/>
        <w:spacing w:line="360" w:lineRule="auto"/>
        <w:ind w:firstLine="480"/>
        <w:jc w:val="left"/>
        <w:rPr>
          <w:rFonts w:hint="eastAsia" w:ascii="宋体" w:hAnsi="宋体" w:eastAsia="宋体" w:cs="宋体"/>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4" w:lineRule="auto"/>
        <w:ind w:firstLine="480"/>
      </w:pPr>
      <w:r>
        <w:separator/>
      </w:r>
    </w:p>
  </w:footnote>
  <w:footnote w:type="continuationSeparator" w:id="1">
    <w:p>
      <w:pPr>
        <w:spacing w:line="274"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537B"/>
    <w:multiLevelType w:val="multilevel"/>
    <w:tmpl w:val="2A8F537B"/>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8794A"/>
    <w:rsid w:val="0FA75B98"/>
    <w:rsid w:val="14544FB7"/>
    <w:rsid w:val="1FFA2FA7"/>
    <w:rsid w:val="20284750"/>
    <w:rsid w:val="23B67525"/>
    <w:rsid w:val="26613C06"/>
    <w:rsid w:val="35507E89"/>
    <w:rsid w:val="572E5B4C"/>
    <w:rsid w:val="60D14B46"/>
    <w:rsid w:val="6F6E6A9A"/>
    <w:rsid w:val="70C51923"/>
    <w:rsid w:val="72101451"/>
    <w:rsid w:val="753D2245"/>
    <w:rsid w:val="7AED3ED0"/>
    <w:rsid w:val="7CBF2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4" w:lineRule="auto"/>
      <w:ind w:firstLine="200" w:firstLineChars="200"/>
      <w:jc w:val="both"/>
    </w:pPr>
    <w:rPr>
      <w:rFonts w:ascii="仿宋_GB2312" w:hAnsi="Calibri" w:eastAsia="仿宋_GB2312" w:cs="Times New Roman"/>
      <w:kern w:val="2"/>
      <w:sz w:val="24"/>
      <w:szCs w:val="24"/>
      <w:lang w:val="en-US" w:eastAsia="zh-CN" w:bidi="ar-SA"/>
    </w:rPr>
  </w:style>
  <w:style w:type="paragraph" w:styleId="2">
    <w:name w:val="heading 1"/>
    <w:basedOn w:val="1"/>
    <w:next w:val="1"/>
    <w:qFormat/>
    <w:uiPriority w:val="9"/>
    <w:pPr>
      <w:keepNext/>
      <w:keepLines/>
      <w:widowControl/>
      <w:spacing w:before="120" w:after="120" w:line="360" w:lineRule="auto"/>
      <w:jc w:val="center"/>
      <w:outlineLvl w:val="0"/>
    </w:pPr>
    <w:rPr>
      <w:rFonts w:cs="Arial"/>
      <w:b/>
      <w:kern w:val="0"/>
      <w:sz w:val="32"/>
      <w:szCs w:val="40"/>
      <w:lang w:eastAsia="en-US"/>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widowControl/>
      <w:ind w:firstLine="420"/>
      <w:jc w:val="left"/>
    </w:pPr>
    <w:rPr>
      <w:sz w:val="20"/>
    </w:rPr>
  </w:style>
  <w:style w:type="paragraph" w:styleId="4">
    <w:name w:val="Body Text"/>
    <w:basedOn w:val="1"/>
    <w:next w:val="1"/>
    <w:qFormat/>
    <w:uiPriority w:val="1"/>
    <w:pPr>
      <w:widowControl w:val="0"/>
      <w:spacing w:after="0" w:line="240" w:lineRule="auto"/>
    </w:pPr>
    <w:rPr>
      <w:rFonts w:ascii="仿宋" w:hAnsi="仿宋" w:eastAsia="仿宋" w:cs="仿宋"/>
      <w:sz w:val="30"/>
      <w:szCs w:val="30"/>
      <w:lang w:val="zh-CN" w:eastAsia="zh-CN" w:bidi="zh-CN"/>
    </w:rPr>
  </w:style>
  <w:style w:type="paragraph" w:styleId="5">
    <w:name w:val="Body Text Indent"/>
    <w:basedOn w:val="1"/>
    <w:qFormat/>
    <w:uiPriority w:val="0"/>
    <w:pPr>
      <w:spacing w:after="120"/>
      <w:ind w:left="420" w:leftChars="200"/>
    </w:pPr>
  </w:style>
  <w:style w:type="paragraph" w:styleId="6">
    <w:name w:val="Block Text"/>
    <w:basedOn w:val="1"/>
    <w:qFormat/>
    <w:uiPriority w:val="6"/>
    <w:pPr>
      <w:widowControl w:val="0"/>
      <w:spacing w:after="0" w:line="274" w:lineRule="auto"/>
      <w:ind w:left="256" w:right="6" w:firstLine="624"/>
      <w:jc w:val="both"/>
    </w:pPr>
    <w:rPr>
      <w:rFonts w:ascii="Times New Roman" w:hAnsi="Times New Roman" w:eastAsia="仿宋"/>
      <w:sz w:val="28"/>
      <w:szCs w:val="20"/>
      <w:lang w:eastAsia="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6"/>
    <w:basedOn w:val="1"/>
    <w:next w:val="1"/>
    <w:unhideWhenUsed/>
    <w:qFormat/>
    <w:uiPriority w:val="39"/>
    <w:pPr>
      <w:spacing w:after="57"/>
      <w:ind w:left="1417"/>
    </w:pPr>
  </w:style>
  <w:style w:type="paragraph" w:styleId="10">
    <w:name w:val="Title"/>
    <w:basedOn w:val="1"/>
    <w:next w:val="1"/>
    <w:qFormat/>
    <w:uiPriority w:val="10"/>
    <w:pPr>
      <w:spacing w:before="300" w:after="300"/>
      <w:jc w:val="center"/>
      <w:outlineLvl w:val="0"/>
    </w:pPr>
    <w:rPr>
      <w:rFonts w:ascii="Cambria" w:hAnsi="Cambria" w:eastAsia="仿宋_GB2312" w:cs="Times New Roman"/>
      <w:b/>
      <w:bCs/>
      <w:sz w:val="36"/>
      <w:szCs w:val="32"/>
    </w:rPr>
  </w:style>
  <w:style w:type="paragraph" w:styleId="11">
    <w:name w:val="Body Text First Indent"/>
    <w:basedOn w:val="4"/>
    <w:qFormat/>
    <w:uiPriority w:val="0"/>
    <w:pPr>
      <w:spacing w:line="360" w:lineRule="auto"/>
      <w:ind w:firstLine="200"/>
    </w:pPr>
    <w:rPr>
      <w:rFonts w:ascii="仿宋_GB2312" w:eastAsia="仿宋_GB2312"/>
    </w:rPr>
  </w:style>
  <w:style w:type="table" w:styleId="1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5">
    <w:name w:val="标题 11"/>
    <w:basedOn w:val="16"/>
    <w:next w:val="16"/>
    <w:qFormat/>
    <w:uiPriority w:val="0"/>
    <w:pPr>
      <w:keepNext/>
      <w:keepLines/>
      <w:spacing w:before="340" w:after="330" w:line="578" w:lineRule="auto"/>
      <w:outlineLvl w:val="0"/>
    </w:pPr>
    <w:rPr>
      <w:b/>
      <w:bCs/>
      <w:sz w:val="44"/>
      <w:szCs w:val="44"/>
    </w:rPr>
  </w:style>
  <w:style w:type="paragraph" w:customStyle="1" w:styleId="16">
    <w:name w:val="正文11"/>
    <w:next w:val="17"/>
    <w:qFormat/>
    <w:uiPriority w:val="0"/>
    <w:pPr>
      <w:jc w:val="both"/>
    </w:pPr>
    <w:rPr>
      <w:rFonts w:hint="default" w:ascii="Times New Roman" w:hAnsi="Times New Roman" w:eastAsia="宋体" w:cs="Times New Roman"/>
      <w:lang w:val="en-US" w:eastAsia="zh-CN" w:bidi="ar-SA"/>
    </w:rPr>
  </w:style>
  <w:style w:type="paragraph" w:customStyle="1" w:styleId="17">
    <w:name w:val="文本块1"/>
    <w:basedOn w:val="18"/>
    <w:qFormat/>
    <w:uiPriority w:val="0"/>
    <w:pPr>
      <w:ind w:left="256" w:right="6" w:firstLine="624"/>
    </w:pPr>
    <w:rPr>
      <w:rFonts w:eastAsia="仿宋_GB2312"/>
      <w:sz w:val="28"/>
    </w:rPr>
  </w:style>
  <w:style w:type="paragraph" w:customStyle="1" w:styleId="18">
    <w:name w:val="正文12"/>
    <w:next w:val="19"/>
    <w:qFormat/>
    <w:uiPriority w:val="0"/>
    <w:pPr>
      <w:spacing w:after="200" w:line="276" w:lineRule="auto"/>
    </w:pPr>
    <w:rPr>
      <w:rFonts w:hint="default" w:ascii="Times New Roman" w:hAnsi="Times New Roman" w:eastAsia="宋体" w:cs="Times New Roman"/>
      <w:color w:val="0563C1"/>
      <w:u w:val="single"/>
      <w:lang w:val="en-US" w:eastAsia="zh-CN" w:bidi="ar-SA"/>
    </w:rPr>
  </w:style>
  <w:style w:type="paragraph" w:customStyle="1" w:styleId="19">
    <w:name w:val="正文文本1"/>
    <w:basedOn w:val="20"/>
    <w:next w:val="24"/>
    <w:qFormat/>
    <w:uiPriority w:val="0"/>
    <w:rPr>
      <w:rFonts w:eastAsia="黑体"/>
      <w:b/>
      <w:bCs/>
      <w:spacing w:val="20"/>
      <w:sz w:val="56"/>
    </w:rPr>
  </w:style>
  <w:style w:type="paragraph" w:customStyle="1" w:styleId="20">
    <w:name w:val="正文13"/>
    <w:next w:val="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正文首行缩进1"/>
    <w:basedOn w:val="22"/>
    <w:qFormat/>
    <w:uiPriority w:val="0"/>
    <w:pPr>
      <w:widowControl w:val="0"/>
      <w:ind w:firstLine="420"/>
    </w:pPr>
    <w:rPr>
      <w:sz w:val="21"/>
    </w:rPr>
  </w:style>
  <w:style w:type="paragraph" w:customStyle="1" w:styleId="22">
    <w:name w:val="正文文本11"/>
    <w:basedOn w:val="23"/>
    <w:next w:val="16"/>
    <w:qFormat/>
    <w:uiPriority w:val="0"/>
    <w:pPr>
      <w:spacing w:after="120"/>
    </w:pPr>
  </w:style>
  <w:style w:type="paragraph" w:customStyle="1" w:styleId="23">
    <w:name w:val="正文112"/>
    <w:next w:val="2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一级条标题"/>
    <w:basedOn w:val="25"/>
    <w:next w:val="2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5">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6">
    <w:name w:val="段"/>
    <w:basedOn w:val="27"/>
    <w:next w:val="1"/>
    <w:qFormat/>
    <w:uiPriority w:val="0"/>
    <w:pPr>
      <w:ind w:firstLine="200"/>
    </w:pPr>
    <w:rPr>
      <w:rFonts w:ascii="宋体"/>
    </w:rPr>
  </w:style>
  <w:style w:type="paragraph" w:customStyle="1" w:styleId="27">
    <w:name w:val="正文1"/>
    <w:basedOn w:val="16"/>
    <w:next w:val="19"/>
    <w:qFormat/>
    <w:uiPriority w:val="0"/>
    <w:pPr>
      <w:spacing w:line="360" w:lineRule="atLeast"/>
      <w:jc w:val="left"/>
    </w:pPr>
    <w:rPr>
      <w:rFonts w:asci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2891</Words>
  <Characters>2987</Characters>
  <Lines>0</Lines>
  <Paragraphs>0</Paragraphs>
  <TotalTime>0</TotalTime>
  <ScaleCrop>false</ScaleCrop>
  <LinksUpToDate>false</LinksUpToDate>
  <CharactersWithSpaces>2995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2025-02-18T01:49:00Z</dcterms:created>
  <dc:creator>江苏泓科-03号主机</dc:creator>
  <cp:lastModifiedBy>彭鱼燕</cp:lastModifiedBy>
  <dcterms:modified xsi:type="dcterms:W3CDTF">2026-01-06T07:09:13Z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eyJoZGlkIjoiMzcwMzkwNjdkYjc5ZDc4MjA0NjlhMzJiMTZhMWRmZmEiLCJ1c2VySWQiOiI2NTE4OTM1MjkifQ==</vt:lpwstr>
  </property>
  <property fmtid="{D5CDD505-2E9C-101B-9397-08002B2CF9AE}" pid="4" name="ICV">
    <vt:lpwstr>8350CD982289475DAEAAC82F5B127239_13</vt:lpwstr>
  </property>
</Properties>
</file>