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B36">
      <w:pPr>
        <w:widowControl/>
        <w:spacing w:line="336" w:lineRule="auto"/>
        <w:jc w:val="left"/>
        <w:rPr>
          <w:rFonts w:hint="eastAsia" w:ascii="宋体" w:hAnsi="宋体" w:eastAsia="宋体" w:cs="宋体"/>
          <w:color w:val="000000"/>
          <w:kern w:val="0"/>
          <w:lang w:eastAsia="zh-CN" w:bidi="ar"/>
        </w:rPr>
        <w:sectPr>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lang w:bidi="ar"/>
        </w:rPr>
        <w:t>如有建议或意见，请以书面形式并加盖公章、注明联系人、联系方式，于202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 xml:space="preserve"> 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08</w:t>
      </w:r>
      <w:r>
        <w:rPr>
          <w:rFonts w:hint="eastAsia" w:ascii="宋体" w:hAnsi="宋体" w:eastAsia="宋体" w:cs="宋体"/>
          <w:color w:val="000000"/>
          <w:kern w:val="0"/>
          <w:lang w:bidi="ar"/>
        </w:rPr>
        <w:t>日 17:00 之前送至我单位，逾期不受理（如邮寄，202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08</w:t>
      </w:r>
      <w:r>
        <w:rPr>
          <w:rFonts w:hint="eastAsia" w:ascii="宋体" w:hAnsi="宋体" w:eastAsia="宋体" w:cs="宋体"/>
          <w:color w:val="000000"/>
          <w:kern w:val="0"/>
          <w:lang w:bidi="ar"/>
        </w:rPr>
        <w:t>日 17:00 之后到达本公司的邮件将不再受理</w:t>
      </w:r>
      <w:r>
        <w:rPr>
          <w:rFonts w:hint="eastAsia" w:ascii="宋体" w:hAnsi="宋体" w:eastAsia="宋体" w:cs="宋体"/>
          <w:color w:val="000000"/>
          <w:kern w:val="0"/>
          <w:lang w:eastAsia="zh-CN" w:bidi="ar"/>
        </w:rPr>
        <w:t>）。</w:t>
      </w:r>
    </w:p>
    <w:p w14:paraId="1E595342">
      <w:pPr>
        <w:numPr>
          <w:ilvl w:val="0"/>
          <w:numId w:val="1"/>
        </w:numPr>
        <w:pBdr>
          <w:top w:val="none" w:color="000000" w:sz="0" w:space="0"/>
          <w:left w:val="none" w:color="000000" w:sz="0" w:space="0"/>
          <w:bottom w:val="none" w:color="000000" w:sz="0" w:space="0"/>
          <w:right w:val="none" w:color="000000" w:sz="0" w:space="0"/>
        </w:pBdr>
        <w:spacing w:after="0" w:line="720" w:lineRule="atLeast"/>
        <w:jc w:val="center"/>
        <w:outlineLvl w:val="0"/>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
          <w:sz w:val="28"/>
          <w:szCs w:val="28"/>
          <w:lang w:eastAsia="zh-CN"/>
        </w:rPr>
        <w:t>采购需求</w:t>
      </w:r>
    </w:p>
    <w:p w14:paraId="7D594023">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一、采购项目预算金额及标段划分</w:t>
      </w:r>
    </w:p>
    <w:p w14:paraId="719E86C0">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本项目不接受超过采购预算单价的投标报价（即优惠率必须大于0）。投标报价包括完成招标范围内的所有工作的全部费用，包括但不限于人工、材料、机械、差旅、采样、检测、编制、评审、管理、利润、规费、税金等费用。投标人应充分了解该项目的总体情况、各类市场风险以及影响投标报价的其他要素风险，服务期内结算总费用委托方委托受托方调查项目数量和中标单价来计算。</w:t>
      </w:r>
    </w:p>
    <w:p w14:paraId="1CA4F52E">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（二）一标段：徐州市鼓楼区拟收储地块勘测定界、不动产权籍调查项目。详见招标文件采购需求。最终总价以实际数量乘以单价进行结算。估算价约：</w:t>
      </w:r>
      <w:r>
        <w:rPr>
          <w:rFonts w:hint="eastAsia" w:ascii="宋体" w:hAnsi="宋体" w:eastAsia="宋体" w:cs="宋体"/>
          <w:bCs/>
          <w:sz w:val="24"/>
          <w:szCs w:val="24"/>
          <w:lang w:val="en-US" w:eastAsia="zh-CN"/>
        </w:rPr>
        <w:t>133</w:t>
      </w:r>
      <w:r>
        <w:rPr>
          <w:rFonts w:hint="eastAsia" w:ascii="宋体" w:hAnsi="宋体" w:eastAsia="宋体" w:cs="宋体"/>
          <w:bCs/>
          <w:sz w:val="24"/>
          <w:szCs w:val="24"/>
          <w:lang w:eastAsia="zh-CN"/>
        </w:rPr>
        <w:t xml:space="preserve">万元，以实际发生金额为准。 </w:t>
      </w:r>
    </w:p>
    <w:p w14:paraId="5C962FFC">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二标段：徐州市云龙区拟收储地块勘测定界、不动产权籍调查项目。详见招标文件采购需求。最终总价以实际数量乘以单价进行结算。估算价约：</w:t>
      </w:r>
      <w:r>
        <w:rPr>
          <w:rFonts w:hint="eastAsia" w:ascii="宋体" w:hAnsi="宋体" w:eastAsia="宋体" w:cs="宋体"/>
          <w:bCs/>
          <w:sz w:val="24"/>
          <w:szCs w:val="24"/>
          <w:lang w:val="en-US" w:eastAsia="zh-CN"/>
        </w:rPr>
        <w:t>134</w:t>
      </w:r>
      <w:r>
        <w:rPr>
          <w:rFonts w:hint="eastAsia" w:ascii="宋体" w:hAnsi="宋体" w:eastAsia="宋体" w:cs="宋体"/>
          <w:bCs/>
          <w:sz w:val="24"/>
          <w:szCs w:val="24"/>
        </w:rPr>
        <w:t xml:space="preserve">万元，以实际发生金额为准。 </w:t>
      </w:r>
    </w:p>
    <w:p w14:paraId="1B2462E2">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三标段：徐州市泉山区(不含港务区) 拟收储地块勘测定界、不动产权籍调查项目。详见招标文件采购需求。最终总价以实际数量乘以单价进行结算。估算价约：</w:t>
      </w:r>
      <w:r>
        <w:rPr>
          <w:rFonts w:hint="eastAsia" w:ascii="宋体" w:hAnsi="宋体" w:eastAsia="宋体" w:cs="宋体"/>
          <w:bCs/>
          <w:sz w:val="24"/>
          <w:szCs w:val="24"/>
          <w:lang w:val="en-US" w:eastAsia="zh-CN"/>
        </w:rPr>
        <w:t>133</w:t>
      </w:r>
      <w:r>
        <w:rPr>
          <w:rFonts w:hint="eastAsia" w:ascii="宋体" w:hAnsi="宋体" w:eastAsia="宋体" w:cs="宋体"/>
          <w:bCs/>
          <w:sz w:val="24"/>
          <w:szCs w:val="24"/>
        </w:rPr>
        <w:t>万元，以实际发生金额为准。</w:t>
      </w:r>
    </w:p>
    <w:p w14:paraId="1D586491">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二、采购预算单价及工作内容</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88"/>
        <w:gridCol w:w="2234"/>
      </w:tblGrid>
      <w:tr w14:paraId="5772F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8" w:type="dxa"/>
            <w:noWrap w:val="0"/>
            <w:vAlign w:val="center"/>
          </w:tcPr>
          <w:p w14:paraId="1C31E539">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调查项目内容</w:t>
            </w:r>
          </w:p>
        </w:tc>
        <w:tc>
          <w:tcPr>
            <w:tcW w:w="2234" w:type="dxa"/>
            <w:noWrap w:val="0"/>
            <w:vAlign w:val="center"/>
          </w:tcPr>
          <w:p w14:paraId="0C1FE93E">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采购预算单价（元）</w:t>
            </w:r>
          </w:p>
        </w:tc>
      </w:tr>
      <w:tr w14:paraId="0B68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8" w:type="dxa"/>
            <w:noWrap w:val="0"/>
            <w:vAlign w:val="center"/>
          </w:tcPr>
          <w:p w14:paraId="594EC552">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拟收储地块勘测定界、不动产权籍调查项目（50亩及以下）</w:t>
            </w:r>
          </w:p>
        </w:tc>
        <w:tc>
          <w:tcPr>
            <w:tcW w:w="2234" w:type="dxa"/>
            <w:noWrap w:val="0"/>
            <w:vAlign w:val="center"/>
          </w:tcPr>
          <w:p w14:paraId="375BB1AC">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45000.00</w:t>
            </w:r>
          </w:p>
        </w:tc>
      </w:tr>
      <w:tr w14:paraId="415D7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8" w:type="dxa"/>
            <w:noWrap w:val="0"/>
            <w:vAlign w:val="center"/>
          </w:tcPr>
          <w:p w14:paraId="10C1A9BF">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拟收储地块勘测定界、不动产权籍调查项目（50亩-100亩）</w:t>
            </w:r>
          </w:p>
        </w:tc>
        <w:tc>
          <w:tcPr>
            <w:tcW w:w="2234" w:type="dxa"/>
            <w:noWrap w:val="0"/>
            <w:vAlign w:val="center"/>
          </w:tcPr>
          <w:p w14:paraId="32522783">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54000.00</w:t>
            </w:r>
          </w:p>
        </w:tc>
      </w:tr>
      <w:tr w14:paraId="49C5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8" w:type="dxa"/>
            <w:noWrap w:val="0"/>
            <w:vAlign w:val="center"/>
          </w:tcPr>
          <w:p w14:paraId="063FBF8E">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拟收储地块勘测定界、不动产权籍调查项目（100亩及以上）</w:t>
            </w:r>
          </w:p>
        </w:tc>
        <w:tc>
          <w:tcPr>
            <w:tcW w:w="2234" w:type="dxa"/>
            <w:noWrap w:val="0"/>
            <w:vAlign w:val="center"/>
          </w:tcPr>
          <w:p w14:paraId="48C9860A">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63000.00</w:t>
            </w:r>
          </w:p>
        </w:tc>
      </w:tr>
    </w:tbl>
    <w:p w14:paraId="10BF3EAA">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投标人所报对应单价不得超过上表中采购预算单价。</w:t>
      </w:r>
    </w:p>
    <w:p w14:paraId="2319F020">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合同履行期限：约2年</w:t>
      </w:r>
    </w:p>
    <w:p w14:paraId="2E490552">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三、技术规程</w:t>
      </w:r>
    </w:p>
    <w:p w14:paraId="650CC5F8">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（1）《土地勘测定界规程》（国土资源部 TD/T1008-2007）</w:t>
      </w:r>
    </w:p>
    <w:p w14:paraId="3EBA86F7">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（2）《第二次全国土地调查技术规程》（国土资源部 TD/T1014-2007)</w:t>
      </w:r>
    </w:p>
    <w:p w14:paraId="7D600D0E">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（3）《地籍调查规程》 (TDT 1001—2012)</w:t>
      </w:r>
    </w:p>
    <w:p w14:paraId="40A6A7AC">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（4）《卫星定位城市测量技术标准》（CJJ/T 73-2019）</w:t>
      </w:r>
    </w:p>
    <w:p w14:paraId="355DEEF2">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（5）《确定土地所有权和使用权的若干规定》（国家土地管理局1995年3月11日发布）。</w:t>
      </w:r>
    </w:p>
    <w:p w14:paraId="5B09DA61">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（6）《第二次全国土地调查成果检查验收办法》</w:t>
      </w:r>
    </w:p>
    <w:p w14:paraId="0249E000">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（7）《测绘成果质量检查与验收》（GB/T 24356-2009）。</w:t>
      </w:r>
    </w:p>
    <w:p w14:paraId="674D9622">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（8）《全球定位系统（GPS）测量规范》（GB/T 18314-2009）。</w:t>
      </w:r>
    </w:p>
    <w:p w14:paraId="5296790F">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（9）《土地利用现状分类》（GB/T21010-2007）。</w:t>
      </w:r>
    </w:p>
    <w:p w14:paraId="75D9B35D">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（10）《全球定位系统实时动态测量（RTK）技术规范》（CH/T 2009）。</w:t>
      </w:r>
    </w:p>
    <w:p w14:paraId="08D9D70C">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（11）《城镇地籍数据库标准》（TD/T1015）。</w:t>
      </w:r>
    </w:p>
    <w:p w14:paraId="0BCE54F1">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（12）《城市测量规范》（CJJ/T8）。</w:t>
      </w:r>
    </w:p>
    <w:p w14:paraId="57F1619E">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（13）《测绘技术设计规定》CH/T1004-2005</w:t>
      </w:r>
    </w:p>
    <w:p w14:paraId="35D8AEAE">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（14）《测绘技术总结编写规定》CH/T1001-2005-</w:t>
      </w:r>
    </w:p>
    <w:p w14:paraId="2B55BDF1">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四、收储地块工作内容：</w:t>
      </w:r>
    </w:p>
    <w:p w14:paraId="00BA4DDF">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 目的：为准确核定拟收储地块的权属、用途、面积、地类、四至，更好地为拟收储地块提供真实、可靠的地块信息，为土地储备科学决策提供技术支持。</w:t>
      </w:r>
    </w:p>
    <w:p w14:paraId="009F7B1D">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2.工作要求</w:t>
      </w:r>
    </w:p>
    <w:p w14:paraId="2EC7F274">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（1）对收储地块进行地类权属等分析、不动产权籍调查；利用 RTK 和无人机技术，实地测量储备地块的用地范围；调查储备地块的权属并计算面积，绘制储备地块勘测定界地图。填写《不动产权籍调查表》并履行四邻签字等法律手续；</w:t>
      </w:r>
    </w:p>
    <w:p w14:paraId="08AE2916">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（2）出具储备《建设用地勘测定界成果报告书》和《土地权属地类面积审核表》；</w:t>
      </w:r>
    </w:p>
    <w:p w14:paraId="3982E94A">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（3）利用无人机建模软件，生成地块正射影像，便于直观了解储备地块情况；</w:t>
      </w:r>
    </w:p>
    <w:p w14:paraId="2FD461FA">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（4）出具相应地块土地利用现状图和土地利用规划图；</w:t>
      </w:r>
    </w:p>
    <w:p w14:paraId="128833BD">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（5）完善自然资源和规划局办件电子政务流程；</w:t>
      </w:r>
    </w:p>
    <w:p w14:paraId="63FCD70C">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（6）按照规定，完成成果打印、装订成册并提交；</w:t>
      </w:r>
    </w:p>
    <w:p w14:paraId="722EDC73">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五、出让地块工作内容：</w:t>
      </w:r>
    </w:p>
    <w:p w14:paraId="443DA877">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对拟出让地块进行现状权籍调查、地类分析；利用 RTK 和无人机技术， 实地调绘拟出让地块的用地范围；调查拟出让地块的权属并计算面积，绘制储 备地块宗地图。填写《不动产权籍调查表》并履行四邻签字等法律手续；</w:t>
      </w:r>
    </w:p>
    <w:p w14:paraId="32F093C4">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六、不动产权籍调查</w:t>
      </w:r>
    </w:p>
    <w:p w14:paraId="3B50A1CF">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 目的：为已收储地块进行不动产权籍调查，履行四邻签字手续，待地块出让后，为开发企业重新出具不动产权籍调查表，加快拿地即开工速度，营造良好的营商环境。</w:t>
      </w:r>
    </w:p>
    <w:p w14:paraId="1034ED5D">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2.工作要求：</w:t>
      </w:r>
    </w:p>
    <w:p w14:paraId="3AFDDD26">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（1）根据土地收储合同，开展权籍调查工作。完成现场指界，履行四邻签字手续；</w:t>
      </w:r>
    </w:p>
    <w:p w14:paraId="3A495AB4">
      <w:pPr>
        <w:widowControl/>
        <w:spacing w:line="360" w:lineRule="auto"/>
        <w:ind w:firstLine="48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（2）协助储备中心，完成储备出让地块不动产证注销工作；</w:t>
      </w:r>
    </w:p>
    <w:p w14:paraId="57A87EAF">
      <w:pPr>
        <w:widowControl/>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lang w:eastAsia="zh-CN"/>
        </w:rPr>
        <w:t>（3）协助储备中心，办理不动产证。</w:t>
      </w:r>
    </w:p>
    <w:p w14:paraId="324AE713">
      <w:pPr>
        <w:widowControl/>
        <w:spacing w:line="360" w:lineRule="auto"/>
        <w:ind w:firstLine="48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其他要求</w:t>
      </w:r>
      <w:bookmarkStart w:id="0" w:name="_GoBack"/>
      <w:bookmarkEnd w:id="0"/>
      <w:r>
        <w:rPr>
          <w:rFonts w:hint="eastAsia" w:ascii="宋体" w:hAnsi="宋体" w:eastAsia="宋体" w:cs="宋体"/>
          <w:bCs/>
          <w:sz w:val="24"/>
          <w:szCs w:val="24"/>
          <w:lang w:eastAsia="zh-CN"/>
        </w:rPr>
        <w:t>：见招标文件《拟签订的合同文本》。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6"/>
      <w:numFmt w:val="chineseCounting"/>
      <w:suff w:val="space"/>
      <w:lvlText w:val="第%1章"/>
      <w:lvlJc w:val="left"/>
      <w:rPr>
        <w:rFonts w:hint="eastAsia"/>
        <w:sz w:val="28"/>
        <w:szCs w:val="28"/>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75B98"/>
    <w:rsid w:val="14544FB7"/>
    <w:rsid w:val="20284750"/>
    <w:rsid w:val="23B67525"/>
    <w:rsid w:val="26613C06"/>
    <w:rsid w:val="35507E89"/>
    <w:rsid w:val="572E5B4C"/>
    <w:rsid w:val="60D14B46"/>
    <w:rsid w:val="70C51923"/>
    <w:rsid w:val="72101451"/>
    <w:rsid w:val="753D2245"/>
    <w:rsid w:val="7AED3ED0"/>
    <w:rsid w:val="7CB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widowControl w:val="0"/>
      <w:spacing w:after="0" w:line="274" w:lineRule="auto"/>
      <w:ind w:left="256" w:right="6" w:firstLine="624"/>
      <w:jc w:val="both"/>
    </w:pPr>
    <w:rPr>
      <w:rFonts w:ascii="Times New Roman" w:hAnsi="Times New Roman" w:eastAsia="仿宋"/>
      <w:sz w:val="28"/>
      <w:szCs w:val="20"/>
      <w:lang w:eastAsia="zh-CN"/>
    </w:rPr>
  </w:style>
  <w:style w:type="paragraph" w:styleId="3">
    <w:name w:val="Normal Indent"/>
    <w:basedOn w:val="1"/>
    <w:next w:val="1"/>
    <w:qFormat/>
    <w:uiPriority w:val="99"/>
    <w:pPr>
      <w:widowControl/>
      <w:ind w:firstLine="420"/>
      <w:jc w:val="left"/>
    </w:pPr>
    <w:rPr>
      <w:sz w:val="20"/>
    </w:rPr>
  </w:style>
  <w:style w:type="paragraph" w:styleId="4">
    <w:name w:val="Body Text"/>
    <w:basedOn w:val="1"/>
    <w:next w:val="5"/>
    <w:qFormat/>
    <w:uiPriority w:val="1"/>
    <w:pPr>
      <w:widowControl w:val="0"/>
      <w:spacing w:after="0" w:line="240" w:lineRule="auto"/>
    </w:pPr>
    <w:rPr>
      <w:rFonts w:ascii="仿宋" w:hAnsi="仿宋" w:eastAsia="仿宋" w:cs="仿宋"/>
      <w:sz w:val="30"/>
      <w:szCs w:val="30"/>
      <w:lang w:val="zh-CN" w:eastAsia="zh-CN" w:bidi="zh-CN"/>
    </w:rPr>
  </w:style>
  <w:style w:type="paragraph" w:styleId="5">
    <w:name w:val="Body Text First Indent"/>
    <w:basedOn w:val="4"/>
    <w:next w:val="6"/>
    <w:qFormat/>
    <w:uiPriority w:val="0"/>
    <w:pPr>
      <w:spacing w:line="360" w:lineRule="auto"/>
      <w:ind w:firstLine="200"/>
    </w:pPr>
    <w:rPr>
      <w:rFonts w:ascii="仿宋_GB2312" w:eastAsia="仿宋_GB2312"/>
    </w:rPr>
  </w:style>
  <w:style w:type="paragraph" w:styleId="6">
    <w:name w:val="toc 6"/>
    <w:basedOn w:val="1"/>
    <w:next w:val="1"/>
    <w:unhideWhenUsed/>
    <w:qFormat/>
    <w:uiPriority w:val="39"/>
    <w:pPr>
      <w:spacing w:after="57"/>
      <w:ind w:left="1417"/>
    </w:pPr>
  </w:style>
  <w:style w:type="paragraph" w:styleId="7">
    <w:name w:val="Body Text Indent"/>
    <w:basedOn w:val="1"/>
    <w:qFormat/>
    <w:uiPriority w:val="0"/>
    <w:pPr>
      <w:spacing w:after="120"/>
      <w:ind w:left="420" w:leftChars="200"/>
    </w:pPr>
  </w:style>
  <w:style w:type="paragraph" w:styleId="8">
    <w:name w:val="Title"/>
    <w:basedOn w:val="1"/>
    <w:next w:val="1"/>
    <w:qFormat/>
    <w:uiPriority w:val="10"/>
    <w:pPr>
      <w:spacing w:before="300" w:after="300"/>
      <w:jc w:val="center"/>
      <w:outlineLvl w:val="0"/>
    </w:pPr>
    <w:rPr>
      <w:rFonts w:ascii="Cambria" w:hAnsi="Cambria" w:eastAsia="仿宋_GB2312" w:cs="Times New Roman"/>
      <w:b/>
      <w:bCs/>
      <w:sz w:val="36"/>
      <w:szCs w:val="32"/>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2">
    <w:name w:val="标题 11"/>
    <w:basedOn w:val="13"/>
    <w:next w:val="13"/>
    <w:qFormat/>
    <w:uiPriority w:val="0"/>
    <w:pPr>
      <w:keepNext/>
      <w:keepLines/>
      <w:spacing w:before="340" w:after="330" w:line="578" w:lineRule="auto"/>
      <w:outlineLvl w:val="0"/>
    </w:pPr>
    <w:rPr>
      <w:b/>
      <w:bCs/>
      <w:sz w:val="44"/>
      <w:szCs w:val="44"/>
    </w:rPr>
  </w:style>
  <w:style w:type="paragraph" w:customStyle="1" w:styleId="13">
    <w:name w:val="正文11"/>
    <w:next w:val="14"/>
    <w:qFormat/>
    <w:uiPriority w:val="0"/>
    <w:pPr>
      <w:jc w:val="both"/>
    </w:pPr>
    <w:rPr>
      <w:rFonts w:hint="default" w:ascii="Times New Roman" w:hAnsi="Times New Roman" w:eastAsia="宋体" w:cs="Times New Roman"/>
      <w:lang w:val="en-US" w:eastAsia="zh-CN" w:bidi="ar-SA"/>
    </w:rPr>
  </w:style>
  <w:style w:type="paragraph" w:customStyle="1" w:styleId="14">
    <w:name w:val="文本块1"/>
    <w:basedOn w:val="15"/>
    <w:qFormat/>
    <w:uiPriority w:val="0"/>
    <w:pPr>
      <w:ind w:left="256" w:right="6" w:firstLine="624"/>
    </w:pPr>
    <w:rPr>
      <w:rFonts w:eastAsia="仿宋_GB2312"/>
      <w:sz w:val="28"/>
    </w:rPr>
  </w:style>
  <w:style w:type="paragraph" w:customStyle="1" w:styleId="15">
    <w:name w:val="正文12"/>
    <w:next w:val="16"/>
    <w:qFormat/>
    <w:uiPriority w:val="0"/>
    <w:pPr>
      <w:spacing w:after="200" w:line="276" w:lineRule="auto"/>
    </w:pPr>
    <w:rPr>
      <w:rFonts w:hint="default" w:ascii="Times New Roman" w:hAnsi="Times New Roman" w:eastAsia="宋体" w:cs="Times New Roman"/>
      <w:color w:val="0563C1"/>
      <w:u w:val="single"/>
      <w:lang w:val="en-US" w:eastAsia="zh-CN" w:bidi="ar-SA"/>
    </w:rPr>
  </w:style>
  <w:style w:type="paragraph" w:customStyle="1" w:styleId="16">
    <w:name w:val="正文文本1"/>
    <w:basedOn w:val="17"/>
    <w:next w:val="21"/>
    <w:qFormat/>
    <w:uiPriority w:val="0"/>
    <w:rPr>
      <w:rFonts w:eastAsia="黑体"/>
      <w:b/>
      <w:bCs/>
      <w:spacing w:val="20"/>
      <w:sz w:val="56"/>
    </w:rPr>
  </w:style>
  <w:style w:type="paragraph" w:customStyle="1" w:styleId="17">
    <w:name w:val="正文13"/>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正文首行缩进1"/>
    <w:basedOn w:val="19"/>
    <w:qFormat/>
    <w:uiPriority w:val="0"/>
    <w:pPr>
      <w:widowControl w:val="0"/>
      <w:ind w:firstLine="420"/>
    </w:pPr>
    <w:rPr>
      <w:sz w:val="21"/>
    </w:rPr>
  </w:style>
  <w:style w:type="paragraph" w:customStyle="1" w:styleId="19">
    <w:name w:val="正文文本11"/>
    <w:basedOn w:val="20"/>
    <w:next w:val="13"/>
    <w:qFormat/>
    <w:uiPriority w:val="0"/>
    <w:pPr>
      <w:spacing w:after="120"/>
    </w:pPr>
  </w:style>
  <w:style w:type="paragraph" w:customStyle="1" w:styleId="20">
    <w:name w:val="正文112"/>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一级条标题"/>
    <w:basedOn w:val="22"/>
    <w:next w:val="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2">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3">
    <w:name w:val="段"/>
    <w:basedOn w:val="24"/>
    <w:next w:val="1"/>
    <w:qFormat/>
    <w:uiPriority w:val="0"/>
    <w:pPr>
      <w:ind w:firstLine="200"/>
    </w:pPr>
    <w:rPr>
      <w:rFonts w:ascii="宋体"/>
    </w:rPr>
  </w:style>
  <w:style w:type="paragraph" w:customStyle="1" w:styleId="24">
    <w:name w:val="正文1"/>
    <w:basedOn w:val="13"/>
    <w:next w:val="16"/>
    <w:qFormat/>
    <w:uiPriority w:val="0"/>
    <w:pPr>
      <w:spacing w:line="360" w:lineRule="atLeast"/>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1567</Words>
  <Characters>1765</Characters>
  <Lines>0</Lines>
  <Paragraphs>0</Paragraphs>
  <TotalTime>0</TotalTime>
  <ScaleCrop>false</ScaleCrop>
  <LinksUpToDate>false</LinksUpToDate>
  <CharactersWithSpaces>1789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2025-02-18T01:49:00Z</dcterms:created>
  <dc:creator>江苏泓科-03号主机</dc:creator>
  <cp:lastModifiedBy>彭鱼燕</cp:lastModifiedBy>
  <dcterms:modified xsi:type="dcterms:W3CDTF">2026-01-04T07:04:46Z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eyJoZGlkIjoiMzcwMzkwNjdkYjc5ZDc4MjA0NjlhMzJiMTZhMWRmZmEiLCJ1c2VySWQiOiI2NTE4OTM1MjkifQ==</vt:lpwstr>
  </property>
  <property fmtid="{D5CDD505-2E9C-101B-9397-08002B2CF9AE}" pid="4" name="ICV">
    <vt:lpwstr>8350CD982289475DAEAAC82F5B127239_13</vt:lpwstr>
  </property>
</Properties>
</file>