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contextualSpacing/>
        <w:jc w:val="left"/>
        <w:rPr>
          <w:rFonts w:ascii="宋体" w:hAnsi="宋体"/>
          <w:color w:val="auto"/>
          <w:sz w:val="28"/>
          <w:szCs w:val="28"/>
          <w:highlight w:val="none"/>
        </w:rPr>
      </w:pPr>
      <w:bookmarkStart w:id="0" w:name="_Toc522790135"/>
      <w:bookmarkStart w:id="1" w:name="_Toc12097"/>
      <w:r>
        <w:rPr>
          <w:rFonts w:hint="eastAsia" w:ascii="宋体" w:hAnsi="宋体"/>
          <w:color w:val="auto"/>
          <w:sz w:val="28"/>
          <w:szCs w:val="28"/>
          <w:highlight w:val="none"/>
        </w:rPr>
        <w:t>如有建议或意见，请以书面形式并加盖公章、注明联系人、联系方式，</w:t>
      </w:r>
      <w:r>
        <w:rPr>
          <w:rFonts w:hint="eastAsia" w:ascii="宋体" w:hAnsi="宋体"/>
          <w:color w:val="auto"/>
          <w:sz w:val="28"/>
          <w:szCs w:val="28"/>
          <w:highlight w:val="none"/>
        </w:rPr>
        <w:t>于2025年12月</w:t>
      </w:r>
      <w:r>
        <w:rPr>
          <w:rFonts w:hint="eastAsia" w:ascii="宋体" w:hAnsi="宋体"/>
          <w:color w:val="auto"/>
          <w:sz w:val="28"/>
          <w:szCs w:val="28"/>
          <w:highlight w:val="none"/>
          <w:lang w:val="en-US" w:eastAsia="zh-CN"/>
        </w:rPr>
        <w:t>31</w:t>
      </w:r>
      <w:r>
        <w:rPr>
          <w:rFonts w:hint="eastAsia" w:ascii="宋体" w:hAnsi="宋体"/>
          <w:color w:val="auto"/>
          <w:sz w:val="28"/>
          <w:szCs w:val="28"/>
          <w:highlight w:val="none"/>
        </w:rPr>
        <w:t>日17:00之前送至我单位，逾期不受理（如邮寄，2025年12月</w:t>
      </w:r>
      <w:r>
        <w:rPr>
          <w:rFonts w:hint="eastAsia" w:ascii="宋体" w:hAnsi="宋体"/>
          <w:color w:val="auto"/>
          <w:sz w:val="28"/>
          <w:szCs w:val="28"/>
          <w:highlight w:val="none"/>
          <w:lang w:val="en-US" w:eastAsia="zh-CN"/>
        </w:rPr>
        <w:t>31</w:t>
      </w:r>
      <w:r>
        <w:rPr>
          <w:rFonts w:hint="eastAsia" w:ascii="宋体" w:hAnsi="宋体"/>
          <w:color w:val="auto"/>
          <w:sz w:val="28"/>
          <w:szCs w:val="28"/>
          <w:highlight w:val="none"/>
        </w:rPr>
        <w:t>日17:00之后到达本单位的邮件将不再受理）。</w:t>
      </w:r>
    </w:p>
    <w:p>
      <w:pPr>
        <w:spacing w:line="312" w:lineRule="auto"/>
        <w:contextualSpacing/>
        <w:jc w:val="center"/>
        <w:rPr>
          <w:rFonts w:ascii="宋体" w:hAnsi="宋体" w:cs="宋体"/>
          <w:b/>
          <w:bCs/>
          <w:color w:val="auto"/>
          <w:sz w:val="32"/>
          <w:szCs w:val="21"/>
          <w:highlight w:val="none"/>
        </w:rPr>
      </w:pPr>
    </w:p>
    <w:p>
      <w:pPr>
        <w:pStyle w:val="15"/>
        <w:spacing w:line="520" w:lineRule="exact"/>
        <w:ind w:right="-1260" w:rightChars="-600"/>
        <w:rPr>
          <w:rFonts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pPr>
        <w:pStyle w:val="15"/>
        <w:spacing w:line="520" w:lineRule="exact"/>
        <w:ind w:right="-1260" w:rightChars="-600"/>
        <w:rPr>
          <w:rFonts w:ascii="宋体" w:hAnsi="宋体" w:eastAsia="宋体" w:cs="宋体"/>
          <w:color w:val="auto"/>
          <w:highlight w:val="none"/>
        </w:rPr>
      </w:pPr>
      <w:r>
        <w:rPr>
          <w:rFonts w:hint="eastAsia" w:ascii="宋体" w:hAnsi="宋体" w:eastAsia="宋体" w:cs="宋体"/>
          <w:color w:val="auto"/>
          <w:highlight w:val="none"/>
        </w:rPr>
        <w:t>采购需求</w:t>
      </w:r>
      <w:bookmarkEnd w:id="0"/>
      <w:bookmarkEnd w:id="1"/>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一、项目概况</w:t>
      </w:r>
    </w:p>
    <w:p>
      <w:pPr>
        <w:pStyle w:val="22"/>
        <w:numPr>
          <w:ilvl w:val="0"/>
          <w:numId w:val="1"/>
        </w:numPr>
        <w:spacing w:line="520" w:lineRule="exact"/>
        <w:ind w:firstLineChars="0"/>
        <w:rPr>
          <w:rFonts w:ascii="宋体" w:hAnsi="宋体" w:cs="宋体"/>
          <w:bCs/>
          <w:color w:val="auto"/>
          <w:sz w:val="24"/>
          <w:highlight w:val="none"/>
        </w:rPr>
      </w:pPr>
      <w:r>
        <w:rPr>
          <w:rFonts w:hint="eastAsia" w:ascii="宋体" w:hAnsi="宋体" w:cs="宋体"/>
          <w:bCs/>
          <w:color w:val="auto"/>
          <w:sz w:val="24"/>
          <w:highlight w:val="none"/>
        </w:rPr>
        <w:t>项目名称：云龙区居民小区生活垃圾分类服务项目</w:t>
      </w:r>
    </w:p>
    <w:p>
      <w:pPr>
        <w:pStyle w:val="17"/>
        <w:spacing w:line="520" w:lineRule="exact"/>
        <w:ind w:firstLine="960" w:firstLineChars="400"/>
        <w:outlineLvl w:val="1"/>
        <w:rPr>
          <w:rFonts w:hint="default" w:ascii="宋体" w:hAnsi="宋体" w:cs="宋体"/>
          <w:bCs/>
          <w:color w:val="auto"/>
          <w:sz w:val="24"/>
          <w:highlight w:val="none"/>
        </w:rPr>
      </w:pPr>
      <w:r>
        <w:rPr>
          <w:rFonts w:ascii="宋体" w:hAnsi="宋体" w:cs="宋体"/>
          <w:bCs/>
          <w:color w:val="auto"/>
          <w:sz w:val="24"/>
          <w:highlight w:val="none"/>
        </w:rPr>
        <w:t>2、本项目不接受超过</w:t>
      </w:r>
      <w:r>
        <w:rPr>
          <w:rFonts w:hint="eastAsia" w:ascii="宋体" w:hAnsi="宋体" w:cs="宋体"/>
          <w:bCs/>
          <w:color w:val="auto"/>
          <w:sz w:val="24"/>
          <w:highlight w:val="none"/>
          <w:lang w:val="en-US" w:eastAsia="zh-CN"/>
        </w:rPr>
        <w:t>1671</w:t>
      </w:r>
      <w:r>
        <w:rPr>
          <w:rFonts w:ascii="宋体" w:hAnsi="宋体" w:cs="宋体"/>
          <w:bCs/>
          <w:color w:val="auto"/>
          <w:sz w:val="24"/>
          <w:highlight w:val="none"/>
        </w:rPr>
        <w:t>万</w:t>
      </w:r>
      <w:r>
        <w:rPr>
          <w:rFonts w:hint="eastAsia" w:ascii="宋体" w:hAnsi="宋体" w:cs="宋体"/>
          <w:bCs/>
          <w:color w:val="auto"/>
          <w:sz w:val="24"/>
          <w:highlight w:val="none"/>
          <w:lang w:val="en-US" w:eastAsia="zh-CN"/>
        </w:rPr>
        <w:t>元</w:t>
      </w:r>
      <w:r>
        <w:rPr>
          <w:rFonts w:ascii="宋体" w:hAnsi="宋体" w:cs="宋体"/>
          <w:bCs/>
          <w:color w:val="auto"/>
          <w:sz w:val="24"/>
          <w:highlight w:val="none"/>
        </w:rPr>
        <w:t>（采购项目预算金额）的报价</w:t>
      </w:r>
    </w:p>
    <w:p>
      <w:pPr>
        <w:pStyle w:val="17"/>
        <w:spacing w:line="520" w:lineRule="exact"/>
        <w:ind w:firstLine="600"/>
        <w:outlineLvl w:val="1"/>
        <w:rPr>
          <w:rFonts w:hint="default" w:ascii="宋体" w:hAnsi="宋体" w:cs="宋体"/>
          <w:color w:val="auto"/>
          <w:sz w:val="24"/>
          <w:highlight w:val="none"/>
        </w:rPr>
      </w:pPr>
      <w:r>
        <w:rPr>
          <w:rFonts w:ascii="宋体" w:hAnsi="宋体" w:cs="宋体"/>
          <w:color w:val="auto"/>
          <w:sz w:val="24"/>
          <w:highlight w:val="none"/>
        </w:rPr>
        <w:t>注：报价包括项目涉及的一切税、费、投标人利润等全部费用。采购人不再支付报价以外的任何费用。</w:t>
      </w:r>
    </w:p>
    <w:p>
      <w:pPr>
        <w:pStyle w:val="17"/>
        <w:spacing w:line="520" w:lineRule="exact"/>
        <w:ind w:firstLine="960" w:firstLineChars="400"/>
        <w:outlineLvl w:val="1"/>
        <w:rPr>
          <w:rFonts w:hint="default" w:ascii="宋体" w:hAnsi="宋体" w:cs="宋体"/>
          <w:color w:val="auto"/>
          <w:sz w:val="24"/>
          <w:szCs w:val="24"/>
          <w:highlight w:val="none"/>
        </w:rPr>
      </w:pPr>
      <w:r>
        <w:rPr>
          <w:rFonts w:ascii="宋体" w:hAnsi="宋体" w:cs="宋体"/>
          <w:bCs/>
          <w:color w:val="auto"/>
          <w:sz w:val="24"/>
          <w:highlight w:val="none"/>
        </w:rPr>
        <w:t>3、合同履行期限：</w:t>
      </w:r>
      <w:r>
        <w:rPr>
          <w:rFonts w:ascii="宋体" w:hAnsi="宋体" w:cs="宋体"/>
          <w:color w:val="auto"/>
          <w:sz w:val="24"/>
          <w:szCs w:val="24"/>
          <w:highlight w:val="none"/>
        </w:rPr>
        <w:t xml:space="preserve"> 202</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 xml:space="preserve"> 年 2 月 1 日 至</w:t>
      </w:r>
      <w:r>
        <w:rPr>
          <w:rFonts w:hint="eastAsia" w:ascii="宋体" w:hAnsi="宋体" w:cs="宋体"/>
          <w:color w:val="auto"/>
          <w:sz w:val="24"/>
          <w:szCs w:val="24"/>
          <w:highlight w:val="none"/>
          <w:lang w:val="en-US" w:eastAsia="zh-CN"/>
        </w:rPr>
        <w:t>2026</w:t>
      </w:r>
      <w:r>
        <w:rPr>
          <w:rFonts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ascii="宋体" w:hAnsi="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ascii="宋体" w:hAnsi="宋体" w:cs="宋体"/>
          <w:color w:val="auto"/>
          <w:sz w:val="24"/>
          <w:szCs w:val="24"/>
          <w:highlight w:val="none"/>
        </w:rPr>
        <w:t>日</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二、项目项目背景</w:t>
      </w:r>
    </w:p>
    <w:p>
      <w:pPr>
        <w:pStyle w:val="17"/>
        <w:spacing w:line="520" w:lineRule="exact"/>
        <w:ind w:firstLine="600"/>
        <w:outlineLvl w:val="1"/>
        <w:rPr>
          <w:rFonts w:hint="default" w:ascii="宋体" w:hAnsi="宋体" w:cs="宋体"/>
          <w:color w:val="auto"/>
          <w:sz w:val="24"/>
          <w:highlight w:val="none"/>
        </w:rPr>
      </w:pPr>
      <w:bookmarkStart w:id="2" w:name="_Toc101775124"/>
      <w:bookmarkStart w:id="3" w:name="_Toc101843124"/>
      <w:bookmarkStart w:id="4" w:name="_Toc101951257"/>
      <w:bookmarkStart w:id="5" w:name="_Toc175644388"/>
      <w:bookmarkStart w:id="6" w:name="_Toc403491565"/>
      <w:bookmarkStart w:id="7" w:name="_Toc401575143"/>
      <w:r>
        <w:rPr>
          <w:rFonts w:ascii="宋体" w:hAnsi="宋体" w:cs="宋体"/>
          <w:color w:val="auto"/>
          <w:sz w:val="24"/>
          <w:highlight w:val="none"/>
        </w:rPr>
        <w:t>为深入贯彻落实习近平总书记关于垃圾分类系列重要指示批示精神和国家、省、市有关决策部署要求，进一步推动城区居民小区生活垃圾分类体系常态高效运行，持续提高生活垃圾减量化、资源化、无害化水平。结合我区实际制定本方案。</w:t>
      </w:r>
    </w:p>
    <w:p>
      <w:pPr>
        <w:pStyle w:val="17"/>
        <w:spacing w:line="520" w:lineRule="exact"/>
        <w:ind w:firstLine="600"/>
        <w:outlineLvl w:val="1"/>
        <w:rPr>
          <w:rFonts w:hint="default" w:ascii="宋体" w:hAnsi="宋体" w:cs="宋体"/>
          <w:color w:val="auto"/>
          <w:sz w:val="24"/>
          <w:szCs w:val="24"/>
          <w:highlight w:val="none"/>
        </w:rPr>
      </w:pPr>
      <w:r>
        <w:rPr>
          <w:rFonts w:ascii="宋体" w:hAnsi="宋体" w:cs="宋体"/>
          <w:b/>
          <w:bCs/>
          <w:color w:val="auto"/>
          <w:sz w:val="24"/>
          <w:szCs w:val="24"/>
          <w:highlight w:val="none"/>
        </w:rPr>
        <w:t>三、服务范围</w:t>
      </w:r>
    </w:p>
    <w:p>
      <w:pPr>
        <w:pStyle w:val="17"/>
        <w:spacing w:line="520" w:lineRule="exact"/>
        <w:ind w:firstLine="600"/>
        <w:outlineLvl w:val="1"/>
        <w:rPr>
          <w:rFonts w:hint="default" w:ascii="宋体" w:hAnsi="宋体" w:cs="宋体"/>
          <w:color w:val="auto"/>
          <w:sz w:val="24"/>
          <w:szCs w:val="24"/>
          <w:highlight w:val="none"/>
        </w:rPr>
      </w:pPr>
      <w:r>
        <w:rPr>
          <w:rFonts w:ascii="宋体" w:hAnsi="宋体" w:cs="宋体"/>
          <w:color w:val="auto"/>
          <w:sz w:val="24"/>
          <w:szCs w:val="24"/>
          <w:highlight w:val="none"/>
        </w:rPr>
        <w:t>云龙区辖区</w:t>
      </w:r>
    </w:p>
    <w:p>
      <w:pPr>
        <w:pStyle w:val="17"/>
        <w:spacing w:line="520" w:lineRule="exact"/>
        <w:ind w:firstLine="600"/>
        <w:outlineLvl w:val="1"/>
        <w:rPr>
          <w:rFonts w:hint="default" w:ascii="宋体" w:hAnsi="宋体" w:cs="宋体"/>
          <w:color w:val="auto"/>
          <w:sz w:val="24"/>
          <w:highlight w:val="none"/>
        </w:rPr>
      </w:pPr>
      <w:r>
        <w:rPr>
          <w:rFonts w:ascii="宋体" w:hAnsi="宋体" w:cs="宋体"/>
          <w:color w:val="auto"/>
          <w:sz w:val="24"/>
          <w:highlight w:val="none"/>
        </w:rPr>
        <w:t>1、居民小区（含城中村）的厨余垃圾、有害垃圾、其他垃圾、可回收物、大件垃圾收运。</w:t>
      </w:r>
    </w:p>
    <w:p>
      <w:pPr>
        <w:pStyle w:val="17"/>
        <w:spacing w:line="520" w:lineRule="exact"/>
        <w:ind w:firstLine="600"/>
        <w:outlineLvl w:val="1"/>
        <w:rPr>
          <w:rFonts w:hint="default" w:ascii="宋体" w:hAnsi="宋体" w:cs="宋体"/>
          <w:color w:val="auto"/>
          <w:sz w:val="24"/>
          <w:highlight w:val="none"/>
        </w:rPr>
      </w:pPr>
      <w:r>
        <w:rPr>
          <w:rFonts w:ascii="宋体" w:hAnsi="宋体" w:cs="宋体"/>
          <w:color w:val="auto"/>
          <w:sz w:val="24"/>
          <w:highlight w:val="none"/>
        </w:rPr>
        <w:t>2、无物业居民小区（含城中村）生活垃圾收集亭房环境卫生管理，包括日常保洁、桶边督导、亭房设施维护维修等。</w:t>
      </w:r>
    </w:p>
    <w:p>
      <w:pPr>
        <w:pStyle w:val="17"/>
        <w:spacing w:line="520" w:lineRule="exact"/>
        <w:ind w:firstLine="600"/>
        <w:outlineLvl w:val="1"/>
        <w:rPr>
          <w:rFonts w:hint="default" w:ascii="宋体" w:hAnsi="宋体" w:cs="宋体"/>
          <w:color w:val="auto"/>
          <w:sz w:val="24"/>
          <w:highlight w:val="none"/>
        </w:rPr>
      </w:pPr>
      <w:r>
        <w:rPr>
          <w:rFonts w:ascii="宋体" w:hAnsi="宋体" w:cs="宋体"/>
          <w:color w:val="auto"/>
          <w:sz w:val="24"/>
          <w:highlight w:val="none"/>
        </w:rPr>
        <w:t>3、厨余垃圾驳运点专人管理，负责驳运点环境卫生管理、消杀除臭、厨余垃圾计量、安全管理等工作。</w:t>
      </w:r>
    </w:p>
    <w:p>
      <w:pPr>
        <w:pStyle w:val="17"/>
        <w:spacing w:line="520" w:lineRule="exact"/>
        <w:ind w:firstLine="600"/>
        <w:outlineLvl w:val="1"/>
        <w:rPr>
          <w:rFonts w:hint="default" w:ascii="宋体" w:hAnsi="宋体" w:cs="宋体"/>
          <w:color w:val="auto"/>
          <w:sz w:val="24"/>
          <w:highlight w:val="none"/>
        </w:rPr>
      </w:pPr>
      <w:r>
        <w:rPr>
          <w:rFonts w:ascii="宋体" w:hAnsi="宋体" w:cs="宋体"/>
          <w:color w:val="auto"/>
          <w:sz w:val="24"/>
          <w:highlight w:val="none"/>
        </w:rPr>
        <w:t>4、生活垃圾分类宣传，指导、督促居民分类投放。</w:t>
      </w:r>
    </w:p>
    <w:p>
      <w:pPr>
        <w:pStyle w:val="17"/>
        <w:spacing w:line="520" w:lineRule="exact"/>
        <w:ind w:firstLine="600"/>
        <w:outlineLvl w:val="1"/>
        <w:rPr>
          <w:rFonts w:hint="default" w:ascii="宋体" w:hAnsi="宋体" w:cs="宋体"/>
          <w:color w:val="auto"/>
          <w:sz w:val="24"/>
          <w:highlight w:val="none"/>
        </w:rPr>
      </w:pPr>
      <w:r>
        <w:rPr>
          <w:rFonts w:ascii="宋体" w:hAnsi="宋体" w:cs="宋体"/>
          <w:color w:val="auto"/>
          <w:sz w:val="24"/>
          <w:highlight w:val="none"/>
        </w:rPr>
        <w:t>5、大气污染、雨雪冰冻、突发应急处理事项等保障；节假日、重大活动等保障。</w:t>
      </w:r>
    </w:p>
    <w:p>
      <w:pPr>
        <w:pStyle w:val="17"/>
        <w:spacing w:line="520" w:lineRule="exact"/>
        <w:ind w:firstLine="600"/>
        <w:outlineLvl w:val="1"/>
        <w:rPr>
          <w:rFonts w:hint="default" w:ascii="宋体" w:hAnsi="宋体" w:cs="宋体"/>
          <w:color w:val="auto"/>
          <w:sz w:val="24"/>
          <w:highlight w:val="none"/>
        </w:rPr>
      </w:pPr>
      <w:r>
        <w:rPr>
          <w:rFonts w:ascii="宋体" w:hAnsi="宋体" w:cs="宋体"/>
          <w:color w:val="auto"/>
          <w:sz w:val="24"/>
          <w:highlight w:val="none"/>
        </w:rPr>
        <w:t>6、数字化案件、12345 等投诉处理。</w:t>
      </w:r>
    </w:p>
    <w:p>
      <w:pPr>
        <w:pStyle w:val="17"/>
        <w:spacing w:line="520" w:lineRule="exact"/>
        <w:ind w:firstLine="600"/>
        <w:outlineLvl w:val="1"/>
        <w:rPr>
          <w:rFonts w:hint="default" w:ascii="宋体" w:hAnsi="宋体" w:cs="宋体"/>
          <w:color w:val="auto"/>
          <w:sz w:val="24"/>
          <w:szCs w:val="24"/>
          <w:highlight w:val="none"/>
        </w:rPr>
      </w:pPr>
      <w:r>
        <w:rPr>
          <w:rFonts w:ascii="宋体" w:hAnsi="宋体" w:cs="宋体"/>
          <w:b/>
          <w:bCs/>
          <w:color w:val="auto"/>
          <w:sz w:val="24"/>
          <w:szCs w:val="24"/>
          <w:highlight w:val="none"/>
        </w:rPr>
        <w:t>四、服务内容及要求</w:t>
      </w:r>
    </w:p>
    <w:p>
      <w:pPr>
        <w:pStyle w:val="17"/>
        <w:spacing w:line="520" w:lineRule="exact"/>
        <w:ind w:firstLine="600"/>
        <w:outlineLvl w:val="1"/>
        <w:rPr>
          <w:rFonts w:hint="default" w:ascii="宋体" w:hAnsi="宋体" w:cs="宋体"/>
          <w:color w:val="auto"/>
          <w:sz w:val="24"/>
          <w:szCs w:val="24"/>
          <w:highlight w:val="none"/>
        </w:rPr>
      </w:pPr>
      <w:r>
        <w:rPr>
          <w:rFonts w:ascii="宋体" w:hAnsi="宋体" w:cs="宋体"/>
          <w:color w:val="auto"/>
          <w:sz w:val="24"/>
          <w:szCs w:val="24"/>
          <w:highlight w:val="none"/>
        </w:rPr>
        <w:t>（一）居民小区垃圾分类</w:t>
      </w:r>
    </w:p>
    <w:p>
      <w:pPr>
        <w:pStyle w:val="17"/>
        <w:spacing w:line="520" w:lineRule="exact"/>
        <w:ind w:firstLine="600"/>
        <w:outlineLvl w:val="1"/>
        <w:rPr>
          <w:rFonts w:hint="default" w:ascii="宋体" w:hAnsi="宋体" w:cs="宋体"/>
          <w:color w:val="auto"/>
          <w:sz w:val="24"/>
          <w:szCs w:val="24"/>
          <w:highlight w:val="none"/>
        </w:rPr>
      </w:pPr>
      <w:r>
        <w:rPr>
          <w:rFonts w:cs="宋体" w:asciiTheme="minorEastAsia" w:hAnsiTheme="minorEastAsia" w:eastAsiaTheme="minorEastAsia"/>
          <w:color w:val="auto"/>
          <w:sz w:val="24"/>
          <w:szCs w:val="24"/>
          <w:highlight w:val="none"/>
        </w:rPr>
        <w:t>1.收集房保洁：按时开放、关闭收集房</w:t>
      </w:r>
      <w:r>
        <w:rPr>
          <w:rFonts w:cs="宋体" w:asciiTheme="minorEastAsia" w:hAnsiTheme="minorEastAsia" w:eastAsiaTheme="minorEastAsia"/>
          <w:color w:val="auto"/>
          <w:sz w:val="24"/>
          <w:highlight w:val="none"/>
        </w:rPr>
        <w:t>。</w:t>
      </w:r>
      <w:r>
        <w:rPr>
          <w:rFonts w:cs="宋体" w:asciiTheme="majorEastAsia" w:hAnsiTheme="majorEastAsia" w:eastAsiaTheme="majorEastAsia"/>
          <w:color w:val="auto"/>
          <w:sz w:val="24"/>
          <w:highlight w:val="none"/>
        </w:rPr>
        <w:t>垃圾分类收集容器功能完好、无破损不满溢、种类齐全；垃圾分类投放设施摆放整齐，无随意摆放在收集房以外位置现象垃圾分类收集容器干净整洁。</w:t>
      </w:r>
      <w:r>
        <w:rPr>
          <w:rFonts w:cs="宋体" w:asciiTheme="minorEastAsia" w:hAnsiTheme="minorEastAsia" w:eastAsiaTheme="minorEastAsia"/>
          <w:color w:val="auto"/>
          <w:sz w:val="24"/>
          <w:highlight w:val="none"/>
        </w:rPr>
        <w:t>确保收集房洗手池、照明设施等设施齐全且能正常使用。</w:t>
      </w:r>
      <w:r>
        <w:rPr>
          <w:rFonts w:ascii="宋体" w:hAnsi="宋体" w:cs="宋体"/>
          <w:color w:val="auto"/>
          <w:sz w:val="24"/>
          <w:szCs w:val="24"/>
          <w:highlight w:val="none"/>
        </w:rPr>
        <w:t>各类标志标识完好、规范。</w:t>
      </w:r>
      <w:r>
        <w:rPr>
          <w:rFonts w:cs="宋体" w:asciiTheme="minorEastAsia" w:hAnsiTheme="minorEastAsia" w:eastAsiaTheme="minorEastAsia"/>
          <w:color w:val="auto"/>
          <w:sz w:val="24"/>
          <w:highlight w:val="none"/>
        </w:rPr>
        <w:t>做好设施维护及环境卫生管理工作，保持点位设施、设备原貌；收集房配备清洗、消杀物品、确保收集房及周边的环境干净整洁，确保无暴露垃圾、无污水污渍、无臭气臭味等。</w:t>
      </w:r>
    </w:p>
    <w:p>
      <w:pPr>
        <w:pStyle w:val="23"/>
        <w:spacing w:line="52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2.收集房督导：居民小区（含城中村等，以下同）收集房开放时间根据小区居民投放习惯合理设置；</w:t>
      </w:r>
      <w:r>
        <w:rPr>
          <w:rFonts w:hint="eastAsia" w:ascii="宋体" w:hAnsi="宋体" w:eastAsia="宋体" w:cs="宋体"/>
          <w:color w:val="auto"/>
          <w:sz w:val="24"/>
          <w:highlight w:val="none"/>
        </w:rPr>
        <w:t>因地制宜推行专人定时督导。定期对督导员进行</w:t>
      </w:r>
      <w:r>
        <w:rPr>
          <w:rFonts w:ascii="宋体" w:hAnsi="宋体" w:eastAsia="宋体" w:cs="宋体"/>
          <w:color w:val="auto"/>
          <w:sz w:val="24"/>
          <w:highlight w:val="none"/>
        </w:rPr>
        <w:t>分类标准、沟通技巧专项培训，加强</w:t>
      </w:r>
      <w:r>
        <w:rPr>
          <w:rFonts w:hint="eastAsia" w:ascii="宋体" w:hAnsi="宋体" w:eastAsia="宋体" w:cs="宋体"/>
          <w:color w:val="auto"/>
          <w:sz w:val="24"/>
          <w:highlight w:val="none"/>
        </w:rPr>
        <w:t>督导员</w:t>
      </w:r>
      <w:r>
        <w:rPr>
          <w:rFonts w:ascii="宋体" w:hAnsi="宋体" w:eastAsia="宋体" w:cs="宋体"/>
          <w:color w:val="auto"/>
          <w:sz w:val="24"/>
          <w:highlight w:val="none"/>
        </w:rPr>
        <w:t>队伍建设</w:t>
      </w:r>
      <w:r>
        <w:rPr>
          <w:rFonts w:hint="eastAsia" w:ascii="宋体" w:hAnsi="宋体" w:eastAsia="宋体" w:cs="宋体"/>
          <w:color w:val="auto"/>
          <w:sz w:val="24"/>
          <w:highlight w:val="none"/>
        </w:rPr>
        <w:t>，打造一批</w:t>
      </w:r>
      <w:r>
        <w:rPr>
          <w:rFonts w:ascii="宋体" w:hAnsi="宋体" w:eastAsia="宋体" w:cs="宋体"/>
          <w:color w:val="auto"/>
          <w:sz w:val="24"/>
          <w:highlight w:val="none"/>
        </w:rPr>
        <w:t>“能开口</w:t>
      </w:r>
      <w:r>
        <w:rPr>
          <w:rFonts w:hint="eastAsia" w:ascii="宋体" w:hAnsi="宋体" w:eastAsia="宋体" w:cs="宋体"/>
          <w:color w:val="auto"/>
          <w:sz w:val="24"/>
          <w:highlight w:val="none"/>
        </w:rPr>
        <w:t>”</w:t>
      </w:r>
      <w:r>
        <w:rPr>
          <w:rFonts w:ascii="宋体" w:hAnsi="宋体" w:eastAsia="宋体" w:cs="宋体"/>
          <w:color w:val="auto"/>
          <w:sz w:val="24"/>
          <w:highlight w:val="none"/>
        </w:rPr>
        <w:t>、</w:t>
      </w:r>
      <w:r>
        <w:rPr>
          <w:rFonts w:hint="eastAsia" w:ascii="宋体" w:hAnsi="宋体" w:eastAsia="宋体" w:cs="宋体"/>
          <w:color w:val="auto"/>
          <w:sz w:val="24"/>
          <w:highlight w:val="none"/>
        </w:rPr>
        <w:t>“</w:t>
      </w:r>
      <w:r>
        <w:rPr>
          <w:rFonts w:ascii="宋体" w:hAnsi="宋体" w:eastAsia="宋体" w:cs="宋体"/>
          <w:color w:val="auto"/>
          <w:sz w:val="24"/>
          <w:highlight w:val="none"/>
        </w:rPr>
        <w:t>会引导”扎根社区前端的专业力量</w:t>
      </w:r>
      <w:r>
        <w:rPr>
          <w:rFonts w:hint="eastAsia" w:ascii="宋体" w:hAnsi="宋体" w:eastAsia="宋体" w:cs="宋体"/>
          <w:color w:val="auto"/>
          <w:sz w:val="24"/>
          <w:highlight w:val="none"/>
        </w:rPr>
        <w:t>，</w:t>
      </w:r>
      <w:r>
        <w:rPr>
          <w:rFonts w:ascii="宋体" w:hAnsi="宋体" w:eastAsia="宋体" w:cs="宋体"/>
          <w:color w:val="auto"/>
          <w:sz w:val="24"/>
          <w:highlight w:val="none"/>
        </w:rPr>
        <w:t>通过宣传、指导、监督等方式，</w:t>
      </w:r>
      <w:r>
        <w:rPr>
          <w:rFonts w:hint="eastAsia" w:ascii="宋体" w:hAnsi="宋体" w:eastAsia="宋体" w:cs="宋体"/>
          <w:color w:val="auto"/>
          <w:sz w:val="24"/>
          <w:highlight w:val="none"/>
        </w:rPr>
        <w:t>引导居民会分类、主动分类，</w:t>
      </w:r>
      <w:r>
        <w:rPr>
          <w:rFonts w:ascii="宋体" w:hAnsi="宋体" w:eastAsia="宋体" w:cs="宋体"/>
          <w:color w:val="auto"/>
          <w:sz w:val="24"/>
          <w:highlight w:val="none"/>
        </w:rPr>
        <w:t>提升</w:t>
      </w:r>
      <w:r>
        <w:rPr>
          <w:rFonts w:hint="eastAsia" w:ascii="宋体" w:hAnsi="宋体" w:eastAsia="宋体" w:cs="宋体"/>
          <w:color w:val="auto"/>
          <w:sz w:val="24"/>
          <w:highlight w:val="none"/>
        </w:rPr>
        <w:t>分出</w:t>
      </w:r>
      <w:r>
        <w:rPr>
          <w:rFonts w:ascii="宋体" w:hAnsi="宋体" w:eastAsia="宋体" w:cs="宋体"/>
          <w:color w:val="auto"/>
          <w:sz w:val="24"/>
          <w:highlight w:val="none"/>
        </w:rPr>
        <w:t>率。</w:t>
      </w:r>
      <w:r>
        <w:rPr>
          <w:rFonts w:hint="eastAsia" w:ascii="宋体" w:hAnsi="宋体" w:eastAsia="宋体" w:cs="宋体"/>
          <w:color w:val="auto"/>
          <w:sz w:val="24"/>
          <w:highlight w:val="none"/>
        </w:rPr>
        <w:t>督导员应着装统一，佩戴工作证，有明显所属单位标志。</w:t>
      </w:r>
    </w:p>
    <w:p>
      <w:pPr>
        <w:pStyle w:val="23"/>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3、攻坚类收集亭精细化管理：实施精细化管理的收集亭，安排专职督导员，每天在收集亭现场督导，工作时间段不低于全天6小时，早中晚各不低于2小时，节假日增加不少于1小时。</w:t>
      </w:r>
    </w:p>
    <w:p>
      <w:pPr>
        <w:pStyle w:val="17"/>
        <w:spacing w:line="520" w:lineRule="exact"/>
        <w:ind w:firstLine="600"/>
        <w:outlineLvl w:val="1"/>
        <w:rPr>
          <w:rFonts w:hint="default" w:ascii="宋体" w:hAnsi="宋体" w:cs="宋体"/>
          <w:color w:val="auto"/>
          <w:sz w:val="24"/>
          <w:szCs w:val="24"/>
          <w:highlight w:val="none"/>
        </w:rPr>
      </w:pPr>
      <w:r>
        <w:rPr>
          <w:rFonts w:ascii="宋体" w:hAnsi="宋体" w:cs="宋体"/>
          <w:color w:val="auto"/>
          <w:sz w:val="24"/>
          <w:szCs w:val="24"/>
          <w:highlight w:val="none"/>
        </w:rPr>
        <w:t>（二）前端分类收运</w:t>
      </w:r>
    </w:p>
    <w:p>
      <w:pPr>
        <w:pStyle w:val="17"/>
        <w:spacing w:line="520" w:lineRule="exact"/>
        <w:ind w:firstLine="600"/>
        <w:outlineLvl w:val="1"/>
        <w:rPr>
          <w:rFonts w:hint="default" w:ascii="宋体" w:hAnsi="宋体" w:cs="宋体"/>
          <w:color w:val="auto"/>
          <w:sz w:val="24"/>
          <w:szCs w:val="24"/>
          <w:highlight w:val="none"/>
        </w:rPr>
      </w:pPr>
      <w:r>
        <w:rPr>
          <w:rFonts w:ascii="宋体" w:hAnsi="宋体" w:cs="宋体"/>
          <w:color w:val="auto"/>
          <w:sz w:val="24"/>
          <w:szCs w:val="24"/>
          <w:highlight w:val="none"/>
        </w:rPr>
        <w:t>1.生活垃圾前端分类收集：合理规划生活垃圾分类收运路线，按照收集房垃圾桶不满溢、无异味的工作要求，科学确定收运频次，居民小区其他垃圾、厨余垃圾日产日清，厨余垃圾在收集房关闭后内将厨余垃圾桶驳运至驳运点，其他垃圾使用挂桶、密闭收集至中转站；高低值可回收物采用定期收集或预约上门收集方式。有害垃圾垃圾、大件垃圾定期运至指定地点。</w:t>
      </w:r>
    </w:p>
    <w:p>
      <w:pPr>
        <w:pStyle w:val="17"/>
        <w:spacing w:line="520" w:lineRule="exact"/>
        <w:ind w:firstLine="600"/>
        <w:outlineLvl w:val="1"/>
        <w:rPr>
          <w:rFonts w:hint="default" w:ascii="宋体" w:hAnsi="宋体" w:cs="宋体"/>
          <w:color w:val="auto"/>
          <w:sz w:val="24"/>
          <w:szCs w:val="24"/>
          <w:highlight w:val="none"/>
        </w:rPr>
      </w:pPr>
      <w:r>
        <w:rPr>
          <w:rFonts w:ascii="宋体" w:hAnsi="宋体" w:cs="宋体"/>
          <w:color w:val="auto"/>
          <w:sz w:val="24"/>
          <w:szCs w:val="24"/>
          <w:highlight w:val="none"/>
        </w:rPr>
        <w:t>2、厨余垃圾驳运点管理：配备专人管理，负责驳运点环境卫生管理、消杀除臭、</w:t>
      </w:r>
      <w:bookmarkStart w:id="8" w:name="_Hlk175322402"/>
      <w:r>
        <w:rPr>
          <w:rFonts w:ascii="宋体" w:hAnsi="宋体" w:cs="宋体"/>
          <w:color w:val="auto"/>
          <w:sz w:val="24"/>
          <w:szCs w:val="24"/>
          <w:highlight w:val="none"/>
        </w:rPr>
        <w:t>保证驳运点安全规范有序运行</w:t>
      </w:r>
      <w:bookmarkEnd w:id="8"/>
      <w:r>
        <w:rPr>
          <w:rFonts w:ascii="宋体" w:hAnsi="宋体" w:cs="宋体"/>
          <w:color w:val="auto"/>
          <w:sz w:val="24"/>
          <w:szCs w:val="24"/>
          <w:highlight w:val="none"/>
        </w:rPr>
        <w:t>，厨余垃圾计量、厨余垃圾驳运车辆的保养、维修、保险、维护、能耗等。</w:t>
      </w:r>
    </w:p>
    <w:p>
      <w:pPr>
        <w:pStyle w:val="17"/>
        <w:spacing w:line="520" w:lineRule="exact"/>
        <w:ind w:firstLine="600"/>
        <w:outlineLvl w:val="1"/>
        <w:rPr>
          <w:rFonts w:hint="default" w:ascii="宋体" w:hAnsi="宋体" w:cs="宋体"/>
          <w:color w:val="auto"/>
          <w:sz w:val="24"/>
          <w:szCs w:val="24"/>
          <w:highlight w:val="none"/>
        </w:rPr>
      </w:pPr>
      <w:r>
        <w:rPr>
          <w:rFonts w:ascii="宋体" w:hAnsi="宋体" w:cs="宋体"/>
          <w:color w:val="auto"/>
          <w:sz w:val="24"/>
          <w:szCs w:val="24"/>
          <w:highlight w:val="none"/>
        </w:rPr>
        <w:t>3、垃圾收运管理：加强收运车辆管理，车容车貌良好、分类标志标识规范、车辆密闭运输。强化收运作业全过程监管，严格落实“桶车同色、转车专用”，杜绝“混收混运”现象。</w:t>
      </w:r>
    </w:p>
    <w:bookmarkEnd w:id="2"/>
    <w:bookmarkEnd w:id="3"/>
    <w:bookmarkEnd w:id="4"/>
    <w:bookmarkEnd w:id="5"/>
    <w:bookmarkEnd w:id="6"/>
    <w:bookmarkEnd w:id="7"/>
    <w:p>
      <w:pPr>
        <w:spacing w:line="520" w:lineRule="exact"/>
        <w:ind w:firstLine="480" w:firstLineChars="200"/>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4、健全健全回收体系：根据实际需要合理设置可回收物分拣中心、中转站，充分发挥现有生活垃圾分类收集点、智能回收箱等设施设备回收作用，积极在社区、小区设置可回收物回收服务点。创新推广预约上门回收、车辆流动回收、“互联网+回收”等灵活收运模式。</w:t>
      </w:r>
      <w:r>
        <w:rPr>
          <w:rFonts w:hint="eastAsia" w:asciiTheme="minorEastAsia" w:hAnsiTheme="minorEastAsia" w:eastAsiaTheme="minorEastAsia"/>
          <w:color w:val="auto"/>
          <w:sz w:val="24"/>
          <w:highlight w:val="none"/>
        </w:rPr>
        <w:t>按照“一街道一中转”的原则，</w:t>
      </w:r>
      <w:r>
        <w:rPr>
          <w:rFonts w:hint="eastAsia" w:asciiTheme="majorEastAsia" w:hAnsiTheme="majorEastAsia" w:eastAsiaTheme="majorEastAsia"/>
          <w:color w:val="auto"/>
          <w:sz w:val="24"/>
          <w:highlight w:val="none"/>
        </w:rPr>
        <w:t>中转站</w:t>
      </w:r>
      <w:r>
        <w:rPr>
          <w:rFonts w:hint="eastAsia" w:asciiTheme="minorEastAsia" w:hAnsiTheme="minorEastAsia" w:eastAsiaTheme="minorEastAsia"/>
          <w:color w:val="auto"/>
          <w:sz w:val="24"/>
          <w:highlight w:val="none"/>
        </w:rPr>
        <w:t xml:space="preserve">面积不低于 50 平方/座，统一规划、统一形象、统一管理规范、统一衡器，功能包含回收、暂存、宣传、积分兑换、便民服务等功能。站点的建设应符合土地、“建筑、环境保护、消防等有关方面的政策和规定。每座中转站至分拣中心至少配备 1 辆封闭式新能源电动运输车，运输车应采用统一涂装、统一标识，按照当地公安交通管理部门规定的路线和时间行驶。 </w:t>
      </w:r>
    </w:p>
    <w:p>
      <w:pPr>
        <w:spacing w:line="52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（三）生活垃圾分类治理和信息化建设：</w:t>
      </w:r>
      <w:r>
        <w:rPr>
          <w:rFonts w:asciiTheme="minorEastAsia" w:hAnsiTheme="minorEastAsia" w:eastAsiaTheme="minorEastAsia"/>
          <w:color w:val="auto"/>
          <w:sz w:val="24"/>
          <w:highlight w:val="none"/>
        </w:rPr>
        <w:t>生活垃圾分类治理需以信息化为核心引擎，打通 “居民参与 - 分类投放 - 收运处置 - 监管优化” 全流程</w:t>
      </w:r>
      <w:r>
        <w:rPr>
          <w:rFonts w:hint="eastAsia" w:asciiTheme="minorEastAsia" w:hAnsiTheme="minorEastAsia" w:eastAsiaTheme="minorEastAsia"/>
          <w:color w:val="auto"/>
          <w:sz w:val="24"/>
          <w:highlight w:val="none"/>
        </w:rPr>
        <w:t>。高低值可回收物通过</w:t>
      </w:r>
      <w:r>
        <w:rPr>
          <w:rFonts w:asciiTheme="minorEastAsia" w:hAnsiTheme="minorEastAsia" w:eastAsiaTheme="minorEastAsia"/>
          <w:color w:val="auto"/>
          <w:sz w:val="24"/>
          <w:highlight w:val="none"/>
        </w:rPr>
        <w:t>前端依托智能回收箱、移动端小程序实现居民投放信息化</w:t>
      </w:r>
      <w:r>
        <w:rPr>
          <w:rFonts w:asciiTheme="minorEastAsia" w:hAnsiTheme="minorEastAsia" w:eastAsiaTheme="minorEastAsia"/>
          <w:color w:val="auto"/>
          <w:sz w:val="24"/>
          <w:highlight w:val="none"/>
        </w:rPr>
        <w:t>，中端通过</w:t>
      </w:r>
      <w:r>
        <w:rPr>
          <w:rFonts w:hint="eastAsia" w:asciiTheme="minorEastAsia" w:hAnsiTheme="minorEastAsia" w:eastAsiaTheme="minorEastAsia"/>
          <w:color w:val="auto"/>
          <w:sz w:val="24"/>
          <w:highlight w:val="none"/>
        </w:rPr>
        <w:t xml:space="preserve"> GPS 定位与 AI 视频监控设备，实时记录清运路线、垃圾装卸过程，发现混装行为自动预警；建立 “社区巡查 + 平台监管” 双机制。</w:t>
      </w:r>
      <w:r>
        <w:rPr>
          <w:rFonts w:asciiTheme="minorEastAsia" w:hAnsiTheme="minorEastAsia" w:eastAsiaTheme="minorEastAsia"/>
          <w:color w:val="auto"/>
          <w:sz w:val="24"/>
          <w:highlight w:val="none"/>
        </w:rPr>
        <w:t>后端</w:t>
      </w:r>
      <w:r>
        <w:rPr>
          <w:rFonts w:hint="eastAsia" w:asciiTheme="minorEastAsia" w:hAnsiTheme="minorEastAsia" w:eastAsiaTheme="minorEastAsia"/>
          <w:color w:val="auto"/>
          <w:sz w:val="24"/>
          <w:highlight w:val="none"/>
        </w:rPr>
        <w:t>通过</w:t>
      </w:r>
      <w:r>
        <w:rPr>
          <w:rFonts w:asciiTheme="minorEastAsia" w:hAnsiTheme="minorEastAsia" w:eastAsiaTheme="minorEastAsia"/>
          <w:color w:val="auto"/>
          <w:sz w:val="24"/>
          <w:highlight w:val="none"/>
        </w:rPr>
        <w:t>分拣中心数据链路，记录</w:t>
      </w:r>
      <w:r>
        <w:rPr>
          <w:rFonts w:hint="eastAsia" w:asciiTheme="minorEastAsia" w:hAnsiTheme="minorEastAsia" w:eastAsiaTheme="minorEastAsia"/>
          <w:color w:val="auto"/>
          <w:sz w:val="24"/>
          <w:highlight w:val="none"/>
        </w:rPr>
        <w:t>各品类回收源、回收量</w:t>
      </w:r>
      <w:r>
        <w:rPr>
          <w:rFonts w:asciiTheme="minorEastAsia" w:hAnsiTheme="minorEastAsia" w:eastAsiaTheme="minorEastAsia"/>
          <w:color w:val="auto"/>
          <w:sz w:val="24"/>
          <w:highlight w:val="none"/>
        </w:rPr>
        <w:t>，实现从居民投放到再生利用的全流程溯源，让全链条在信息化赋能下更高效、更透明，既提升居民参与便捷度，为体系运营优化、政策制定提供数据支撑。</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、具体服务范围及运行最低配置</w:t>
      </w:r>
      <w:r>
        <w:rPr>
          <w:rFonts w:hint="eastAsia" w:ascii="宋体" w:hAnsi="宋体" w:cs="宋体"/>
          <w:color w:val="auto"/>
          <w:sz w:val="24"/>
          <w:highlight w:val="none"/>
        </w:rPr>
        <w:t>（本项不允许负偏离，否则按废标处理）</w:t>
      </w:r>
    </w:p>
    <w:p>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（一）人员、设备专用原则</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1.人员专用原则：</w:t>
      </w:r>
      <w:r>
        <w:rPr>
          <w:rFonts w:hint="eastAsia" w:ascii="宋体" w:hAnsi="宋体" w:cs="宋体"/>
          <w:color w:val="auto"/>
          <w:sz w:val="24"/>
          <w:highlight w:val="none"/>
        </w:rPr>
        <w:t>项目所有人员专门服务于本项目，不得用于其他项目中，投标项目负责人应为投标人本单位人员（提供开标前6个月任意一个月社保缴纳证明），且须常驻本项目。</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2.设备（车辆）专用原则：</w:t>
      </w:r>
      <w:r>
        <w:rPr>
          <w:rFonts w:hint="eastAsia" w:ascii="宋体" w:hAnsi="宋体" w:cs="宋体"/>
          <w:color w:val="auto"/>
          <w:sz w:val="24"/>
          <w:highlight w:val="none"/>
        </w:rPr>
        <w:t>投标人必须按照招标文件要求配备相关车辆设备，且承诺投入车辆均为本项目专用车辆，不得用于其他项目。</w:t>
      </w:r>
    </w:p>
    <w:p>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（二）人员、设备配置基本要求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1.督导员年龄要求相关法律法规要求。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2.中标人承担所有人员及设备的安全责任及费用。</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3.中标人须为作业人员提供工作服及必要的劳动防护用品。</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4.投标文件中提供“中标后作业人员配置”的承诺文件，否则按照无效投标处理。</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5.设备（车辆）外观要求标识统一，中标后，必须按采购方要求进行车辆涂装，相关费用包含于投标报价内。</w:t>
      </w:r>
    </w:p>
    <w:p>
      <w:pPr>
        <w:pStyle w:val="3"/>
        <w:spacing w:line="520" w:lineRule="exact"/>
        <w:ind w:firstLine="480" w:firstLineChars="200"/>
        <w:rPr>
          <w:rFonts w:ascii="宋体" w:hAnsi="宋体" w:cs="宋体" w:eastAsiaTheme="minorEastAsia"/>
          <w:bCs w:val="0"/>
          <w:color w:val="auto"/>
          <w:sz w:val="24"/>
          <w:szCs w:val="24"/>
          <w:highlight w:val="none"/>
        </w:rPr>
      </w:pPr>
      <w:r>
        <w:rPr>
          <w:rFonts w:hint="eastAsia" w:ascii="宋体" w:hAnsi="宋体" w:cs="宋体"/>
          <w:bCs w:val="0"/>
          <w:color w:val="auto"/>
          <w:sz w:val="24"/>
          <w:szCs w:val="24"/>
          <w:highlight w:val="none"/>
        </w:rPr>
        <w:t>（三）具体服务范围及运行最低配置</w:t>
      </w:r>
    </w:p>
    <w:p>
      <w:pPr>
        <w:spacing w:line="520" w:lineRule="exact"/>
        <w:rPr>
          <w:color w:val="auto"/>
          <w:sz w:val="24"/>
          <w:highlight w:val="none"/>
        </w:rPr>
      </w:pPr>
      <w:r>
        <w:rPr>
          <w:rFonts w:hint="eastAsia"/>
          <w:color w:val="auto"/>
          <w:sz w:val="24"/>
          <w:highlight w:val="none"/>
        </w:rPr>
        <w:t>按照市级有关居民小区收集亭精细化管理明细，开展攻坚类垃圾分类收集亭的相关督导工作。（全区共计4</w:t>
      </w:r>
      <w:r>
        <w:rPr>
          <w:color w:val="auto"/>
          <w:sz w:val="24"/>
          <w:highlight w:val="none"/>
        </w:rPr>
        <w:t>0</w:t>
      </w:r>
      <w:r>
        <w:rPr>
          <w:rFonts w:hint="eastAsia"/>
          <w:color w:val="auto"/>
          <w:sz w:val="24"/>
          <w:highlight w:val="none"/>
        </w:rPr>
        <w:t>个，根据小区实际分类情况动态调整）</w:t>
      </w:r>
    </w:p>
    <w:p>
      <w:pPr>
        <w:pStyle w:val="18"/>
        <w:spacing w:line="520" w:lineRule="exact"/>
        <w:ind w:firstLine="0" w:firstLineChars="0"/>
        <w:rPr>
          <w:rFonts w:ascii="宋体" w:hAnsi="宋体" w:cs="宋体"/>
          <w:color w:val="auto"/>
          <w:sz w:val="24"/>
          <w:highlight w:val="none"/>
        </w:rPr>
      </w:pPr>
      <w:r>
        <w:rPr>
          <w:rFonts w:hint="eastAsia" w:ascii="宋体" w:hAnsi="宋体" w:cs="宋体"/>
          <w:color w:val="auto"/>
          <w:sz w:val="24"/>
          <w:highlight w:val="none"/>
        </w:rPr>
        <w:t>公司管理人员配备表：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471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shd w:val="clear" w:color="auto" w:fill="auto"/>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713" w:type="dxa"/>
            <w:shd w:val="clear" w:color="auto" w:fill="auto"/>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2841" w:type="dxa"/>
            <w:shd w:val="clear" w:color="auto" w:fill="auto"/>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shd w:val="clear" w:color="auto" w:fill="auto"/>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713" w:type="dxa"/>
            <w:shd w:val="clear" w:color="auto" w:fill="auto"/>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总负责人</w:t>
            </w:r>
          </w:p>
        </w:tc>
        <w:tc>
          <w:tcPr>
            <w:tcW w:w="2841" w:type="dxa"/>
            <w:shd w:val="clear" w:color="auto" w:fill="auto"/>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shd w:val="clear" w:color="auto" w:fill="auto"/>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713" w:type="dxa"/>
            <w:shd w:val="clear" w:color="auto" w:fill="auto"/>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其他垃圾收集、运输负责人</w:t>
            </w:r>
          </w:p>
        </w:tc>
        <w:tc>
          <w:tcPr>
            <w:tcW w:w="2841" w:type="dxa"/>
            <w:shd w:val="clear" w:color="auto" w:fill="auto"/>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shd w:val="clear" w:color="auto" w:fill="auto"/>
            <w:vAlign w:val="center"/>
          </w:tcPr>
          <w:p>
            <w:pPr>
              <w:spacing w:line="520" w:lineRule="exact"/>
              <w:jc w:val="center"/>
              <w:rPr>
                <w:color w:val="auto"/>
                <w:highlight w:val="none"/>
              </w:rPr>
            </w:pPr>
            <w:r>
              <w:rPr>
                <w:rFonts w:hint="eastAsia" w:ascii="宋体" w:hAnsi="宋体" w:cs="宋体"/>
                <w:color w:val="auto"/>
                <w:sz w:val="24"/>
                <w:highlight w:val="none"/>
              </w:rPr>
              <w:t>3</w:t>
            </w:r>
          </w:p>
        </w:tc>
        <w:tc>
          <w:tcPr>
            <w:tcW w:w="4713" w:type="dxa"/>
            <w:shd w:val="clear" w:color="auto" w:fill="auto"/>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可回收物和厨余垃圾收集、转运负责人</w:t>
            </w:r>
          </w:p>
        </w:tc>
        <w:tc>
          <w:tcPr>
            <w:tcW w:w="2841" w:type="dxa"/>
            <w:shd w:val="clear" w:color="auto" w:fill="auto"/>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shd w:val="clear" w:color="auto" w:fill="auto"/>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713" w:type="dxa"/>
            <w:shd w:val="clear" w:color="auto" w:fill="auto"/>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督导员管理人员</w:t>
            </w:r>
          </w:p>
        </w:tc>
        <w:tc>
          <w:tcPr>
            <w:tcW w:w="2841" w:type="dxa"/>
            <w:shd w:val="clear" w:color="auto" w:fill="auto"/>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1</w:t>
            </w:r>
          </w:p>
        </w:tc>
      </w:tr>
    </w:tbl>
    <w:p>
      <w:pPr>
        <w:pStyle w:val="18"/>
        <w:spacing w:line="520" w:lineRule="exact"/>
        <w:ind w:firstLine="0" w:firstLineChars="0"/>
        <w:rPr>
          <w:rFonts w:ascii="宋体" w:hAnsi="宋体" w:cs="宋体"/>
          <w:b/>
          <w:bCs/>
          <w:color w:val="auto"/>
          <w:sz w:val="24"/>
          <w:highlight w:val="none"/>
        </w:rPr>
      </w:pPr>
      <w:r>
        <w:rPr>
          <w:rFonts w:hint="eastAsia" w:ascii="宋体" w:hAnsi="宋体" w:cs="宋体"/>
          <w:b/>
          <w:bCs/>
          <w:color w:val="auto"/>
          <w:sz w:val="24"/>
          <w:highlight w:val="none"/>
        </w:rPr>
        <w:t>注：其他人员自行安排，保证项目正常运转。</w:t>
      </w:r>
    </w:p>
    <w:p>
      <w:pPr>
        <w:pStyle w:val="18"/>
        <w:spacing w:line="520" w:lineRule="exact"/>
        <w:ind w:firstLine="0" w:firstLineChars="0"/>
        <w:rPr>
          <w:rFonts w:ascii="宋体" w:hAnsi="宋体" w:cs="宋体"/>
          <w:b/>
          <w:bCs/>
          <w:color w:val="auto"/>
          <w:sz w:val="24"/>
          <w:highlight w:val="none"/>
        </w:rPr>
      </w:pPr>
      <w:r>
        <w:rPr>
          <w:rFonts w:hint="eastAsia" w:ascii="宋体" w:hAnsi="宋体" w:cs="宋体"/>
          <w:color w:val="auto"/>
          <w:sz w:val="24"/>
          <w:highlight w:val="none"/>
        </w:rPr>
        <w:t>收集点分类督导员及其他人员配备表：</w:t>
      </w:r>
    </w:p>
    <w:tbl>
      <w:tblPr>
        <w:tblStyle w:val="12"/>
        <w:tblW w:w="9089" w:type="dxa"/>
        <w:tblInd w:w="-27" w:type="dxa"/>
        <w:tblLayout w:type="fixed"/>
        <w:tblCellMar>
          <w:top w:w="0" w:type="dxa"/>
          <w:left w:w="108" w:type="dxa"/>
          <w:bottom w:w="0" w:type="dxa"/>
          <w:right w:w="108" w:type="dxa"/>
        </w:tblCellMar>
      </w:tblPr>
      <w:tblGrid>
        <w:gridCol w:w="975"/>
        <w:gridCol w:w="2191"/>
        <w:gridCol w:w="1515"/>
        <w:gridCol w:w="4408"/>
      </w:tblGrid>
      <w:tr>
        <w:tblPrEx>
          <w:tblCellMar>
            <w:top w:w="0" w:type="dxa"/>
            <w:left w:w="108" w:type="dxa"/>
            <w:bottom w:w="0" w:type="dxa"/>
            <w:right w:w="108" w:type="dxa"/>
          </w:tblCellMar>
        </w:tblPrEx>
        <w:trPr>
          <w:trHeight w:val="340" w:hRule="atLeast"/>
        </w:trPr>
        <w:tc>
          <w:tcPr>
            <w:tcW w:w="975" w:type="dxa"/>
            <w:tcBorders>
              <w:top w:val="single" w:color="080000" w:sz="8" w:space="0"/>
              <w:left w:val="single" w:color="080000" w:sz="8" w:space="0"/>
              <w:bottom w:val="single" w:color="080000" w:sz="8" w:space="0"/>
              <w:right w:val="single" w:color="080000" w:sz="8"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2191" w:type="dxa"/>
            <w:tcBorders>
              <w:top w:val="single" w:color="080000" w:sz="8" w:space="0"/>
              <w:left w:val="nil"/>
              <w:bottom w:val="single" w:color="080000" w:sz="8" w:space="0"/>
              <w:right w:val="single" w:color="080000" w:sz="8"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515" w:type="dxa"/>
            <w:tcBorders>
              <w:top w:val="single" w:color="080000" w:sz="8" w:space="0"/>
              <w:left w:val="nil"/>
              <w:bottom w:val="single" w:color="080000" w:sz="8" w:space="0"/>
              <w:right w:val="single" w:color="080000" w:sz="8"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4408" w:type="dxa"/>
            <w:tcBorders>
              <w:top w:val="single" w:color="080000" w:sz="8" w:space="0"/>
              <w:left w:val="nil"/>
              <w:bottom w:val="single" w:color="080000" w:sz="8" w:space="0"/>
              <w:right w:val="single" w:color="000000" w:sz="4"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说明</w:t>
            </w:r>
          </w:p>
        </w:tc>
      </w:tr>
      <w:tr>
        <w:tblPrEx>
          <w:tblCellMar>
            <w:top w:w="0" w:type="dxa"/>
            <w:left w:w="108" w:type="dxa"/>
            <w:bottom w:w="0" w:type="dxa"/>
            <w:right w:w="108" w:type="dxa"/>
          </w:tblCellMar>
        </w:tblPrEx>
        <w:trPr>
          <w:trHeight w:val="736" w:hRule="atLeast"/>
        </w:trPr>
        <w:tc>
          <w:tcPr>
            <w:tcW w:w="975" w:type="dxa"/>
            <w:tcBorders>
              <w:top w:val="nil"/>
              <w:left w:val="single" w:color="080000" w:sz="8" w:space="0"/>
              <w:bottom w:val="single" w:color="080000" w:sz="8" w:space="0"/>
              <w:right w:val="single" w:color="080000" w:sz="8"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191" w:type="dxa"/>
            <w:tcBorders>
              <w:top w:val="nil"/>
              <w:left w:val="nil"/>
              <w:bottom w:val="single" w:color="080000" w:sz="8" w:space="0"/>
              <w:right w:val="single" w:color="080000" w:sz="8"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垃圾分类督导员</w:t>
            </w:r>
          </w:p>
        </w:tc>
        <w:tc>
          <w:tcPr>
            <w:tcW w:w="1515" w:type="dxa"/>
            <w:tcBorders>
              <w:top w:val="nil"/>
              <w:left w:val="nil"/>
              <w:bottom w:val="single" w:color="080000" w:sz="8" w:space="0"/>
              <w:right w:val="single" w:color="080000" w:sz="8" w:space="0"/>
            </w:tcBorders>
            <w:vAlign w:val="center"/>
          </w:tcPr>
          <w:p>
            <w:pPr>
              <w:spacing w:line="520" w:lineRule="exact"/>
              <w:jc w:val="center"/>
              <w:rPr>
                <w:rFonts w:ascii="宋体" w:hAnsi="宋体" w:cs="宋体"/>
                <w:color w:val="auto"/>
                <w:sz w:val="24"/>
                <w:highlight w:val="none"/>
              </w:rPr>
            </w:pPr>
            <w:r>
              <w:rPr>
                <w:rFonts w:ascii="宋体" w:hAnsi="宋体" w:cs="宋体"/>
                <w:color w:val="auto"/>
                <w:sz w:val="24"/>
                <w:highlight w:val="none"/>
              </w:rPr>
              <w:t>303</w:t>
            </w:r>
          </w:p>
        </w:tc>
        <w:tc>
          <w:tcPr>
            <w:tcW w:w="4408" w:type="dxa"/>
            <w:tcBorders>
              <w:top w:val="nil"/>
              <w:left w:val="nil"/>
              <w:bottom w:val="single" w:color="080000" w:sz="8" w:space="0"/>
              <w:right w:val="single" w:color="000000" w:sz="4" w:space="0"/>
            </w:tcBorders>
            <w:vAlign w:val="center"/>
          </w:tcPr>
          <w:p>
            <w:pPr>
              <w:spacing w:line="520" w:lineRule="exact"/>
              <w:jc w:val="left"/>
              <w:rPr>
                <w:rFonts w:ascii="宋体" w:hAnsi="宋体" w:cs="宋体"/>
                <w:color w:val="auto"/>
                <w:sz w:val="24"/>
                <w:highlight w:val="none"/>
              </w:rPr>
            </w:pPr>
            <w:r>
              <w:rPr>
                <w:rFonts w:hint="eastAsia" w:ascii="宋体" w:hAnsi="宋体" w:cs="宋体"/>
                <w:color w:val="auto"/>
                <w:sz w:val="24"/>
                <w:highlight w:val="none"/>
              </w:rPr>
              <w:t>督导员按照实际情况配备。</w:t>
            </w:r>
          </w:p>
        </w:tc>
      </w:tr>
      <w:tr>
        <w:tblPrEx>
          <w:tblCellMar>
            <w:top w:w="0" w:type="dxa"/>
            <w:left w:w="108" w:type="dxa"/>
            <w:bottom w:w="0" w:type="dxa"/>
            <w:right w:w="108" w:type="dxa"/>
          </w:tblCellMar>
        </w:tblPrEx>
        <w:trPr>
          <w:trHeight w:val="939" w:hRule="atLeast"/>
        </w:trPr>
        <w:tc>
          <w:tcPr>
            <w:tcW w:w="975" w:type="dxa"/>
            <w:tcBorders>
              <w:top w:val="nil"/>
              <w:left w:val="single" w:color="080000" w:sz="8" w:space="0"/>
              <w:bottom w:val="single" w:color="080000" w:sz="8" w:space="0"/>
              <w:right w:val="single" w:color="080000" w:sz="8"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191" w:type="dxa"/>
            <w:tcBorders>
              <w:top w:val="nil"/>
              <w:left w:val="nil"/>
              <w:bottom w:val="single" w:color="080000" w:sz="8" w:space="0"/>
              <w:right w:val="single" w:color="080000" w:sz="8"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督导员劳保用品</w:t>
            </w:r>
          </w:p>
        </w:tc>
        <w:tc>
          <w:tcPr>
            <w:tcW w:w="1515" w:type="dxa"/>
            <w:tcBorders>
              <w:top w:val="nil"/>
              <w:left w:val="nil"/>
              <w:bottom w:val="single" w:color="080000" w:sz="8" w:space="0"/>
              <w:right w:val="single" w:color="080000" w:sz="8" w:space="0"/>
            </w:tcBorders>
            <w:vAlign w:val="center"/>
          </w:tcPr>
          <w:p>
            <w:pPr>
              <w:spacing w:line="520" w:lineRule="exact"/>
              <w:jc w:val="center"/>
              <w:rPr>
                <w:rFonts w:ascii="宋体" w:hAnsi="宋体" w:cs="宋体"/>
                <w:color w:val="auto"/>
                <w:sz w:val="24"/>
                <w:highlight w:val="none"/>
              </w:rPr>
            </w:pPr>
            <w:r>
              <w:rPr>
                <w:rFonts w:ascii="宋体" w:hAnsi="宋体" w:cs="宋体"/>
                <w:color w:val="auto"/>
                <w:sz w:val="24"/>
                <w:highlight w:val="none"/>
              </w:rPr>
              <w:t>303</w:t>
            </w:r>
          </w:p>
        </w:tc>
        <w:tc>
          <w:tcPr>
            <w:tcW w:w="4408" w:type="dxa"/>
            <w:tcBorders>
              <w:top w:val="nil"/>
              <w:left w:val="nil"/>
              <w:bottom w:val="single" w:color="080000" w:sz="8" w:space="0"/>
              <w:right w:val="single" w:color="000000" w:sz="4" w:space="0"/>
            </w:tcBorders>
            <w:vAlign w:val="center"/>
          </w:tcPr>
          <w:p>
            <w:pPr>
              <w:spacing w:line="520" w:lineRule="exact"/>
              <w:jc w:val="left"/>
              <w:rPr>
                <w:rFonts w:ascii="宋体" w:hAnsi="宋体" w:cs="宋体"/>
                <w:color w:val="auto"/>
                <w:sz w:val="24"/>
                <w:highlight w:val="none"/>
              </w:rPr>
            </w:pPr>
            <w:r>
              <w:rPr>
                <w:rFonts w:hint="eastAsia" w:ascii="宋体" w:hAnsi="宋体" w:cs="宋体"/>
                <w:color w:val="auto"/>
                <w:sz w:val="24"/>
                <w:highlight w:val="none"/>
              </w:rPr>
              <w:t>督导员工作服、口罩、手套、捡拾夹、垃圾破袋器，日常消杀消毒等劳保用品（消耗品随用随配）。</w:t>
            </w:r>
          </w:p>
        </w:tc>
      </w:tr>
      <w:tr>
        <w:tblPrEx>
          <w:tblCellMar>
            <w:top w:w="0" w:type="dxa"/>
            <w:left w:w="108" w:type="dxa"/>
            <w:bottom w:w="0" w:type="dxa"/>
            <w:right w:w="108" w:type="dxa"/>
          </w:tblCellMar>
        </w:tblPrEx>
        <w:trPr>
          <w:trHeight w:val="633" w:hRule="atLeast"/>
        </w:trPr>
        <w:tc>
          <w:tcPr>
            <w:tcW w:w="975" w:type="dxa"/>
            <w:tcBorders>
              <w:top w:val="nil"/>
              <w:left w:val="single" w:color="080000" w:sz="8" w:space="0"/>
              <w:bottom w:val="single" w:color="080000" w:sz="8" w:space="0"/>
              <w:right w:val="single" w:color="080000" w:sz="8"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191" w:type="dxa"/>
            <w:tcBorders>
              <w:top w:val="nil"/>
              <w:left w:val="nil"/>
              <w:bottom w:val="single" w:color="080000" w:sz="8" w:space="0"/>
              <w:right w:val="single" w:color="080000" w:sz="8"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厨余驳运点管理人员</w:t>
            </w:r>
          </w:p>
        </w:tc>
        <w:tc>
          <w:tcPr>
            <w:tcW w:w="1515" w:type="dxa"/>
            <w:tcBorders>
              <w:top w:val="nil"/>
              <w:left w:val="nil"/>
              <w:bottom w:val="single" w:color="080000" w:sz="8" w:space="0"/>
              <w:right w:val="single" w:color="080000" w:sz="8" w:space="0"/>
            </w:tcBorders>
            <w:vAlign w:val="center"/>
          </w:tcPr>
          <w:p>
            <w:pPr>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18</w:t>
            </w:r>
          </w:p>
        </w:tc>
        <w:tc>
          <w:tcPr>
            <w:tcW w:w="4408" w:type="dxa"/>
            <w:tcBorders>
              <w:top w:val="nil"/>
              <w:left w:val="nil"/>
              <w:bottom w:val="single" w:color="080000" w:sz="8" w:space="0"/>
              <w:right w:val="single" w:color="000000" w:sz="4" w:space="0"/>
            </w:tcBorders>
            <w:vAlign w:val="center"/>
          </w:tcPr>
          <w:p>
            <w:pPr>
              <w:spacing w:line="520" w:lineRule="exact"/>
              <w:jc w:val="left"/>
              <w:rPr>
                <w:rFonts w:ascii="宋体" w:hAnsi="宋体" w:cs="宋体"/>
                <w:color w:val="auto"/>
                <w:sz w:val="24"/>
                <w:highlight w:val="none"/>
              </w:rPr>
            </w:pPr>
            <w:r>
              <w:rPr>
                <w:rFonts w:hint="eastAsia" w:ascii="宋体" w:hAnsi="宋体" w:cs="宋体"/>
                <w:color w:val="auto"/>
                <w:sz w:val="24"/>
                <w:highlight w:val="none"/>
              </w:rPr>
              <w:t>按照每个厨余驳运点2人标准进行配备。</w:t>
            </w:r>
          </w:p>
        </w:tc>
      </w:tr>
      <w:tr>
        <w:tblPrEx>
          <w:tblCellMar>
            <w:top w:w="0" w:type="dxa"/>
            <w:left w:w="108" w:type="dxa"/>
            <w:bottom w:w="0" w:type="dxa"/>
            <w:right w:w="108" w:type="dxa"/>
          </w:tblCellMar>
        </w:tblPrEx>
        <w:trPr>
          <w:trHeight w:val="653" w:hRule="atLeast"/>
        </w:trPr>
        <w:tc>
          <w:tcPr>
            <w:tcW w:w="975" w:type="dxa"/>
            <w:tcBorders>
              <w:top w:val="nil"/>
              <w:left w:val="single" w:color="080000" w:sz="8" w:space="0"/>
              <w:bottom w:val="single" w:color="080000" w:sz="8" w:space="0"/>
              <w:right w:val="single" w:color="080000" w:sz="8"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191" w:type="dxa"/>
            <w:tcBorders>
              <w:top w:val="nil"/>
              <w:left w:val="nil"/>
              <w:bottom w:val="single" w:color="080000" w:sz="8" w:space="0"/>
              <w:right w:val="single" w:color="080000" w:sz="8"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其他人员</w:t>
            </w:r>
          </w:p>
        </w:tc>
        <w:tc>
          <w:tcPr>
            <w:tcW w:w="1515" w:type="dxa"/>
            <w:tcBorders>
              <w:top w:val="nil"/>
              <w:left w:val="nil"/>
              <w:bottom w:val="single" w:color="080000" w:sz="8" w:space="0"/>
              <w:right w:val="single" w:color="080000" w:sz="8" w:space="0"/>
            </w:tcBorders>
            <w:vAlign w:val="center"/>
          </w:tcPr>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60</w:t>
            </w:r>
          </w:p>
        </w:tc>
        <w:tc>
          <w:tcPr>
            <w:tcW w:w="4408" w:type="dxa"/>
            <w:tcBorders>
              <w:top w:val="nil"/>
              <w:left w:val="nil"/>
              <w:bottom w:val="single" w:color="080000" w:sz="8" w:space="0"/>
              <w:right w:val="single" w:color="000000" w:sz="4" w:space="0"/>
            </w:tcBorders>
            <w:vAlign w:val="center"/>
          </w:tcPr>
          <w:p>
            <w:pPr>
              <w:spacing w:line="520" w:lineRule="exact"/>
              <w:jc w:val="left"/>
              <w:rPr>
                <w:rFonts w:ascii="宋体" w:hAnsi="宋体" w:cs="宋体"/>
                <w:color w:val="auto"/>
                <w:sz w:val="24"/>
                <w:highlight w:val="none"/>
              </w:rPr>
            </w:pPr>
            <w:r>
              <w:rPr>
                <w:rFonts w:hint="eastAsia" w:ascii="宋体" w:hAnsi="宋体" w:cs="宋体"/>
                <w:color w:val="auto"/>
                <w:sz w:val="24"/>
                <w:highlight w:val="none"/>
              </w:rPr>
              <w:t>包含管理人员，回收员、驾驶员，辅助工，台账资料人员等。</w:t>
            </w:r>
          </w:p>
        </w:tc>
      </w:tr>
    </w:tbl>
    <w:p>
      <w:pPr>
        <w:pStyle w:val="18"/>
        <w:spacing w:line="520" w:lineRule="exact"/>
        <w:ind w:firstLine="0" w:firstLineChars="0"/>
        <w:rPr>
          <w:rFonts w:ascii="宋体" w:hAnsi="宋体" w:cs="宋体"/>
          <w:bCs/>
          <w:color w:val="auto"/>
          <w:sz w:val="24"/>
          <w:highlight w:val="none"/>
        </w:rPr>
      </w:pPr>
    </w:p>
    <w:p>
      <w:pPr>
        <w:pStyle w:val="18"/>
        <w:spacing w:line="520" w:lineRule="exact"/>
        <w:ind w:firstLine="0" w:firstLineChars="0"/>
        <w:rPr>
          <w:rFonts w:ascii="宋体" w:hAnsi="宋体" w:cs="宋体"/>
          <w:bCs/>
          <w:color w:val="auto"/>
          <w:sz w:val="24"/>
          <w:highlight w:val="none"/>
        </w:rPr>
      </w:pPr>
      <w:r>
        <w:rPr>
          <w:rFonts w:hint="eastAsia" w:ascii="宋体" w:hAnsi="宋体" w:cs="宋体"/>
          <w:bCs/>
          <w:color w:val="auto"/>
          <w:sz w:val="24"/>
          <w:highlight w:val="none"/>
        </w:rPr>
        <w:t>车辆配备表：</w:t>
      </w:r>
    </w:p>
    <w:tbl>
      <w:tblPr>
        <w:tblStyle w:val="12"/>
        <w:tblW w:w="8969" w:type="dxa"/>
        <w:tblInd w:w="93" w:type="dxa"/>
        <w:tblLayout w:type="fixed"/>
        <w:tblCellMar>
          <w:top w:w="0" w:type="dxa"/>
          <w:left w:w="108" w:type="dxa"/>
          <w:bottom w:w="0" w:type="dxa"/>
          <w:right w:w="108" w:type="dxa"/>
        </w:tblCellMar>
      </w:tblPr>
      <w:tblGrid>
        <w:gridCol w:w="724"/>
        <w:gridCol w:w="605"/>
        <w:gridCol w:w="1521"/>
        <w:gridCol w:w="1635"/>
        <w:gridCol w:w="4484"/>
      </w:tblGrid>
      <w:tr>
        <w:tblPrEx>
          <w:tblCellMar>
            <w:top w:w="0" w:type="dxa"/>
            <w:left w:w="108" w:type="dxa"/>
            <w:bottom w:w="0" w:type="dxa"/>
            <w:right w:w="108" w:type="dxa"/>
          </w:tblCellMar>
        </w:tblPrEx>
        <w:trPr>
          <w:trHeight w:val="326" w:hRule="atLeast"/>
        </w:trPr>
        <w:tc>
          <w:tcPr>
            <w:tcW w:w="724" w:type="dxa"/>
            <w:tcBorders>
              <w:top w:val="single" w:color="080000" w:sz="8" w:space="0"/>
              <w:left w:val="single" w:color="080000" w:sz="8" w:space="0"/>
              <w:bottom w:val="single" w:color="auto" w:sz="4" w:space="0"/>
              <w:right w:val="single" w:color="080000" w:sz="8"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2126" w:type="dxa"/>
            <w:gridSpan w:val="2"/>
            <w:tcBorders>
              <w:top w:val="single" w:color="080000" w:sz="8" w:space="0"/>
              <w:left w:val="nil"/>
              <w:bottom w:val="single" w:color="auto" w:sz="4" w:space="0"/>
              <w:right w:val="single" w:color="080000" w:sz="8"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635" w:type="dxa"/>
            <w:tcBorders>
              <w:top w:val="single" w:color="080000" w:sz="8" w:space="0"/>
              <w:left w:val="nil"/>
              <w:bottom w:val="single" w:color="auto" w:sz="4" w:space="0"/>
              <w:right w:val="single" w:color="080000" w:sz="8"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4484" w:type="dxa"/>
            <w:tcBorders>
              <w:top w:val="single" w:color="080000" w:sz="8" w:space="0"/>
              <w:left w:val="nil"/>
              <w:bottom w:val="single" w:color="auto" w:sz="4" w:space="0"/>
              <w:right w:val="single" w:color="000000" w:sz="4"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说明</w:t>
            </w:r>
          </w:p>
        </w:tc>
      </w:tr>
      <w:tr>
        <w:tblPrEx>
          <w:tblCellMar>
            <w:top w:w="0" w:type="dxa"/>
            <w:left w:w="108" w:type="dxa"/>
            <w:bottom w:w="0" w:type="dxa"/>
            <w:right w:w="108" w:type="dxa"/>
          </w:tblCellMar>
        </w:tblPrEx>
        <w:trPr>
          <w:trHeight w:val="326" w:hRule="atLeast"/>
        </w:trPr>
        <w:tc>
          <w:tcPr>
            <w:tcW w:w="724" w:type="dxa"/>
            <w:vMerge w:val="restart"/>
            <w:tcBorders>
              <w:top w:val="single" w:color="auto" w:sz="4" w:space="0"/>
              <w:left w:val="single" w:color="auto" w:sz="4" w:space="0"/>
              <w:right w:val="single" w:color="auto" w:sz="4"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605" w:type="dxa"/>
            <w:vMerge w:val="restart"/>
            <w:tcBorders>
              <w:top w:val="single" w:color="auto" w:sz="4" w:space="0"/>
              <w:left w:val="single" w:color="auto" w:sz="4" w:space="0"/>
              <w:right w:val="single" w:color="auto" w:sz="4"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车</w:t>
            </w:r>
          </w:p>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辆</w:t>
            </w:r>
          </w:p>
        </w:tc>
        <w:tc>
          <w:tcPr>
            <w:tcW w:w="152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其他垃圾收运车</w:t>
            </w: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23</w:t>
            </w:r>
          </w:p>
        </w:tc>
        <w:tc>
          <w:tcPr>
            <w:tcW w:w="44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车辆的保养、维修、保险、维护、能耗</w:t>
            </w:r>
          </w:p>
        </w:tc>
      </w:tr>
      <w:tr>
        <w:tblPrEx>
          <w:tblCellMar>
            <w:top w:w="0" w:type="dxa"/>
            <w:left w:w="108" w:type="dxa"/>
            <w:bottom w:w="0" w:type="dxa"/>
            <w:right w:w="108" w:type="dxa"/>
          </w:tblCellMar>
        </w:tblPrEx>
        <w:trPr>
          <w:trHeight w:val="326" w:hRule="atLeast"/>
        </w:trPr>
        <w:tc>
          <w:tcPr>
            <w:tcW w:w="724" w:type="dxa"/>
            <w:vMerge w:val="continue"/>
            <w:tcBorders>
              <w:left w:val="single" w:color="auto" w:sz="4" w:space="0"/>
              <w:right w:val="single" w:color="auto" w:sz="4" w:space="0"/>
            </w:tcBorders>
            <w:vAlign w:val="center"/>
          </w:tcPr>
          <w:p>
            <w:pPr>
              <w:spacing w:line="520" w:lineRule="exact"/>
              <w:jc w:val="center"/>
              <w:rPr>
                <w:rFonts w:ascii="宋体" w:hAnsi="宋体" w:cs="宋体"/>
                <w:color w:val="auto"/>
                <w:sz w:val="24"/>
                <w:highlight w:val="none"/>
              </w:rPr>
            </w:pPr>
          </w:p>
        </w:tc>
        <w:tc>
          <w:tcPr>
            <w:tcW w:w="605" w:type="dxa"/>
            <w:vMerge w:val="continue"/>
            <w:tcBorders>
              <w:left w:val="single" w:color="auto" w:sz="4" w:space="0"/>
              <w:right w:val="single" w:color="auto" w:sz="4" w:space="0"/>
            </w:tcBorders>
            <w:vAlign w:val="center"/>
          </w:tcPr>
          <w:p>
            <w:pPr>
              <w:spacing w:line="520" w:lineRule="exact"/>
              <w:jc w:val="center"/>
              <w:rPr>
                <w:rFonts w:ascii="宋体" w:hAnsi="宋体" w:cs="宋体"/>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厨余垃圾驳运车</w:t>
            </w: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44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车辆的保养、维修、保险、维护、能耗</w:t>
            </w:r>
          </w:p>
        </w:tc>
      </w:tr>
      <w:tr>
        <w:tblPrEx>
          <w:tblCellMar>
            <w:top w:w="0" w:type="dxa"/>
            <w:left w:w="108" w:type="dxa"/>
            <w:bottom w:w="0" w:type="dxa"/>
            <w:right w:w="108" w:type="dxa"/>
          </w:tblCellMar>
        </w:tblPrEx>
        <w:trPr>
          <w:trHeight w:val="326" w:hRule="atLeast"/>
        </w:trPr>
        <w:tc>
          <w:tcPr>
            <w:tcW w:w="724" w:type="dxa"/>
            <w:vMerge w:val="continue"/>
            <w:tcBorders>
              <w:left w:val="single" w:color="auto" w:sz="4" w:space="0"/>
              <w:bottom w:val="single" w:color="auto" w:sz="4" w:space="0"/>
              <w:right w:val="single" w:color="auto" w:sz="4" w:space="0"/>
            </w:tcBorders>
            <w:vAlign w:val="center"/>
          </w:tcPr>
          <w:p>
            <w:pPr>
              <w:spacing w:line="520" w:lineRule="exact"/>
              <w:jc w:val="center"/>
              <w:rPr>
                <w:rFonts w:ascii="宋体" w:hAnsi="宋体" w:cs="宋体"/>
                <w:color w:val="auto"/>
                <w:sz w:val="24"/>
                <w:highlight w:val="none"/>
              </w:rPr>
            </w:pPr>
          </w:p>
        </w:tc>
        <w:tc>
          <w:tcPr>
            <w:tcW w:w="605" w:type="dxa"/>
            <w:vMerge w:val="continue"/>
            <w:tcBorders>
              <w:left w:val="single" w:color="auto" w:sz="4" w:space="0"/>
              <w:bottom w:val="single" w:color="auto" w:sz="4" w:space="0"/>
              <w:right w:val="single" w:color="auto" w:sz="4" w:space="0"/>
            </w:tcBorders>
            <w:vAlign w:val="center"/>
          </w:tcPr>
          <w:p>
            <w:pPr>
              <w:spacing w:line="520" w:lineRule="exact"/>
              <w:jc w:val="center"/>
              <w:rPr>
                <w:rFonts w:ascii="宋体" w:hAnsi="宋体" w:cs="宋体"/>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封闭式可回收车</w:t>
            </w:r>
          </w:p>
        </w:tc>
        <w:tc>
          <w:tcPr>
            <w:tcW w:w="163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44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车辆的保养、维修、保险、维护、能耗</w:t>
            </w:r>
          </w:p>
        </w:tc>
      </w:tr>
    </w:tbl>
    <w:p>
      <w:pPr>
        <w:pStyle w:val="18"/>
        <w:spacing w:line="520" w:lineRule="exact"/>
        <w:ind w:firstLine="0" w:firstLineChars="0"/>
        <w:rPr>
          <w:rFonts w:ascii="宋体" w:hAnsi="宋体" w:cs="宋体"/>
          <w:b/>
          <w:bCs/>
          <w:color w:val="auto"/>
          <w:sz w:val="24"/>
          <w:highlight w:val="none"/>
        </w:rPr>
      </w:pPr>
    </w:p>
    <w:p>
      <w:pPr>
        <w:pStyle w:val="4"/>
        <w:spacing w:line="520" w:lineRule="exact"/>
        <w:rPr>
          <w:rFonts w:ascii="宋体" w:hAnsi="宋体" w:cs="宋体"/>
          <w:color w:val="auto"/>
          <w:sz w:val="24"/>
          <w:highlight w:val="none"/>
        </w:rPr>
      </w:pPr>
      <w:r>
        <w:rPr>
          <w:rFonts w:hint="eastAsia" w:ascii="宋体" w:hAnsi="宋体" w:cs="宋体"/>
          <w:b/>
          <w:bCs/>
          <w:color w:val="auto"/>
          <w:sz w:val="24"/>
          <w:highlight w:val="none"/>
        </w:rPr>
        <w:t>附件：服务范围名单及明细</w:t>
      </w:r>
    </w:p>
    <w:tbl>
      <w:tblPr>
        <w:tblStyle w:val="12"/>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43"/>
        <w:gridCol w:w="1143"/>
        <w:gridCol w:w="993"/>
        <w:gridCol w:w="993"/>
        <w:gridCol w:w="1099"/>
        <w:gridCol w:w="1129"/>
        <w:gridCol w:w="940"/>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723" w:type="dxa"/>
            <w:noWrap/>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843" w:type="dxa"/>
            <w:noWrap/>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服务区域</w:t>
            </w:r>
          </w:p>
        </w:tc>
        <w:tc>
          <w:tcPr>
            <w:tcW w:w="1143" w:type="dxa"/>
            <w:vAlign w:val="center"/>
          </w:tcPr>
          <w:p>
            <w:pPr>
              <w:widowControl/>
              <w:spacing w:line="520" w:lineRule="exact"/>
              <w:jc w:val="center"/>
              <w:textAlignment w:val="center"/>
              <w:rPr>
                <w:rFonts w:ascii="宋体" w:hAnsi="宋体" w:cs="宋体"/>
                <w:color w:val="auto"/>
                <w:sz w:val="24"/>
                <w:highlight w:val="none"/>
                <w:lang w:bidi="ar"/>
              </w:rPr>
            </w:pPr>
            <w:r>
              <w:rPr>
                <w:rFonts w:hint="eastAsia" w:ascii="宋体" w:hAnsi="宋体" w:cs="宋体"/>
                <w:color w:val="auto"/>
                <w:sz w:val="24"/>
                <w:highlight w:val="none"/>
                <w:lang w:bidi="ar"/>
              </w:rPr>
              <w:t>居民小区</w:t>
            </w:r>
          </w:p>
          <w:p>
            <w:pPr>
              <w:widowControl/>
              <w:spacing w:line="520" w:lineRule="exact"/>
              <w:jc w:val="center"/>
              <w:textAlignment w:val="center"/>
              <w:rPr>
                <w:rFonts w:ascii="宋体" w:hAnsi="宋体" w:cs="宋体"/>
                <w:color w:val="auto"/>
                <w:sz w:val="24"/>
                <w:highlight w:val="none"/>
                <w:lang w:bidi="ar"/>
              </w:rPr>
            </w:pPr>
            <w:r>
              <w:rPr>
                <w:rFonts w:hint="eastAsia" w:ascii="宋体" w:hAnsi="宋体" w:cs="宋体"/>
                <w:color w:val="auto"/>
                <w:sz w:val="24"/>
                <w:highlight w:val="none"/>
                <w:lang w:bidi="ar"/>
              </w:rPr>
              <w:t>收集点</w:t>
            </w:r>
          </w:p>
          <w:p>
            <w:pPr>
              <w:widowControl/>
              <w:spacing w:line="520" w:lineRule="exact"/>
              <w:jc w:val="center"/>
              <w:textAlignment w:val="center"/>
              <w:rPr>
                <w:rFonts w:ascii="宋体" w:hAnsi="宋体" w:cs="宋体"/>
                <w:color w:val="auto"/>
                <w:sz w:val="24"/>
                <w:highlight w:val="none"/>
              </w:rPr>
            </w:pPr>
            <w:r>
              <w:rPr>
                <w:rFonts w:hint="eastAsia" w:ascii="宋体" w:hAnsi="宋体" w:cs="宋体"/>
                <w:color w:val="auto"/>
                <w:sz w:val="24"/>
                <w:highlight w:val="none"/>
                <w:lang w:bidi="ar"/>
              </w:rPr>
              <w:t>（个）</w:t>
            </w:r>
          </w:p>
        </w:tc>
        <w:tc>
          <w:tcPr>
            <w:tcW w:w="993" w:type="dxa"/>
            <w:vAlign w:val="center"/>
          </w:tcPr>
          <w:p>
            <w:pPr>
              <w:widowControl/>
              <w:spacing w:line="520" w:lineRule="exact"/>
              <w:jc w:val="center"/>
              <w:textAlignment w:val="center"/>
              <w:rPr>
                <w:rFonts w:ascii="宋体" w:hAnsi="宋体" w:cs="宋体"/>
                <w:color w:val="auto"/>
                <w:sz w:val="24"/>
                <w:highlight w:val="none"/>
                <w:lang w:bidi="ar"/>
              </w:rPr>
            </w:pPr>
            <w:r>
              <w:rPr>
                <w:rFonts w:hint="eastAsia" w:ascii="宋体" w:hAnsi="宋体" w:cs="宋体"/>
                <w:color w:val="auto"/>
                <w:sz w:val="24"/>
                <w:highlight w:val="none"/>
                <w:lang w:bidi="ar"/>
              </w:rPr>
              <w:t>城中村</w:t>
            </w:r>
          </w:p>
          <w:p>
            <w:pPr>
              <w:widowControl/>
              <w:spacing w:line="520" w:lineRule="exact"/>
              <w:jc w:val="center"/>
              <w:textAlignment w:val="center"/>
              <w:rPr>
                <w:rFonts w:ascii="宋体" w:hAnsi="宋体" w:cs="宋体"/>
                <w:color w:val="auto"/>
                <w:sz w:val="24"/>
                <w:highlight w:val="none"/>
                <w:lang w:bidi="ar"/>
              </w:rPr>
            </w:pPr>
            <w:r>
              <w:rPr>
                <w:rFonts w:hint="eastAsia" w:ascii="宋体" w:hAnsi="宋体" w:cs="宋体"/>
                <w:color w:val="auto"/>
                <w:sz w:val="24"/>
                <w:highlight w:val="none"/>
                <w:lang w:bidi="ar"/>
              </w:rPr>
              <w:t>收集点</w:t>
            </w:r>
          </w:p>
          <w:p>
            <w:pPr>
              <w:widowControl/>
              <w:spacing w:line="520" w:lineRule="exact"/>
              <w:jc w:val="center"/>
              <w:textAlignment w:val="center"/>
              <w:rPr>
                <w:rFonts w:ascii="宋体" w:hAnsi="宋体" w:cs="宋体"/>
                <w:color w:val="auto"/>
                <w:sz w:val="24"/>
                <w:highlight w:val="none"/>
              </w:rPr>
            </w:pPr>
            <w:r>
              <w:rPr>
                <w:rFonts w:hint="eastAsia" w:ascii="宋体" w:hAnsi="宋体" w:cs="宋体"/>
                <w:color w:val="auto"/>
                <w:sz w:val="24"/>
                <w:highlight w:val="none"/>
                <w:lang w:bidi="ar"/>
              </w:rPr>
              <w:t>（个）</w:t>
            </w:r>
          </w:p>
        </w:tc>
        <w:tc>
          <w:tcPr>
            <w:tcW w:w="993" w:type="dxa"/>
            <w:vAlign w:val="center"/>
          </w:tcPr>
          <w:p>
            <w:pPr>
              <w:widowControl/>
              <w:spacing w:line="520" w:lineRule="exact"/>
              <w:jc w:val="center"/>
              <w:textAlignment w:val="center"/>
              <w:rPr>
                <w:rFonts w:ascii="宋体" w:hAnsi="宋体" w:cs="宋体"/>
                <w:color w:val="auto"/>
                <w:sz w:val="24"/>
                <w:highlight w:val="none"/>
                <w:lang w:bidi="ar"/>
              </w:rPr>
            </w:pPr>
            <w:r>
              <w:rPr>
                <w:rFonts w:hint="eastAsia" w:ascii="宋体" w:hAnsi="宋体" w:cs="宋体"/>
                <w:color w:val="auto"/>
                <w:sz w:val="24"/>
                <w:highlight w:val="none"/>
                <w:lang w:bidi="ar"/>
              </w:rPr>
              <w:t>驳运点</w:t>
            </w:r>
          </w:p>
          <w:p>
            <w:pPr>
              <w:widowControl/>
              <w:spacing w:line="520" w:lineRule="exact"/>
              <w:jc w:val="center"/>
              <w:textAlignment w:val="center"/>
              <w:rPr>
                <w:rFonts w:ascii="宋体" w:hAnsi="宋体" w:cs="宋体"/>
                <w:color w:val="auto"/>
                <w:sz w:val="24"/>
                <w:highlight w:val="none"/>
              </w:rPr>
            </w:pPr>
            <w:r>
              <w:rPr>
                <w:rFonts w:hint="eastAsia" w:ascii="宋体" w:hAnsi="宋体" w:cs="宋体"/>
                <w:color w:val="auto"/>
                <w:sz w:val="24"/>
                <w:highlight w:val="none"/>
                <w:lang w:bidi="ar"/>
              </w:rPr>
              <w:t>（个）</w:t>
            </w:r>
          </w:p>
        </w:tc>
        <w:tc>
          <w:tcPr>
            <w:tcW w:w="1099" w:type="dxa"/>
            <w:vAlign w:val="center"/>
          </w:tcPr>
          <w:p>
            <w:pPr>
              <w:widowControl/>
              <w:spacing w:line="520" w:lineRule="exact"/>
              <w:jc w:val="center"/>
              <w:textAlignment w:val="center"/>
              <w:rPr>
                <w:rFonts w:ascii="宋体" w:hAnsi="宋体" w:cs="宋体"/>
                <w:color w:val="auto"/>
                <w:sz w:val="24"/>
                <w:highlight w:val="none"/>
                <w:lang w:bidi="ar"/>
              </w:rPr>
            </w:pPr>
            <w:r>
              <w:rPr>
                <w:rFonts w:hint="eastAsia" w:ascii="宋体" w:hAnsi="宋体" w:cs="宋体"/>
                <w:color w:val="auto"/>
                <w:sz w:val="24"/>
                <w:highlight w:val="none"/>
                <w:lang w:bidi="ar"/>
              </w:rPr>
              <w:t>其他垃圾</w:t>
            </w:r>
          </w:p>
          <w:p>
            <w:pPr>
              <w:widowControl/>
              <w:spacing w:line="520" w:lineRule="exact"/>
              <w:jc w:val="center"/>
              <w:textAlignment w:val="center"/>
              <w:rPr>
                <w:rFonts w:ascii="宋体" w:hAnsi="宋体" w:cs="宋体"/>
                <w:color w:val="auto"/>
                <w:sz w:val="24"/>
                <w:highlight w:val="none"/>
              </w:rPr>
            </w:pPr>
            <w:r>
              <w:rPr>
                <w:rFonts w:hint="eastAsia" w:ascii="宋体" w:hAnsi="宋体" w:cs="宋体"/>
                <w:color w:val="auto"/>
                <w:sz w:val="24"/>
                <w:highlight w:val="none"/>
                <w:lang w:bidi="ar"/>
              </w:rPr>
              <w:t>收运车（台）</w:t>
            </w:r>
          </w:p>
        </w:tc>
        <w:tc>
          <w:tcPr>
            <w:tcW w:w="1129" w:type="dxa"/>
            <w:vAlign w:val="center"/>
          </w:tcPr>
          <w:p>
            <w:pPr>
              <w:widowControl/>
              <w:spacing w:line="520" w:lineRule="exact"/>
              <w:jc w:val="center"/>
              <w:textAlignment w:val="center"/>
              <w:rPr>
                <w:rFonts w:ascii="宋体" w:hAnsi="宋体" w:cs="宋体"/>
                <w:color w:val="auto"/>
                <w:sz w:val="24"/>
                <w:highlight w:val="none"/>
                <w:lang w:bidi="ar"/>
              </w:rPr>
            </w:pPr>
            <w:r>
              <w:rPr>
                <w:rFonts w:hint="eastAsia" w:ascii="宋体" w:hAnsi="宋体" w:cs="宋体"/>
                <w:color w:val="auto"/>
                <w:sz w:val="24"/>
                <w:highlight w:val="none"/>
                <w:lang w:bidi="ar"/>
              </w:rPr>
              <w:t>厨余垃圾</w:t>
            </w:r>
          </w:p>
          <w:p>
            <w:pPr>
              <w:widowControl/>
              <w:spacing w:line="520" w:lineRule="exact"/>
              <w:jc w:val="center"/>
              <w:textAlignment w:val="center"/>
              <w:rPr>
                <w:rFonts w:ascii="宋体" w:hAnsi="宋体" w:cs="宋体"/>
                <w:color w:val="auto"/>
                <w:sz w:val="24"/>
                <w:highlight w:val="none"/>
              </w:rPr>
            </w:pPr>
            <w:r>
              <w:rPr>
                <w:rFonts w:hint="eastAsia" w:ascii="宋体" w:hAnsi="宋体" w:cs="宋体"/>
                <w:color w:val="auto"/>
                <w:sz w:val="24"/>
                <w:highlight w:val="none"/>
                <w:lang w:bidi="ar"/>
              </w:rPr>
              <w:t>驳运车（台）</w:t>
            </w:r>
          </w:p>
        </w:tc>
        <w:tc>
          <w:tcPr>
            <w:tcW w:w="940" w:type="dxa"/>
          </w:tcPr>
          <w:p>
            <w:pPr>
              <w:spacing w:line="520" w:lineRule="exact"/>
              <w:jc w:val="center"/>
              <w:rPr>
                <w:rFonts w:ascii="宋体" w:hAnsi="宋体" w:cs="宋体"/>
                <w:bCs/>
                <w:color w:val="auto"/>
                <w:sz w:val="24"/>
                <w:highlight w:val="none"/>
              </w:rPr>
            </w:pPr>
            <w:r>
              <w:rPr>
                <w:rFonts w:hint="eastAsia" w:ascii="宋体" w:hAnsi="宋体" w:cs="宋体"/>
                <w:color w:val="auto"/>
                <w:sz w:val="24"/>
                <w:highlight w:val="none"/>
                <w:lang w:bidi="ar"/>
              </w:rPr>
              <w:t>封闭式可回收车（台）</w:t>
            </w:r>
          </w:p>
        </w:tc>
        <w:tc>
          <w:tcPr>
            <w:tcW w:w="1033" w:type="dxa"/>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督导员数量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23" w:type="dxa"/>
            <w:noWrap/>
            <w:vAlign w:val="center"/>
          </w:tcPr>
          <w:p>
            <w:pPr>
              <w:widowControl/>
              <w:spacing w:line="520" w:lineRule="exact"/>
              <w:jc w:val="center"/>
              <w:textAlignment w:val="center"/>
              <w:rPr>
                <w:rFonts w:ascii="宋体" w:hAnsi="宋体" w:cs="宋体"/>
                <w:color w:val="auto"/>
                <w:sz w:val="24"/>
                <w:highlight w:val="none"/>
              </w:rPr>
            </w:pPr>
            <w:r>
              <w:rPr>
                <w:rFonts w:hint="eastAsia" w:ascii="宋体" w:hAnsi="宋体" w:cs="宋体"/>
                <w:color w:val="auto"/>
                <w:sz w:val="24"/>
                <w:highlight w:val="none"/>
                <w:lang w:bidi="ar"/>
              </w:rPr>
              <w:t>1</w:t>
            </w:r>
          </w:p>
        </w:tc>
        <w:tc>
          <w:tcPr>
            <w:tcW w:w="843" w:type="dxa"/>
            <w:noWrap/>
            <w:vAlign w:val="center"/>
          </w:tcPr>
          <w:p>
            <w:pPr>
              <w:widowControl/>
              <w:spacing w:line="520" w:lineRule="exact"/>
              <w:jc w:val="center"/>
              <w:textAlignment w:val="center"/>
              <w:rPr>
                <w:rFonts w:ascii="宋体" w:hAnsi="宋体" w:cs="宋体"/>
                <w:color w:val="auto"/>
                <w:sz w:val="24"/>
                <w:highlight w:val="none"/>
              </w:rPr>
            </w:pPr>
            <w:r>
              <w:rPr>
                <w:rFonts w:hint="eastAsia" w:ascii="宋体" w:hAnsi="宋体" w:cs="宋体"/>
                <w:color w:val="auto"/>
                <w:sz w:val="24"/>
                <w:highlight w:val="none"/>
                <w:lang w:bidi="ar"/>
              </w:rPr>
              <w:t>云龙</w:t>
            </w:r>
          </w:p>
        </w:tc>
        <w:tc>
          <w:tcPr>
            <w:tcW w:w="1143" w:type="dxa"/>
            <w:noWrap/>
            <w:vAlign w:val="center"/>
          </w:tcPr>
          <w:p>
            <w:pPr>
              <w:widowControl/>
              <w:spacing w:line="520" w:lineRule="exact"/>
              <w:jc w:val="center"/>
              <w:textAlignment w:val="center"/>
              <w:rPr>
                <w:rFonts w:ascii="宋体" w:hAnsi="宋体" w:cs="宋体"/>
                <w:color w:val="auto"/>
                <w:sz w:val="24"/>
                <w:highlight w:val="none"/>
              </w:rPr>
            </w:pPr>
            <w:r>
              <w:rPr>
                <w:rFonts w:hint="eastAsia" w:ascii="宋体" w:hAnsi="宋体" w:cs="宋体"/>
                <w:color w:val="auto"/>
                <w:sz w:val="24"/>
                <w:highlight w:val="none"/>
              </w:rPr>
              <w:t>354</w:t>
            </w:r>
          </w:p>
        </w:tc>
        <w:tc>
          <w:tcPr>
            <w:tcW w:w="993" w:type="dxa"/>
            <w:noWrap/>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82</w:t>
            </w:r>
          </w:p>
        </w:tc>
        <w:tc>
          <w:tcPr>
            <w:tcW w:w="993" w:type="dxa"/>
            <w:noWrap/>
            <w:vAlign w:val="center"/>
          </w:tcPr>
          <w:p>
            <w:pPr>
              <w:widowControl/>
              <w:spacing w:line="520" w:lineRule="exact"/>
              <w:jc w:val="center"/>
              <w:textAlignment w:val="center"/>
              <w:rPr>
                <w:rFonts w:ascii="宋体" w:hAnsi="宋体" w:cs="宋体"/>
                <w:color w:val="auto"/>
                <w:sz w:val="24"/>
                <w:highlight w:val="none"/>
              </w:rPr>
            </w:pPr>
            <w:r>
              <w:rPr>
                <w:rFonts w:ascii="宋体" w:hAnsi="宋体" w:cs="宋体"/>
                <w:color w:val="auto"/>
                <w:sz w:val="24"/>
                <w:highlight w:val="none"/>
              </w:rPr>
              <w:t>9</w:t>
            </w:r>
          </w:p>
        </w:tc>
        <w:tc>
          <w:tcPr>
            <w:tcW w:w="1099" w:type="dxa"/>
            <w:noWrap/>
            <w:vAlign w:val="center"/>
          </w:tcPr>
          <w:p>
            <w:pPr>
              <w:widowControl/>
              <w:spacing w:line="520" w:lineRule="exact"/>
              <w:jc w:val="center"/>
              <w:textAlignment w:val="center"/>
              <w:rPr>
                <w:rFonts w:ascii="宋体" w:hAnsi="宋体" w:cs="宋体"/>
                <w:color w:val="auto"/>
                <w:sz w:val="24"/>
                <w:highlight w:val="none"/>
              </w:rPr>
            </w:pPr>
            <w:r>
              <w:rPr>
                <w:rFonts w:hint="eastAsia" w:ascii="宋体" w:hAnsi="宋体" w:cs="宋体"/>
                <w:color w:val="auto"/>
                <w:sz w:val="24"/>
                <w:highlight w:val="none"/>
              </w:rPr>
              <w:t>23</w:t>
            </w:r>
          </w:p>
        </w:tc>
        <w:tc>
          <w:tcPr>
            <w:tcW w:w="1129" w:type="dxa"/>
            <w:noWrap/>
            <w:vAlign w:val="center"/>
          </w:tcPr>
          <w:p>
            <w:pPr>
              <w:widowControl/>
              <w:spacing w:line="520" w:lineRule="exact"/>
              <w:jc w:val="center"/>
              <w:textAlignment w:val="center"/>
              <w:rPr>
                <w:rFonts w:ascii="宋体" w:hAnsi="宋体" w:cs="宋体"/>
                <w:color w:val="auto"/>
                <w:sz w:val="24"/>
                <w:highlight w:val="none"/>
              </w:rPr>
            </w:pPr>
            <w:r>
              <w:rPr>
                <w:rFonts w:hint="eastAsia" w:ascii="宋体" w:hAnsi="宋体" w:cs="宋体"/>
                <w:color w:val="auto"/>
                <w:sz w:val="24"/>
                <w:highlight w:val="none"/>
              </w:rPr>
              <w:t>20</w:t>
            </w:r>
          </w:p>
        </w:tc>
        <w:tc>
          <w:tcPr>
            <w:tcW w:w="940" w:type="dxa"/>
            <w:vAlign w:val="center"/>
          </w:tcPr>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1033" w:type="dxa"/>
            <w:noWrap/>
            <w:vAlign w:val="center"/>
          </w:tcPr>
          <w:p>
            <w:pPr>
              <w:spacing w:line="520" w:lineRule="exact"/>
              <w:jc w:val="center"/>
              <w:rPr>
                <w:rFonts w:ascii="宋体" w:hAnsi="宋体" w:cs="宋体"/>
                <w:color w:val="auto"/>
                <w:sz w:val="24"/>
                <w:highlight w:val="none"/>
              </w:rPr>
            </w:pPr>
            <w:r>
              <w:rPr>
                <w:rFonts w:ascii="宋体" w:hAnsi="宋体" w:cs="宋体"/>
                <w:color w:val="auto"/>
                <w:sz w:val="24"/>
                <w:highlight w:val="none"/>
              </w:rPr>
              <w:t>303</w:t>
            </w:r>
          </w:p>
        </w:tc>
      </w:tr>
    </w:tbl>
    <w:p>
      <w:pPr>
        <w:spacing w:line="52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注：上述车辆为项目运行车辆，厨余垃圾驳运车由甲方兜底提供，乙方承担车辆的保养、维修、保险、维护、能耗等费用，承担因车辆发生的一切相关费用和损害赔偿责任，当项目运行中如车辆不能达到合同约定的质量要求，由中标单位自行解决；其他垃圾收运车乙方自行配备，投标时提供</w:t>
      </w:r>
      <w:bookmarkStart w:id="9" w:name="OLE_LINK6"/>
      <w:r>
        <w:rPr>
          <w:rFonts w:hint="eastAsia" w:ascii="宋体" w:hAnsi="宋体" w:cs="宋体"/>
          <w:b/>
          <w:color w:val="auto"/>
          <w:sz w:val="24"/>
          <w:highlight w:val="none"/>
        </w:rPr>
        <w:t>“其他垃圾收运车配备承诺书”</w:t>
      </w:r>
      <w:bookmarkEnd w:id="9"/>
      <w:r>
        <w:rPr>
          <w:rFonts w:hint="eastAsia" w:ascii="宋体" w:hAnsi="宋体" w:cs="宋体"/>
          <w:b/>
          <w:color w:val="auto"/>
          <w:sz w:val="24"/>
          <w:highlight w:val="none"/>
        </w:rPr>
        <w:t>，“</w:t>
      </w:r>
      <w:bookmarkStart w:id="10" w:name="OLE_LINK1"/>
      <w:r>
        <w:rPr>
          <w:rFonts w:hint="eastAsia" w:ascii="宋体" w:hAnsi="宋体" w:cs="宋体"/>
          <w:b/>
          <w:color w:val="auto"/>
          <w:sz w:val="24"/>
          <w:highlight w:val="none"/>
        </w:rPr>
        <w:t>可回收车</w:t>
      </w:r>
      <w:bookmarkEnd w:id="10"/>
      <w:r>
        <w:rPr>
          <w:rFonts w:hint="eastAsia" w:ascii="宋体" w:hAnsi="宋体" w:cs="宋体"/>
          <w:b/>
          <w:color w:val="auto"/>
          <w:sz w:val="24"/>
          <w:highlight w:val="none"/>
        </w:rPr>
        <w:t>配备承诺书”</w:t>
      </w:r>
      <w:r>
        <w:rPr>
          <w:rFonts w:hint="eastAsia" w:ascii="宋体" w:hAnsi="宋体" w:cs="宋体"/>
          <w:color w:val="auto"/>
          <w:sz w:val="24"/>
          <w:highlight w:val="none"/>
        </w:rPr>
        <w:t>，</w:t>
      </w:r>
      <w:r>
        <w:rPr>
          <w:rFonts w:hint="eastAsia" w:ascii="宋体" w:hAnsi="宋体" w:cs="宋体"/>
          <w:b/>
          <w:color w:val="auto"/>
          <w:sz w:val="24"/>
          <w:highlight w:val="none"/>
        </w:rPr>
        <w:t>承诺书内容为自有配备时须在收到中标通知书后10日内携带其他垃圾收运车发票及包含车牌的车辆照片至采购人核验，核验无误后签订政府采购合同；承诺书内容为租赁时须在收到中标通知书后10日内携带其他垃圾收运车、可回收车租赁协议及包含车牌的车辆照片至采购人核验，核验无误后签订政府采购合同，否则按中标供应商无承担此项目能力，视为放弃中标。上述人数不含法定节假日、周末调休人数；</w:t>
      </w:r>
      <w:r>
        <w:rPr>
          <w:rFonts w:hint="eastAsia" w:ascii="宋体" w:hAnsi="宋体" w:cs="宋体"/>
          <w:color w:val="auto"/>
          <w:sz w:val="24"/>
          <w:highlight w:val="none"/>
        </w:rPr>
        <w:t>督导员</w:t>
      </w:r>
      <w:r>
        <w:rPr>
          <w:rFonts w:hint="eastAsia" w:ascii="宋体" w:hAnsi="宋体" w:cs="宋体"/>
          <w:b/>
          <w:color w:val="auto"/>
          <w:sz w:val="24"/>
          <w:highlight w:val="none"/>
        </w:rPr>
        <w:t>为收集点专职工作人员，其他人员包括管理人员、车队长、车辆驾驶员、回收员、辅助工等。</w:t>
      </w:r>
    </w:p>
    <w:p>
      <w:pPr>
        <w:spacing w:line="520" w:lineRule="exact"/>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六、其他内容和要求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1.由于拆迁、施工改造等原因收集点停止使用的，扣减相应经费。</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2.投标人必须遵守劳动法，依法规范用工，全员签订劳动合同，符合条件的须参加基本社会养老保险，人员工资应不低于最新公布的徐州市最低工资标准的,工资待遇、各项津贴等按法律、法规及文件规定执行。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.按采购人要求在按月向采购人提供相关运行资料，包括但不限于人员信息、工资和加班费发放、设备（车辆）信息、垃圾清运量等，并确保资料信息的真实性。</w:t>
      </w:r>
    </w:p>
    <w:p>
      <w:pPr>
        <w:widowControl/>
        <w:spacing w:line="520" w:lineRule="exact"/>
        <w:jc w:val="left"/>
        <w:outlineLvl w:val="0"/>
        <w:rPr>
          <w:rFonts w:ascii="宋体" w:hAnsi="宋体" w:cs="宋体"/>
          <w:color w:val="auto"/>
          <w:sz w:val="24"/>
          <w:highlight w:val="none"/>
        </w:rPr>
        <w:sectPr>
          <w:pgSz w:w="11906" w:h="16838"/>
          <w:pgMar w:top="1440" w:right="1800" w:bottom="1440" w:left="1800" w:header="851" w:footer="992" w:gutter="0"/>
          <w:cols w:space="425" w:num="1"/>
          <w:docGrid w:type="lines" w:linePitch="312" w:charSpace="0"/>
        </w:sectPr>
      </w:pPr>
      <w:bookmarkStart w:id="11" w:name="_Toc12977"/>
    </w:p>
    <w:p>
      <w:pPr>
        <w:widowControl/>
        <w:spacing w:line="520" w:lineRule="exact"/>
        <w:jc w:val="left"/>
        <w:outlineLvl w:val="0"/>
        <w:rPr>
          <w:rFonts w:ascii="宋体" w:hAnsi="宋体" w:cs="宋体"/>
          <w:color w:val="auto"/>
          <w:sz w:val="24"/>
          <w:highlight w:val="none"/>
        </w:rPr>
      </w:pPr>
      <w:r>
        <w:rPr>
          <w:rFonts w:hint="eastAsia" w:ascii="宋体" w:hAnsi="宋体" w:cs="宋体"/>
          <w:color w:val="auto"/>
          <w:sz w:val="24"/>
          <w:highlight w:val="none"/>
        </w:rPr>
        <w:t>附件1：</w:t>
      </w:r>
      <w:bookmarkEnd w:id="11"/>
    </w:p>
    <w:p>
      <w:pPr>
        <w:spacing w:line="520" w:lineRule="exact"/>
        <w:ind w:firstLine="425"/>
        <w:jc w:val="center"/>
        <w:rPr>
          <w:rFonts w:ascii="宋体" w:hAnsi="宋体" w:cs="宋体"/>
          <w:color w:val="auto"/>
          <w:sz w:val="24"/>
          <w:highlight w:val="none"/>
        </w:rPr>
      </w:pPr>
      <w:r>
        <w:rPr>
          <w:rFonts w:hint="eastAsia" w:ascii="宋体" w:hAnsi="宋体" w:cs="宋体"/>
          <w:color w:val="auto"/>
          <w:sz w:val="24"/>
          <w:highlight w:val="none"/>
        </w:rPr>
        <w:t>生活垃圾分类市场化社会监督考核细则</w:t>
      </w:r>
    </w:p>
    <w:tbl>
      <w:tblPr>
        <w:tblStyle w:val="12"/>
        <w:tblW w:w="14820"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89"/>
        <w:gridCol w:w="971"/>
        <w:gridCol w:w="1545"/>
        <w:gridCol w:w="1159"/>
        <w:gridCol w:w="1135"/>
        <w:gridCol w:w="721"/>
        <w:gridCol w:w="971"/>
        <w:gridCol w:w="927"/>
        <w:gridCol w:w="1432"/>
        <w:gridCol w:w="2042"/>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trPr>
        <w:tc>
          <w:tcPr>
            <w:tcW w:w="825"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问题类型</w:t>
            </w:r>
          </w:p>
        </w:tc>
        <w:tc>
          <w:tcPr>
            <w:tcW w:w="1189"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小类</w:t>
            </w:r>
          </w:p>
        </w:tc>
        <w:tc>
          <w:tcPr>
            <w:tcW w:w="2516" w:type="dxa"/>
            <w:gridSpan w:val="2"/>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问题描述</w:t>
            </w:r>
          </w:p>
        </w:tc>
        <w:tc>
          <w:tcPr>
            <w:tcW w:w="1159"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奖励标准</w:t>
            </w:r>
          </w:p>
        </w:tc>
        <w:tc>
          <w:tcPr>
            <w:tcW w:w="1135"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扣罚标准</w:t>
            </w:r>
          </w:p>
        </w:tc>
        <w:tc>
          <w:tcPr>
            <w:tcW w:w="721"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上报次数</w:t>
            </w:r>
          </w:p>
        </w:tc>
        <w:tc>
          <w:tcPr>
            <w:tcW w:w="971" w:type="dxa"/>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处理</w:t>
            </w:r>
          </w:p>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时限</w:t>
            </w:r>
          </w:p>
        </w:tc>
        <w:tc>
          <w:tcPr>
            <w:tcW w:w="927" w:type="dxa"/>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整改</w:t>
            </w:r>
          </w:p>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时限</w:t>
            </w:r>
          </w:p>
        </w:tc>
        <w:tc>
          <w:tcPr>
            <w:tcW w:w="1432"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采集时间</w:t>
            </w:r>
          </w:p>
        </w:tc>
        <w:tc>
          <w:tcPr>
            <w:tcW w:w="2042"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实施范围</w:t>
            </w:r>
          </w:p>
        </w:tc>
        <w:tc>
          <w:tcPr>
            <w:tcW w:w="1903"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825" w:type="dxa"/>
            <w:vMerge w:val="restart"/>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收集点管理</w:t>
            </w:r>
          </w:p>
        </w:tc>
        <w:tc>
          <w:tcPr>
            <w:tcW w:w="1189"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督导员配备</w:t>
            </w:r>
          </w:p>
        </w:tc>
        <w:tc>
          <w:tcPr>
            <w:tcW w:w="2516" w:type="dxa"/>
            <w:gridSpan w:val="2"/>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在收集点开放时段合理配备督导员</w:t>
            </w:r>
          </w:p>
        </w:tc>
        <w:tc>
          <w:tcPr>
            <w:tcW w:w="1159"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80元/例</w:t>
            </w:r>
          </w:p>
        </w:tc>
        <w:tc>
          <w:tcPr>
            <w:tcW w:w="1135"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100元/例</w:t>
            </w:r>
          </w:p>
        </w:tc>
        <w:tc>
          <w:tcPr>
            <w:tcW w:w="721"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2次</w:t>
            </w:r>
          </w:p>
        </w:tc>
        <w:tc>
          <w:tcPr>
            <w:tcW w:w="971"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10分钟</w:t>
            </w:r>
          </w:p>
        </w:tc>
        <w:tc>
          <w:tcPr>
            <w:tcW w:w="927"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4小时</w:t>
            </w:r>
          </w:p>
        </w:tc>
        <w:tc>
          <w:tcPr>
            <w:tcW w:w="1432"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开放时段内</w:t>
            </w:r>
          </w:p>
        </w:tc>
        <w:tc>
          <w:tcPr>
            <w:tcW w:w="2042" w:type="dxa"/>
            <w:vMerge w:val="restart"/>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收集点</w:t>
            </w:r>
          </w:p>
        </w:tc>
        <w:tc>
          <w:tcPr>
            <w:tcW w:w="1903"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收集点开放时段以收集点上公示的时间为准；督导员配带统一标志。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25" w:type="dxa"/>
            <w:vMerge w:val="continue"/>
            <w:vAlign w:val="center"/>
          </w:tcPr>
          <w:p>
            <w:pPr>
              <w:widowControl/>
              <w:spacing w:line="520" w:lineRule="exact"/>
              <w:jc w:val="left"/>
              <w:rPr>
                <w:rFonts w:ascii="宋体" w:hAnsi="宋体" w:cs="宋体"/>
                <w:color w:val="auto"/>
                <w:sz w:val="21"/>
                <w:szCs w:val="21"/>
                <w:highlight w:val="none"/>
              </w:rPr>
            </w:pPr>
          </w:p>
        </w:tc>
        <w:tc>
          <w:tcPr>
            <w:tcW w:w="1189" w:type="dxa"/>
            <w:vMerge w:val="restart"/>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收集点室内管理</w:t>
            </w:r>
          </w:p>
        </w:tc>
        <w:tc>
          <w:tcPr>
            <w:tcW w:w="971"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收集容器规范</w:t>
            </w:r>
          </w:p>
        </w:tc>
        <w:tc>
          <w:tcPr>
            <w:tcW w:w="1545" w:type="dxa"/>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收集容器类别、标志标识不符合要求</w:t>
            </w:r>
          </w:p>
        </w:tc>
        <w:tc>
          <w:tcPr>
            <w:tcW w:w="1159" w:type="dxa"/>
            <w:vAlign w:val="center"/>
          </w:tcPr>
          <w:p>
            <w:pPr>
              <w:widowControl/>
              <w:spacing w:line="52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135"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10元/处</w:t>
            </w:r>
          </w:p>
        </w:tc>
        <w:tc>
          <w:tcPr>
            <w:tcW w:w="721" w:type="dxa"/>
            <w:vAlign w:val="center"/>
          </w:tcPr>
          <w:p>
            <w:pPr>
              <w:widowControl/>
              <w:spacing w:line="52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2次</w:t>
            </w:r>
          </w:p>
        </w:tc>
        <w:tc>
          <w:tcPr>
            <w:tcW w:w="971" w:type="dxa"/>
            <w:vAlign w:val="center"/>
          </w:tcPr>
          <w:p>
            <w:pPr>
              <w:widowControl/>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第2次发现之前</w:t>
            </w:r>
          </w:p>
        </w:tc>
        <w:tc>
          <w:tcPr>
            <w:tcW w:w="927"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分钟</w:t>
            </w:r>
          </w:p>
        </w:tc>
        <w:tc>
          <w:tcPr>
            <w:tcW w:w="1432"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开放时段内</w:t>
            </w:r>
          </w:p>
        </w:tc>
        <w:tc>
          <w:tcPr>
            <w:tcW w:w="2042" w:type="dxa"/>
            <w:vMerge w:val="continue"/>
            <w:vAlign w:val="center"/>
          </w:tcPr>
          <w:p>
            <w:pPr>
              <w:widowControl/>
              <w:spacing w:line="520" w:lineRule="exact"/>
              <w:jc w:val="left"/>
              <w:rPr>
                <w:rFonts w:ascii="宋体" w:hAnsi="宋体" w:cs="宋体"/>
                <w:color w:val="auto"/>
                <w:sz w:val="21"/>
                <w:szCs w:val="21"/>
                <w:highlight w:val="none"/>
              </w:rPr>
            </w:pPr>
          </w:p>
        </w:tc>
        <w:tc>
          <w:tcPr>
            <w:tcW w:w="1903" w:type="dxa"/>
            <w:vMerge w:val="restart"/>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使用视频报送，体现收集点号及整体情况；收集点开放时段以收集点上公示的时间为准。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25" w:type="dxa"/>
            <w:vMerge w:val="continue"/>
            <w:vAlign w:val="center"/>
          </w:tcPr>
          <w:p>
            <w:pPr>
              <w:widowControl/>
              <w:spacing w:line="520" w:lineRule="exact"/>
              <w:jc w:val="left"/>
              <w:rPr>
                <w:rFonts w:ascii="宋体" w:hAnsi="宋体" w:cs="宋体"/>
                <w:color w:val="auto"/>
                <w:sz w:val="21"/>
                <w:szCs w:val="21"/>
                <w:highlight w:val="none"/>
              </w:rPr>
            </w:pPr>
          </w:p>
        </w:tc>
        <w:tc>
          <w:tcPr>
            <w:tcW w:w="1189" w:type="dxa"/>
            <w:vMerge w:val="continue"/>
            <w:vAlign w:val="center"/>
          </w:tcPr>
          <w:p>
            <w:pPr>
              <w:widowControl/>
              <w:spacing w:line="520" w:lineRule="exact"/>
              <w:jc w:val="center"/>
              <w:rPr>
                <w:rFonts w:ascii="宋体" w:hAnsi="宋体" w:cs="宋体"/>
                <w:color w:val="auto"/>
                <w:sz w:val="21"/>
                <w:szCs w:val="21"/>
                <w:highlight w:val="none"/>
              </w:rPr>
            </w:pPr>
          </w:p>
        </w:tc>
        <w:tc>
          <w:tcPr>
            <w:tcW w:w="971" w:type="dxa"/>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室内</w:t>
            </w:r>
          </w:p>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卫生</w:t>
            </w:r>
          </w:p>
        </w:tc>
        <w:tc>
          <w:tcPr>
            <w:tcW w:w="1545"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收集点室内有积存垃圾、大面积污水等</w:t>
            </w:r>
          </w:p>
        </w:tc>
        <w:tc>
          <w:tcPr>
            <w:tcW w:w="1159" w:type="dxa"/>
            <w:noWrap/>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10元/处</w:t>
            </w:r>
          </w:p>
        </w:tc>
        <w:tc>
          <w:tcPr>
            <w:tcW w:w="1135" w:type="dxa"/>
            <w:noWrap/>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30元/处</w:t>
            </w:r>
          </w:p>
        </w:tc>
        <w:tc>
          <w:tcPr>
            <w:tcW w:w="721" w:type="dxa"/>
            <w:noWrap/>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2次</w:t>
            </w:r>
          </w:p>
        </w:tc>
        <w:tc>
          <w:tcPr>
            <w:tcW w:w="971"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10分钟</w:t>
            </w:r>
          </w:p>
        </w:tc>
        <w:tc>
          <w:tcPr>
            <w:tcW w:w="927"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30分钟</w:t>
            </w:r>
          </w:p>
        </w:tc>
        <w:tc>
          <w:tcPr>
            <w:tcW w:w="1432"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开放时段内</w:t>
            </w:r>
          </w:p>
        </w:tc>
        <w:tc>
          <w:tcPr>
            <w:tcW w:w="2042" w:type="dxa"/>
            <w:vMerge w:val="continue"/>
            <w:vAlign w:val="center"/>
          </w:tcPr>
          <w:p>
            <w:pPr>
              <w:widowControl/>
              <w:spacing w:line="520" w:lineRule="exact"/>
              <w:jc w:val="left"/>
              <w:rPr>
                <w:rFonts w:ascii="宋体" w:hAnsi="宋体" w:cs="宋体"/>
                <w:color w:val="auto"/>
                <w:sz w:val="21"/>
                <w:szCs w:val="21"/>
                <w:highlight w:val="none"/>
              </w:rPr>
            </w:pPr>
          </w:p>
        </w:tc>
        <w:tc>
          <w:tcPr>
            <w:tcW w:w="1903" w:type="dxa"/>
            <w:vMerge w:val="continue"/>
            <w:vAlign w:val="center"/>
          </w:tcPr>
          <w:p>
            <w:pPr>
              <w:widowControl/>
              <w:spacing w:line="520" w:lineRule="exact"/>
              <w:jc w:val="left"/>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825" w:type="dxa"/>
            <w:vMerge w:val="continue"/>
            <w:vAlign w:val="center"/>
          </w:tcPr>
          <w:p>
            <w:pPr>
              <w:widowControl/>
              <w:spacing w:line="520" w:lineRule="exact"/>
              <w:jc w:val="left"/>
              <w:rPr>
                <w:rFonts w:ascii="宋体" w:hAnsi="宋体" w:cs="宋体"/>
                <w:color w:val="auto"/>
                <w:sz w:val="21"/>
                <w:szCs w:val="21"/>
                <w:highlight w:val="none"/>
              </w:rPr>
            </w:pPr>
          </w:p>
        </w:tc>
        <w:tc>
          <w:tcPr>
            <w:tcW w:w="1189" w:type="dxa"/>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收集点管理</w:t>
            </w:r>
          </w:p>
        </w:tc>
        <w:tc>
          <w:tcPr>
            <w:tcW w:w="971" w:type="dxa"/>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设施</w:t>
            </w:r>
          </w:p>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管理</w:t>
            </w:r>
          </w:p>
        </w:tc>
        <w:tc>
          <w:tcPr>
            <w:tcW w:w="1545" w:type="dxa"/>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洗手、照明设施正常使用</w:t>
            </w:r>
          </w:p>
        </w:tc>
        <w:tc>
          <w:tcPr>
            <w:tcW w:w="1159" w:type="dxa"/>
            <w:noWrap/>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10元/处</w:t>
            </w:r>
          </w:p>
        </w:tc>
        <w:tc>
          <w:tcPr>
            <w:tcW w:w="1135" w:type="dxa"/>
            <w:noWrap/>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30元/处</w:t>
            </w:r>
          </w:p>
        </w:tc>
        <w:tc>
          <w:tcPr>
            <w:tcW w:w="721" w:type="dxa"/>
            <w:noWrap/>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2次</w:t>
            </w:r>
          </w:p>
        </w:tc>
        <w:tc>
          <w:tcPr>
            <w:tcW w:w="971" w:type="dxa"/>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10分钟</w:t>
            </w:r>
          </w:p>
        </w:tc>
        <w:tc>
          <w:tcPr>
            <w:tcW w:w="927" w:type="dxa"/>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30分钟</w:t>
            </w:r>
          </w:p>
        </w:tc>
        <w:tc>
          <w:tcPr>
            <w:tcW w:w="1432" w:type="dxa"/>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开放时段内</w:t>
            </w:r>
          </w:p>
        </w:tc>
        <w:tc>
          <w:tcPr>
            <w:tcW w:w="2042" w:type="dxa"/>
            <w:vMerge w:val="continue"/>
            <w:vAlign w:val="center"/>
          </w:tcPr>
          <w:p>
            <w:pPr>
              <w:widowControl/>
              <w:spacing w:line="520" w:lineRule="exact"/>
              <w:jc w:val="left"/>
              <w:rPr>
                <w:rFonts w:ascii="宋体" w:hAnsi="宋体" w:cs="宋体"/>
                <w:color w:val="auto"/>
                <w:sz w:val="21"/>
                <w:szCs w:val="21"/>
                <w:highlight w:val="none"/>
              </w:rPr>
            </w:pPr>
          </w:p>
        </w:tc>
        <w:tc>
          <w:tcPr>
            <w:tcW w:w="1903" w:type="dxa"/>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使用视频报送，体现收集点编号及收集点内整体情况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825" w:type="dxa"/>
            <w:vMerge w:val="continue"/>
            <w:vAlign w:val="center"/>
          </w:tcPr>
          <w:p>
            <w:pPr>
              <w:widowControl/>
              <w:spacing w:line="520" w:lineRule="exact"/>
              <w:jc w:val="left"/>
              <w:rPr>
                <w:rFonts w:ascii="宋体" w:hAnsi="宋体" w:cs="宋体"/>
                <w:color w:val="auto"/>
                <w:sz w:val="21"/>
                <w:szCs w:val="21"/>
                <w:highlight w:val="none"/>
              </w:rPr>
            </w:pPr>
          </w:p>
        </w:tc>
        <w:tc>
          <w:tcPr>
            <w:tcW w:w="1189"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混收混运</w:t>
            </w:r>
          </w:p>
        </w:tc>
        <w:tc>
          <w:tcPr>
            <w:tcW w:w="971"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将已分类的生活垃圾混合收运</w:t>
            </w:r>
          </w:p>
        </w:tc>
        <w:tc>
          <w:tcPr>
            <w:tcW w:w="1545"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80元/例</w:t>
            </w:r>
          </w:p>
        </w:tc>
        <w:tc>
          <w:tcPr>
            <w:tcW w:w="1159" w:type="dxa"/>
            <w:noWrap/>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100元/例</w:t>
            </w:r>
          </w:p>
        </w:tc>
        <w:tc>
          <w:tcPr>
            <w:tcW w:w="1135" w:type="dxa"/>
            <w:noWrap/>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1次</w:t>
            </w:r>
          </w:p>
        </w:tc>
        <w:tc>
          <w:tcPr>
            <w:tcW w:w="721" w:type="dxa"/>
            <w:noWrap/>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无</w:t>
            </w:r>
          </w:p>
        </w:tc>
        <w:tc>
          <w:tcPr>
            <w:tcW w:w="971"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4小时</w:t>
            </w:r>
          </w:p>
        </w:tc>
        <w:tc>
          <w:tcPr>
            <w:tcW w:w="927"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24小时</w:t>
            </w:r>
          </w:p>
        </w:tc>
        <w:tc>
          <w:tcPr>
            <w:tcW w:w="1432"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开放时段内</w:t>
            </w:r>
          </w:p>
        </w:tc>
        <w:tc>
          <w:tcPr>
            <w:tcW w:w="2042"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举报车辆为市场化企业车辆；使用视频报送，体现远景、近景及不规范车辆车牌号等信息；车身严重脏污指收集车箱体外部存在明显污渍、污垢超过1平方米</w:t>
            </w:r>
          </w:p>
        </w:tc>
        <w:tc>
          <w:tcPr>
            <w:tcW w:w="1903" w:type="dxa"/>
            <w:vMerge w:val="restart"/>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使用视频报送，体现收集点编号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825" w:type="dxa"/>
            <w:vMerge w:val="restart"/>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分类收运</w:t>
            </w:r>
          </w:p>
        </w:tc>
        <w:tc>
          <w:tcPr>
            <w:tcW w:w="1189"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车容车貌不规范</w:t>
            </w:r>
          </w:p>
        </w:tc>
        <w:tc>
          <w:tcPr>
            <w:tcW w:w="2516" w:type="dxa"/>
            <w:gridSpan w:val="2"/>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车身严重脏污</w:t>
            </w:r>
          </w:p>
        </w:tc>
        <w:tc>
          <w:tcPr>
            <w:tcW w:w="1159"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30元/例</w:t>
            </w:r>
          </w:p>
        </w:tc>
        <w:tc>
          <w:tcPr>
            <w:tcW w:w="1135"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50元/例</w:t>
            </w:r>
          </w:p>
        </w:tc>
        <w:tc>
          <w:tcPr>
            <w:tcW w:w="721" w:type="dxa"/>
            <w:noWrap/>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1次</w:t>
            </w:r>
          </w:p>
        </w:tc>
        <w:tc>
          <w:tcPr>
            <w:tcW w:w="971"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无</w:t>
            </w:r>
          </w:p>
        </w:tc>
        <w:tc>
          <w:tcPr>
            <w:tcW w:w="927"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6小时</w:t>
            </w:r>
          </w:p>
        </w:tc>
        <w:tc>
          <w:tcPr>
            <w:tcW w:w="1432"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24小时</w:t>
            </w:r>
          </w:p>
        </w:tc>
        <w:tc>
          <w:tcPr>
            <w:tcW w:w="2042" w:type="dxa"/>
            <w:vMerge w:val="restart"/>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主城区</w:t>
            </w:r>
          </w:p>
        </w:tc>
        <w:tc>
          <w:tcPr>
            <w:tcW w:w="1903" w:type="dxa"/>
            <w:vMerge w:val="continue"/>
            <w:vAlign w:val="center"/>
          </w:tcPr>
          <w:p>
            <w:pPr>
              <w:widowControl/>
              <w:spacing w:line="520" w:lineRule="exact"/>
              <w:jc w:val="left"/>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25" w:type="dxa"/>
            <w:vMerge w:val="continue"/>
            <w:vAlign w:val="center"/>
          </w:tcPr>
          <w:p>
            <w:pPr>
              <w:widowControl/>
              <w:spacing w:line="520" w:lineRule="exact"/>
              <w:jc w:val="left"/>
              <w:rPr>
                <w:rFonts w:ascii="宋体" w:hAnsi="宋体" w:cs="宋体"/>
                <w:color w:val="auto"/>
                <w:sz w:val="21"/>
                <w:szCs w:val="21"/>
                <w:highlight w:val="none"/>
              </w:rPr>
            </w:pPr>
          </w:p>
        </w:tc>
        <w:tc>
          <w:tcPr>
            <w:tcW w:w="1189" w:type="dxa"/>
            <w:vMerge w:val="restart"/>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车容车貌不规范</w:t>
            </w:r>
          </w:p>
        </w:tc>
        <w:tc>
          <w:tcPr>
            <w:tcW w:w="2516" w:type="dxa"/>
            <w:gridSpan w:val="2"/>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车身颜色或标志不符合相关标准</w:t>
            </w:r>
          </w:p>
        </w:tc>
        <w:tc>
          <w:tcPr>
            <w:tcW w:w="1159"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30元/处</w:t>
            </w:r>
          </w:p>
        </w:tc>
        <w:tc>
          <w:tcPr>
            <w:tcW w:w="1135"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50元/处</w:t>
            </w:r>
          </w:p>
        </w:tc>
        <w:tc>
          <w:tcPr>
            <w:tcW w:w="721"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1次</w:t>
            </w:r>
          </w:p>
        </w:tc>
        <w:tc>
          <w:tcPr>
            <w:tcW w:w="971"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无</w:t>
            </w:r>
          </w:p>
        </w:tc>
        <w:tc>
          <w:tcPr>
            <w:tcW w:w="927"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6小时</w:t>
            </w:r>
          </w:p>
        </w:tc>
        <w:tc>
          <w:tcPr>
            <w:tcW w:w="1432"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24小时</w:t>
            </w:r>
          </w:p>
        </w:tc>
        <w:tc>
          <w:tcPr>
            <w:tcW w:w="2042" w:type="dxa"/>
            <w:vMerge w:val="continue"/>
            <w:vAlign w:val="center"/>
          </w:tcPr>
          <w:p>
            <w:pPr>
              <w:widowControl/>
              <w:spacing w:line="520" w:lineRule="exact"/>
              <w:jc w:val="left"/>
              <w:rPr>
                <w:rFonts w:ascii="宋体" w:hAnsi="宋体" w:cs="宋体"/>
                <w:color w:val="auto"/>
                <w:sz w:val="21"/>
                <w:szCs w:val="21"/>
                <w:highlight w:val="none"/>
              </w:rPr>
            </w:pPr>
          </w:p>
        </w:tc>
        <w:tc>
          <w:tcPr>
            <w:tcW w:w="1903" w:type="dxa"/>
            <w:vMerge w:val="continue"/>
            <w:vAlign w:val="center"/>
          </w:tcPr>
          <w:p>
            <w:pPr>
              <w:widowControl/>
              <w:spacing w:line="520" w:lineRule="exact"/>
              <w:jc w:val="left"/>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25" w:type="dxa"/>
            <w:vMerge w:val="continue"/>
            <w:vAlign w:val="center"/>
          </w:tcPr>
          <w:p>
            <w:pPr>
              <w:widowControl/>
              <w:spacing w:line="520" w:lineRule="exact"/>
              <w:jc w:val="left"/>
              <w:rPr>
                <w:rFonts w:ascii="宋体" w:hAnsi="宋体" w:cs="宋体"/>
                <w:color w:val="auto"/>
                <w:sz w:val="21"/>
                <w:szCs w:val="21"/>
                <w:highlight w:val="none"/>
              </w:rPr>
            </w:pPr>
          </w:p>
        </w:tc>
        <w:tc>
          <w:tcPr>
            <w:tcW w:w="1189" w:type="dxa"/>
            <w:vMerge w:val="continue"/>
            <w:vAlign w:val="center"/>
          </w:tcPr>
          <w:p>
            <w:pPr>
              <w:widowControl/>
              <w:spacing w:line="520" w:lineRule="exact"/>
              <w:jc w:val="left"/>
              <w:rPr>
                <w:rFonts w:ascii="宋体" w:hAnsi="宋体" w:cs="宋体"/>
                <w:color w:val="auto"/>
                <w:sz w:val="21"/>
                <w:szCs w:val="21"/>
                <w:highlight w:val="none"/>
              </w:rPr>
            </w:pPr>
          </w:p>
        </w:tc>
        <w:tc>
          <w:tcPr>
            <w:tcW w:w="2516" w:type="dxa"/>
            <w:gridSpan w:val="2"/>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车身油漆脱落达车身面积三分之一以上</w:t>
            </w:r>
          </w:p>
        </w:tc>
        <w:tc>
          <w:tcPr>
            <w:tcW w:w="1159"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200元/例</w:t>
            </w:r>
          </w:p>
        </w:tc>
        <w:tc>
          <w:tcPr>
            <w:tcW w:w="1135"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200元/例</w:t>
            </w:r>
          </w:p>
        </w:tc>
        <w:tc>
          <w:tcPr>
            <w:tcW w:w="721"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1次</w:t>
            </w:r>
          </w:p>
        </w:tc>
        <w:tc>
          <w:tcPr>
            <w:tcW w:w="971"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无</w:t>
            </w:r>
          </w:p>
        </w:tc>
        <w:tc>
          <w:tcPr>
            <w:tcW w:w="927"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48小时</w:t>
            </w:r>
          </w:p>
        </w:tc>
        <w:tc>
          <w:tcPr>
            <w:tcW w:w="1432" w:type="dxa"/>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24小时</w:t>
            </w:r>
          </w:p>
        </w:tc>
        <w:tc>
          <w:tcPr>
            <w:tcW w:w="2042" w:type="dxa"/>
            <w:vMerge w:val="continue"/>
            <w:vAlign w:val="center"/>
          </w:tcPr>
          <w:p>
            <w:pPr>
              <w:widowControl/>
              <w:spacing w:line="520" w:lineRule="exact"/>
              <w:jc w:val="left"/>
              <w:rPr>
                <w:rFonts w:ascii="宋体" w:hAnsi="宋体" w:cs="宋体"/>
                <w:color w:val="auto"/>
                <w:sz w:val="21"/>
                <w:szCs w:val="21"/>
                <w:highlight w:val="none"/>
              </w:rPr>
            </w:pPr>
          </w:p>
        </w:tc>
        <w:tc>
          <w:tcPr>
            <w:tcW w:w="1903" w:type="dxa"/>
            <w:vMerge w:val="continue"/>
            <w:vAlign w:val="center"/>
          </w:tcPr>
          <w:p>
            <w:pPr>
              <w:widowControl/>
              <w:spacing w:line="520" w:lineRule="exact"/>
              <w:jc w:val="left"/>
              <w:rPr>
                <w:rFonts w:ascii="宋体" w:hAnsi="宋体" w:cs="宋体"/>
                <w:color w:val="auto"/>
                <w:sz w:val="21"/>
                <w:szCs w:val="21"/>
                <w:highlight w:val="none"/>
              </w:rPr>
            </w:pPr>
          </w:p>
        </w:tc>
      </w:tr>
    </w:tbl>
    <w:p>
      <w:pPr>
        <w:widowControl/>
        <w:spacing w:line="520" w:lineRule="exact"/>
        <w:jc w:val="left"/>
        <w:rPr>
          <w:rFonts w:ascii="宋体" w:hAnsi="宋体" w:cs="宋体"/>
          <w:color w:val="auto"/>
          <w:sz w:val="24"/>
          <w:highlight w:val="none"/>
        </w:rPr>
      </w:pPr>
    </w:p>
    <w:p>
      <w:pPr>
        <w:widowControl/>
        <w:spacing w:line="520" w:lineRule="exact"/>
        <w:jc w:val="left"/>
        <w:outlineLvl w:val="0"/>
        <w:rPr>
          <w:rFonts w:ascii="宋体" w:hAnsi="宋体" w:cs="宋体"/>
          <w:color w:val="auto"/>
          <w:sz w:val="24"/>
          <w:highlight w:val="none"/>
        </w:rPr>
      </w:pPr>
      <w:r>
        <w:rPr>
          <w:rFonts w:hint="eastAsia" w:ascii="宋体" w:hAnsi="宋体" w:cs="宋体"/>
          <w:color w:val="auto"/>
          <w:sz w:val="24"/>
          <w:highlight w:val="none"/>
        </w:rPr>
        <w:br w:type="page"/>
      </w:r>
      <w:bookmarkStart w:id="12" w:name="_Toc8004"/>
      <w:r>
        <w:rPr>
          <w:rFonts w:hint="eastAsia" w:ascii="宋体" w:hAnsi="宋体" w:cs="宋体"/>
          <w:color w:val="auto"/>
          <w:sz w:val="24"/>
          <w:highlight w:val="none"/>
        </w:rPr>
        <w:t>附件2：</w:t>
      </w:r>
      <w:bookmarkEnd w:id="12"/>
    </w:p>
    <w:p>
      <w:pPr>
        <w:spacing w:line="520" w:lineRule="exact"/>
        <w:ind w:firstLine="425"/>
        <w:jc w:val="center"/>
        <w:rPr>
          <w:rFonts w:ascii="宋体" w:hAnsi="宋体" w:cs="宋体"/>
          <w:color w:val="auto"/>
          <w:sz w:val="24"/>
          <w:highlight w:val="none"/>
        </w:rPr>
      </w:pPr>
      <w:r>
        <w:rPr>
          <w:rFonts w:hint="eastAsia" w:ascii="宋体" w:hAnsi="宋体" w:cs="宋体"/>
          <w:color w:val="auto"/>
          <w:sz w:val="24"/>
          <w:highlight w:val="none"/>
        </w:rPr>
        <w:t>生活垃圾分类集中收集点管理考核细则</w:t>
      </w:r>
    </w:p>
    <w:tbl>
      <w:tblPr>
        <w:tblStyle w:val="12"/>
        <w:tblW w:w="0" w:type="auto"/>
        <w:tblInd w:w="108" w:type="dxa"/>
        <w:tblLayout w:type="autofit"/>
        <w:tblCellMar>
          <w:top w:w="0" w:type="dxa"/>
          <w:left w:w="108" w:type="dxa"/>
          <w:bottom w:w="0" w:type="dxa"/>
          <w:right w:w="108" w:type="dxa"/>
        </w:tblCellMar>
      </w:tblPr>
      <w:tblGrid>
        <w:gridCol w:w="1177"/>
        <w:gridCol w:w="799"/>
        <w:gridCol w:w="3239"/>
        <w:gridCol w:w="8851"/>
      </w:tblGrid>
      <w:tr>
        <w:tblPrEx>
          <w:tblCellMar>
            <w:top w:w="0" w:type="dxa"/>
            <w:left w:w="108" w:type="dxa"/>
            <w:bottom w:w="0" w:type="dxa"/>
            <w:right w:w="108" w:type="dxa"/>
          </w:tblCellMar>
        </w:tblPrEx>
        <w:trPr>
          <w:trHeight w:val="295" w:hRule="atLeast"/>
          <w:tblHeader/>
        </w:trPr>
        <w:tc>
          <w:tcPr>
            <w:tcW w:w="1976"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考核项目</w:t>
            </w:r>
          </w:p>
        </w:tc>
        <w:tc>
          <w:tcPr>
            <w:tcW w:w="3239"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作业要求</w:t>
            </w:r>
          </w:p>
        </w:tc>
        <w:tc>
          <w:tcPr>
            <w:tcW w:w="8851"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扣分标准</w:t>
            </w:r>
          </w:p>
        </w:tc>
      </w:tr>
      <w:tr>
        <w:tblPrEx>
          <w:tblCellMar>
            <w:top w:w="0" w:type="dxa"/>
            <w:left w:w="108" w:type="dxa"/>
            <w:bottom w:w="0" w:type="dxa"/>
            <w:right w:w="108" w:type="dxa"/>
          </w:tblCellMar>
        </w:tblPrEx>
        <w:trPr>
          <w:trHeight w:val="1100" w:hRule="atLeast"/>
        </w:trPr>
        <w:tc>
          <w:tcPr>
            <w:tcW w:w="0" w:type="auto"/>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管理标准（30分）</w:t>
            </w:r>
          </w:p>
        </w:tc>
        <w:tc>
          <w:tcPr>
            <w:tcW w:w="799"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制度管理</w:t>
            </w:r>
          </w:p>
        </w:tc>
        <w:tc>
          <w:tcPr>
            <w:tcW w:w="3239"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建立岗位培训制度、台账制度</w:t>
            </w:r>
          </w:p>
        </w:tc>
        <w:tc>
          <w:tcPr>
            <w:tcW w:w="8851"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督导员未经培训上岗的，每次扣1-2分，业务不熟悉的，每次扣1分；无相关台账或台账记录不全、不规范的，每次扣1-3分。</w:t>
            </w:r>
          </w:p>
        </w:tc>
      </w:tr>
      <w:tr>
        <w:tblPrEx>
          <w:tblCellMar>
            <w:top w:w="0" w:type="dxa"/>
            <w:left w:w="108" w:type="dxa"/>
            <w:bottom w:w="0" w:type="dxa"/>
            <w:right w:w="108" w:type="dxa"/>
          </w:tblCellMar>
        </w:tblPrEx>
        <w:trPr>
          <w:trHeight w:val="827"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799"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标志标识管理</w:t>
            </w:r>
          </w:p>
        </w:tc>
        <w:tc>
          <w:tcPr>
            <w:tcW w:w="3239"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各项生活垃圾分类标志标识符合要求，并保持完好、清晰、整洁</w:t>
            </w:r>
          </w:p>
        </w:tc>
        <w:tc>
          <w:tcPr>
            <w:tcW w:w="8851"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未按要求设置分类标志，每处扣1-2分，标志错误或不规范的，每处扣1-2分。</w:t>
            </w:r>
          </w:p>
        </w:tc>
      </w:tr>
      <w:tr>
        <w:tblPrEx>
          <w:tblCellMar>
            <w:top w:w="0" w:type="dxa"/>
            <w:left w:w="108" w:type="dxa"/>
            <w:bottom w:w="0" w:type="dxa"/>
            <w:right w:w="108" w:type="dxa"/>
          </w:tblCellMar>
        </w:tblPrEx>
        <w:trPr>
          <w:trHeight w:val="164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799"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人员管理</w:t>
            </w:r>
          </w:p>
        </w:tc>
        <w:tc>
          <w:tcPr>
            <w:tcW w:w="3239"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督导员佩戴工作证，统一服装上岗，保持整洁；在开放时段督导居民分类投放生活垃圾，并对每户投放情况进行记录</w:t>
            </w:r>
          </w:p>
        </w:tc>
        <w:tc>
          <w:tcPr>
            <w:tcW w:w="8851"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未着统一工作服的，每次扣1分，着装不规范的，每次扣1分；未佩戴工作证的，每次扣1分；未对每户投放情况进行记录的，每次扣1-5分，记录不规范、不准确的，每次扣1-5分。</w:t>
            </w:r>
          </w:p>
        </w:tc>
      </w:tr>
      <w:tr>
        <w:tblPrEx>
          <w:tblCellMar>
            <w:top w:w="0" w:type="dxa"/>
            <w:left w:w="108" w:type="dxa"/>
            <w:bottom w:w="0" w:type="dxa"/>
            <w:right w:w="108" w:type="dxa"/>
          </w:tblCellMar>
        </w:tblPrEx>
        <w:trPr>
          <w:trHeight w:val="55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799"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作业工具管理</w:t>
            </w:r>
          </w:p>
        </w:tc>
        <w:tc>
          <w:tcPr>
            <w:tcW w:w="3239"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作业工具规范,符合使用要求，摆放整齐，不乱塞乱放</w:t>
            </w:r>
          </w:p>
        </w:tc>
        <w:tc>
          <w:tcPr>
            <w:tcW w:w="8851"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作业工作摆放不整齐，乱塞乱放的，每次扣1-2分。</w:t>
            </w:r>
          </w:p>
        </w:tc>
      </w:tr>
      <w:tr>
        <w:tblPrEx>
          <w:tblCellMar>
            <w:top w:w="0" w:type="dxa"/>
            <w:left w:w="108" w:type="dxa"/>
            <w:bottom w:w="0" w:type="dxa"/>
            <w:right w:w="108" w:type="dxa"/>
          </w:tblCellMar>
        </w:tblPrEx>
        <w:trPr>
          <w:trHeight w:val="602" w:hRule="atLeast"/>
        </w:trPr>
        <w:tc>
          <w:tcPr>
            <w:tcW w:w="0" w:type="auto"/>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设施标准（30分）</w:t>
            </w:r>
          </w:p>
        </w:tc>
        <w:tc>
          <w:tcPr>
            <w:tcW w:w="799"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洗手设施</w:t>
            </w:r>
          </w:p>
        </w:tc>
        <w:tc>
          <w:tcPr>
            <w:tcW w:w="3239"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保证洗手设施功能完好，开放时段正常使用</w:t>
            </w:r>
          </w:p>
        </w:tc>
        <w:tc>
          <w:tcPr>
            <w:tcW w:w="8851"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开放时段洗手设施不能正常使用的，每次扣1-2分。</w:t>
            </w:r>
          </w:p>
        </w:tc>
      </w:tr>
      <w:tr>
        <w:tblPrEx>
          <w:tblCellMar>
            <w:top w:w="0" w:type="dxa"/>
            <w:left w:w="108" w:type="dxa"/>
            <w:bottom w:w="0" w:type="dxa"/>
            <w:right w:w="108" w:type="dxa"/>
          </w:tblCellMar>
        </w:tblPrEx>
        <w:trPr>
          <w:trHeight w:val="827"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799"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照明设施</w:t>
            </w:r>
          </w:p>
        </w:tc>
        <w:tc>
          <w:tcPr>
            <w:tcW w:w="3239"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保证照明设施功能完好，光线不足条件正常使用</w:t>
            </w:r>
          </w:p>
        </w:tc>
        <w:tc>
          <w:tcPr>
            <w:tcW w:w="8851"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光线不足条件下未及时开启照明设备，影响居民正常投放的，每次扣1-2分。</w:t>
            </w:r>
          </w:p>
        </w:tc>
      </w:tr>
      <w:tr>
        <w:tblPrEx>
          <w:tblCellMar>
            <w:top w:w="0" w:type="dxa"/>
            <w:left w:w="108" w:type="dxa"/>
            <w:bottom w:w="0" w:type="dxa"/>
            <w:right w:w="108" w:type="dxa"/>
          </w:tblCellMar>
        </w:tblPrEx>
        <w:trPr>
          <w:trHeight w:val="11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799"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其他设施要求</w:t>
            </w:r>
          </w:p>
        </w:tc>
        <w:tc>
          <w:tcPr>
            <w:tcW w:w="3239"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收集点门窗功能完好，采取通风、除臭等措施</w:t>
            </w:r>
          </w:p>
        </w:tc>
        <w:tc>
          <w:tcPr>
            <w:tcW w:w="8851"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收集点门窗损坏未及时修复的，每处扣3-5分；未采取通风、除臭等措施的，每缺一项扣1-2分，扣完为止。</w:t>
            </w:r>
          </w:p>
        </w:tc>
      </w:tr>
      <w:tr>
        <w:tblPrEx>
          <w:tblCellMar>
            <w:top w:w="0" w:type="dxa"/>
            <w:left w:w="108" w:type="dxa"/>
            <w:bottom w:w="0" w:type="dxa"/>
            <w:right w:w="108" w:type="dxa"/>
          </w:tblCellMar>
        </w:tblPrEx>
        <w:trPr>
          <w:trHeight w:val="1645" w:hRule="atLeast"/>
        </w:trPr>
        <w:tc>
          <w:tcPr>
            <w:tcW w:w="0" w:type="auto"/>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质量标准（40分）</w:t>
            </w:r>
          </w:p>
        </w:tc>
        <w:tc>
          <w:tcPr>
            <w:tcW w:w="799"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环境净</w:t>
            </w:r>
          </w:p>
        </w:tc>
        <w:tc>
          <w:tcPr>
            <w:tcW w:w="3239"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收集点内及周边5米范围内应保持场地整洁，定时清洗、消杀，无可视蚊蝇，无散落、存留垃圾和污水，无异味散发，无乱拉乱挂，无积尘、蛛网、杂物及乱贴乱画。</w:t>
            </w:r>
          </w:p>
        </w:tc>
        <w:tc>
          <w:tcPr>
            <w:tcW w:w="8851"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未定时清洗、消杀的，有可视蚊蝇，有异味的，有积尘或蛛网，每处扣1-2分；散落、留存垃圾或污水，每处1-3分；存在乱拉乱挂、乱堆杂物、乱贴乱画的，每处扣1-2分。</w:t>
            </w:r>
          </w:p>
        </w:tc>
      </w:tr>
      <w:tr>
        <w:tblPrEx>
          <w:tblCellMar>
            <w:top w:w="0" w:type="dxa"/>
            <w:left w:w="108" w:type="dxa"/>
            <w:bottom w:w="0" w:type="dxa"/>
            <w:right w:w="108" w:type="dxa"/>
          </w:tblCellMar>
        </w:tblPrEx>
        <w:trPr>
          <w:trHeight w:val="9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799"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垃圾收集容器净</w:t>
            </w:r>
          </w:p>
        </w:tc>
        <w:tc>
          <w:tcPr>
            <w:tcW w:w="3239"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收集点及周边5米范围内收集容器类别设置、摆放符合要求，无缺失、无破损、无乱摆乱放现象，关闭时段收集点门外无垃圾桶；定时清洗、消杀，保持容器外表面干净、无吊挂，无积垢；垃圾应及时清除，无满溢。</w:t>
            </w:r>
          </w:p>
        </w:tc>
        <w:tc>
          <w:tcPr>
            <w:tcW w:w="8851"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收集容器类别设置错误、摆放不符合要求，破损、缺失或乱摆乱放的，每个扣1-2分；关闭时段收集点门外摆放垃圾桶的，每例扣2-3分；未及时清洗、消杀，收集容器外体脏污的，每个扣1-3分；垃圾清除不及时，造成垃圾满溢的，每处扣2-5分。</w:t>
            </w:r>
          </w:p>
        </w:tc>
      </w:tr>
    </w:tbl>
    <w:p>
      <w:pPr>
        <w:spacing w:line="520" w:lineRule="exact"/>
        <w:jc w:val="center"/>
        <w:rPr>
          <w:rFonts w:ascii="宋体" w:hAnsi="宋体" w:cs="宋体"/>
          <w:color w:val="auto"/>
          <w:sz w:val="24"/>
          <w:highlight w:val="none"/>
        </w:rPr>
      </w:pPr>
    </w:p>
    <w:p>
      <w:pPr>
        <w:spacing w:line="520" w:lineRule="exact"/>
        <w:outlineLvl w:val="0"/>
        <w:rPr>
          <w:rFonts w:ascii="宋体" w:hAnsi="宋体" w:cs="宋体"/>
          <w:color w:val="auto"/>
          <w:sz w:val="24"/>
          <w:highlight w:val="none"/>
        </w:rPr>
      </w:pPr>
      <w:r>
        <w:rPr>
          <w:rFonts w:hint="eastAsia" w:ascii="宋体" w:hAnsi="宋体" w:cs="宋体"/>
          <w:color w:val="auto"/>
          <w:sz w:val="24"/>
          <w:highlight w:val="none"/>
        </w:rPr>
        <w:br w:type="page"/>
      </w:r>
      <w:bookmarkStart w:id="13" w:name="_Toc30731"/>
      <w:r>
        <w:rPr>
          <w:rFonts w:hint="eastAsia" w:ascii="宋体" w:hAnsi="宋体" w:cs="宋体"/>
          <w:color w:val="auto"/>
          <w:sz w:val="24"/>
          <w:highlight w:val="none"/>
        </w:rPr>
        <w:t>附件3：</w:t>
      </w:r>
      <w:bookmarkEnd w:id="13"/>
    </w:p>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生活垃圾分类收运考核细则</w:t>
      </w:r>
    </w:p>
    <w:tbl>
      <w:tblPr>
        <w:tblStyle w:val="12"/>
        <w:tblW w:w="0" w:type="auto"/>
        <w:tblInd w:w="108" w:type="dxa"/>
        <w:tblLayout w:type="autofit"/>
        <w:tblCellMar>
          <w:top w:w="0" w:type="dxa"/>
          <w:left w:w="108" w:type="dxa"/>
          <w:bottom w:w="0" w:type="dxa"/>
          <w:right w:w="108" w:type="dxa"/>
        </w:tblCellMar>
      </w:tblPr>
      <w:tblGrid>
        <w:gridCol w:w="855"/>
        <w:gridCol w:w="996"/>
        <w:gridCol w:w="5168"/>
        <w:gridCol w:w="7047"/>
      </w:tblGrid>
      <w:tr>
        <w:tblPrEx>
          <w:tblCellMar>
            <w:top w:w="0" w:type="dxa"/>
            <w:left w:w="108" w:type="dxa"/>
            <w:bottom w:w="0" w:type="dxa"/>
            <w:right w:w="108" w:type="dxa"/>
          </w:tblCellMar>
        </w:tblPrEx>
        <w:trPr>
          <w:trHeight w:val="566" w:hRule="atLeast"/>
          <w:tblHeader/>
        </w:trPr>
        <w:tc>
          <w:tcPr>
            <w:tcW w:w="0" w:type="auto"/>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考核项目</w:t>
            </w:r>
          </w:p>
        </w:tc>
        <w:tc>
          <w:tcPr>
            <w:tcW w:w="0" w:type="auto"/>
            <w:tcBorders>
              <w:top w:val="single" w:color="auto" w:sz="4" w:space="0"/>
              <w:left w:val="nil"/>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作业要求</w:t>
            </w:r>
          </w:p>
        </w:tc>
        <w:tc>
          <w:tcPr>
            <w:tcW w:w="0" w:type="auto"/>
            <w:tcBorders>
              <w:top w:val="single" w:color="auto" w:sz="4" w:space="0"/>
              <w:left w:val="nil"/>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扣分标准</w:t>
            </w:r>
          </w:p>
        </w:tc>
      </w:tr>
      <w:tr>
        <w:tblPrEx>
          <w:tblCellMar>
            <w:top w:w="0" w:type="dxa"/>
            <w:left w:w="108" w:type="dxa"/>
            <w:bottom w:w="0" w:type="dxa"/>
            <w:right w:w="108" w:type="dxa"/>
          </w:tblCellMar>
        </w:tblPrEx>
        <w:trPr>
          <w:trHeight w:val="946" w:hRule="atLeast"/>
        </w:trPr>
        <w:tc>
          <w:tcPr>
            <w:tcW w:w="0" w:type="auto"/>
            <w:vMerge w:val="restart"/>
            <w:tcBorders>
              <w:top w:val="nil"/>
              <w:left w:val="single" w:color="auto" w:sz="4" w:space="0"/>
              <w:bottom w:val="single" w:color="000000" w:sz="4" w:space="0"/>
              <w:right w:val="single" w:color="auto" w:sz="4" w:space="0"/>
            </w:tcBorders>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管理</w:t>
            </w:r>
          </w:p>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标准（20分）</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规范</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监管</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收运车辆、设备正常运行，设置车载在线监测系统，并保持正常运行；配备专人对作业情况进行实时监控。</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未设置车载在线监测系统的，每例扣5分，在线监测数据未正常运行的，每例扣2分，并移交相关执法单位查处；未按要求配备人员的每例扣2分；</w:t>
            </w:r>
          </w:p>
        </w:tc>
      </w:tr>
      <w:tr>
        <w:tblPrEx>
          <w:tblCellMar>
            <w:top w:w="0" w:type="dxa"/>
            <w:left w:w="108" w:type="dxa"/>
            <w:bottom w:w="0" w:type="dxa"/>
            <w:right w:w="108" w:type="dxa"/>
          </w:tblCellMar>
        </w:tblPrEx>
        <w:trPr>
          <w:trHeight w:val="157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设备（含车辆）管理</w:t>
            </w:r>
          </w:p>
        </w:tc>
        <w:tc>
          <w:tcPr>
            <w:tcW w:w="0" w:type="auto"/>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设备、车辆操作人员经培训合格后方可上岗，保证安全运输、文明驾驶；定期维修、保养生活垃圾分类收集、运输设施、设备，建立生活垃圾转运车辆保养及运行台账，实行一车一档，不得人为破坏。</w:t>
            </w:r>
          </w:p>
        </w:tc>
        <w:tc>
          <w:tcPr>
            <w:tcW w:w="0" w:type="auto"/>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操作人员未经培训上岗的，每例扣2分，业务不熟悉的，每次扣1分；存在不文明驾驶行为的，每例1-5分；未按时维修、保养生活垃圾分类收集、运输设施、设备的，每例扣2-5分；未设立车辆保养和运行台账的，每例扣1-3分；人为损坏生活垃圾收输设施、设备的，每例扣2-10分。</w:t>
            </w:r>
          </w:p>
        </w:tc>
      </w:tr>
      <w:tr>
        <w:tblPrEx>
          <w:tblCellMar>
            <w:top w:w="0" w:type="dxa"/>
            <w:left w:w="108" w:type="dxa"/>
            <w:bottom w:w="0" w:type="dxa"/>
            <w:right w:w="108" w:type="dxa"/>
          </w:tblCellMar>
        </w:tblPrEx>
        <w:trPr>
          <w:trHeight w:val="118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车容</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车貌</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作业时保持车容整洁，标志清晰、规范、齐全，车体无破损、无锈蚀,车辆渗滤液收集器完好，及时检查、定期更换密封条。</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标志不规范的，每例5分，不清晰、不齐全每例扣2分；车体破损、锈蚀每例扣2-5分，车体不洁、车容不整每例扣2-5分。</w:t>
            </w:r>
          </w:p>
        </w:tc>
      </w:tr>
      <w:tr>
        <w:tblPrEx>
          <w:tblCellMar>
            <w:top w:w="0" w:type="dxa"/>
            <w:left w:w="108" w:type="dxa"/>
            <w:bottom w:w="0" w:type="dxa"/>
            <w:right w:w="108" w:type="dxa"/>
          </w:tblCellMar>
        </w:tblPrEx>
        <w:trPr>
          <w:trHeight w:val="1049"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人员</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管理</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作业时应穿戴统一、有警示标识的工作服，并保持着装整洁。</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未按规定着装的，每例扣2分；工作服装脏污每例扣1分。</w:t>
            </w:r>
          </w:p>
        </w:tc>
      </w:tr>
      <w:tr>
        <w:tblPrEx>
          <w:tblCellMar>
            <w:top w:w="0" w:type="dxa"/>
            <w:left w:w="108" w:type="dxa"/>
            <w:bottom w:w="0" w:type="dxa"/>
            <w:right w:w="108" w:type="dxa"/>
          </w:tblCellMar>
        </w:tblPrEx>
        <w:trPr>
          <w:trHeight w:val="1794" w:hRule="atLeast"/>
        </w:trPr>
        <w:tc>
          <w:tcPr>
            <w:tcW w:w="0" w:type="auto"/>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作业</w:t>
            </w:r>
          </w:p>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标准</w:t>
            </w:r>
          </w:p>
          <w:p>
            <w:pPr>
              <w:widowControl/>
              <w:spacing w:line="52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80分</w:t>
            </w:r>
            <w:r>
              <w:rPr>
                <w:rFonts w:hint="eastAsia" w:ascii="宋体" w:hAnsi="宋体" w:cs="宋体"/>
                <w:color w:val="auto"/>
                <w:sz w:val="21"/>
                <w:szCs w:val="21"/>
                <w:highlight w:val="none"/>
                <w:lang w:val="en-US" w:eastAsia="zh-CN"/>
              </w:rPr>
              <w:t>)</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作业</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模式</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厨余垃圾应采用“以桶换桶”方式收集，按照车辆核定桶数装载。其他垃圾采用桶车对接方式收集，收集过程中确保垃圾不落地。可回收物、有害垃圾使用专用车辆定期清运或采用预约上门收集方式收运。</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作业模式不符合要求的，每例扣5-10分。</w:t>
            </w:r>
          </w:p>
        </w:tc>
      </w:tr>
      <w:tr>
        <w:tblPrEx>
          <w:tblCellMar>
            <w:top w:w="0" w:type="dxa"/>
            <w:left w:w="108" w:type="dxa"/>
            <w:bottom w:w="0" w:type="dxa"/>
            <w:right w:w="108" w:type="dxa"/>
          </w:tblCellMar>
        </w:tblPrEx>
        <w:trPr>
          <w:trHeight w:val="727"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0" w:type="auto"/>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规范</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作业</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按照规定的时间、路线和要求及时、分类收运生活垃圾。</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未按规定的时间、路线和要求作业的，每例扣2-5分；未及时收运生活垃圾的，每例扣2-10分。</w:t>
            </w:r>
          </w:p>
        </w:tc>
      </w:tr>
      <w:tr>
        <w:tblPrEx>
          <w:tblCellMar>
            <w:top w:w="0" w:type="dxa"/>
            <w:left w:w="108" w:type="dxa"/>
            <w:bottom w:w="0" w:type="dxa"/>
            <w:right w:w="108" w:type="dxa"/>
          </w:tblCellMar>
        </w:tblPrEx>
        <w:trPr>
          <w:trHeight w:val="946"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收集车辆运输过程中，车辆容器应保持密闭状态，车体无外挂、夹带垃圾杂物，无冒、扬、撒、拖、挂、滴、漏现象。</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车辆容器未密闭的，每例扣2-5分；车辆存在外挂、夹带垃圾杂物，冒、扬、撒、拖、挂、滴、漏等现象的，每例扣2-5分。</w:t>
            </w:r>
          </w:p>
        </w:tc>
      </w:tr>
      <w:tr>
        <w:tblPrEx>
          <w:tblCellMar>
            <w:top w:w="0" w:type="dxa"/>
            <w:left w:w="108" w:type="dxa"/>
            <w:bottom w:w="0" w:type="dxa"/>
            <w:right w:w="108" w:type="dxa"/>
          </w:tblCellMar>
        </w:tblPrEx>
        <w:trPr>
          <w:trHeight w:val="104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收集作业结束后，应当将收集容器复位、保洁，并清扫、清洗场地，保持场地环境整洁，应确保无散落垃圾和积留污水。</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作业后未将收集容器复位的，每例扣1-2分；场地不洁，有散落垃圾、积留污水的，每例扣2-5分。</w:t>
            </w:r>
          </w:p>
        </w:tc>
      </w:tr>
      <w:tr>
        <w:tblPrEx>
          <w:tblCellMar>
            <w:top w:w="0" w:type="dxa"/>
            <w:left w:w="108" w:type="dxa"/>
            <w:bottom w:w="0" w:type="dxa"/>
            <w:right w:w="108" w:type="dxa"/>
          </w:tblCellMar>
        </w:tblPrEx>
        <w:trPr>
          <w:trHeight w:val="1863"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文明</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作业</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作业过程中必须严格遵守交通法规；避免或者减少噪声扰民和交通拥堵；收集作业过程中不得影响道路通行，禁止占用两条及以上车道进行作业； </w:t>
            </w:r>
          </w:p>
        </w:tc>
        <w:tc>
          <w:tcPr>
            <w:tcW w:w="0" w:type="auto"/>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未按交通法规行车，每辆次扣10分；有噪声扰民、造成交通拥堵等行为的，每辆次扣2-10分； </w:t>
            </w:r>
          </w:p>
        </w:tc>
      </w:tr>
    </w:tbl>
    <w:p>
      <w:pPr>
        <w:spacing w:line="520" w:lineRule="exact"/>
        <w:outlineLvl w:val="0"/>
        <w:rPr>
          <w:rFonts w:ascii="宋体" w:hAnsi="宋体" w:cs="宋体"/>
          <w:color w:val="auto"/>
          <w:sz w:val="24"/>
          <w:highlight w:val="none"/>
        </w:rPr>
      </w:pPr>
      <w:r>
        <w:rPr>
          <w:rFonts w:hint="eastAsia" w:ascii="宋体" w:hAnsi="宋体" w:cs="宋体"/>
          <w:color w:val="auto"/>
          <w:sz w:val="24"/>
          <w:highlight w:val="none"/>
        </w:rPr>
        <w:br w:type="page"/>
      </w:r>
      <w:bookmarkStart w:id="14" w:name="_Toc18723"/>
      <w:r>
        <w:rPr>
          <w:rFonts w:hint="eastAsia" w:ascii="宋体" w:hAnsi="宋体" w:cs="宋体"/>
          <w:color w:val="auto"/>
          <w:sz w:val="24"/>
          <w:highlight w:val="none"/>
        </w:rPr>
        <w:t>附件4：</w:t>
      </w:r>
      <w:bookmarkEnd w:id="14"/>
      <w:r>
        <w:rPr>
          <w:rFonts w:hint="eastAsia" w:ascii="宋体" w:hAnsi="宋体" w:cs="宋体"/>
          <w:color w:val="auto"/>
          <w:sz w:val="24"/>
          <w:highlight w:val="none"/>
        </w:rPr>
        <w:t>厨余垃圾驳运点考核细则</w:t>
      </w:r>
    </w:p>
    <w:tbl>
      <w:tblPr>
        <w:tblStyle w:val="12"/>
        <w:tblpPr w:leftFromText="180" w:rightFromText="180" w:vertAnchor="text" w:horzAnchor="page" w:tblpX="1905" w:tblpY="297"/>
        <w:tblOverlap w:val="never"/>
        <w:tblW w:w="0" w:type="auto"/>
        <w:tblInd w:w="0" w:type="dxa"/>
        <w:tblLayout w:type="autofit"/>
        <w:tblCellMar>
          <w:top w:w="0" w:type="dxa"/>
          <w:left w:w="108" w:type="dxa"/>
          <w:bottom w:w="0" w:type="dxa"/>
          <w:right w:w="108" w:type="dxa"/>
        </w:tblCellMar>
      </w:tblPr>
      <w:tblGrid>
        <w:gridCol w:w="906"/>
        <w:gridCol w:w="717"/>
        <w:gridCol w:w="3294"/>
        <w:gridCol w:w="9257"/>
      </w:tblGrid>
      <w:tr>
        <w:tblPrEx>
          <w:tblCellMar>
            <w:top w:w="0" w:type="dxa"/>
            <w:left w:w="108" w:type="dxa"/>
            <w:bottom w:w="0" w:type="dxa"/>
            <w:right w:w="108" w:type="dxa"/>
          </w:tblCellMar>
        </w:tblPrEx>
        <w:trPr>
          <w:trHeight w:val="569" w:hRule="atLeast"/>
          <w:tblHeader/>
        </w:trPr>
        <w:tc>
          <w:tcPr>
            <w:tcW w:w="1623"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考核项目</w:t>
            </w:r>
          </w:p>
        </w:tc>
        <w:tc>
          <w:tcPr>
            <w:tcW w:w="3294"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作业要求</w:t>
            </w:r>
          </w:p>
        </w:tc>
        <w:tc>
          <w:tcPr>
            <w:tcW w:w="9257"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扣分标准</w:t>
            </w:r>
          </w:p>
        </w:tc>
      </w:tr>
      <w:tr>
        <w:tblPrEx>
          <w:tblCellMar>
            <w:top w:w="0" w:type="dxa"/>
            <w:left w:w="108" w:type="dxa"/>
            <w:bottom w:w="0" w:type="dxa"/>
            <w:right w:w="108" w:type="dxa"/>
          </w:tblCellMar>
        </w:tblPrEx>
        <w:trPr>
          <w:trHeight w:val="3018" w:hRule="atLeast"/>
        </w:trPr>
        <w:tc>
          <w:tcPr>
            <w:tcW w:w="0" w:type="auto"/>
            <w:vMerge w:val="restart"/>
            <w:tcBorders>
              <w:top w:val="nil"/>
              <w:left w:val="single" w:color="auto" w:sz="4" w:space="0"/>
              <w:right w:val="single" w:color="auto" w:sz="4" w:space="0"/>
            </w:tcBorders>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管理</w:t>
            </w:r>
          </w:p>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标准</w:t>
            </w:r>
          </w:p>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（30分）</w:t>
            </w:r>
          </w:p>
        </w:tc>
        <w:tc>
          <w:tcPr>
            <w:tcW w:w="717"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制度管理</w:t>
            </w:r>
          </w:p>
        </w:tc>
        <w:tc>
          <w:tcPr>
            <w:tcW w:w="3294"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点内运行台账记录规范、完整、准确，对厨余垃圾的来源、数量、去向等信息进行记录规范、完整、准确；建立安全作业制度、安全培训记录</w:t>
            </w:r>
          </w:p>
        </w:tc>
        <w:tc>
          <w:tcPr>
            <w:tcW w:w="9257"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无相关台账，每次扣5分；记录不规范、不完整、不准确的，每次扣2-5分；台账记录造假的，每次扣2-10分。</w:t>
            </w:r>
          </w:p>
        </w:tc>
      </w:tr>
      <w:tr>
        <w:tblPrEx>
          <w:tblCellMar>
            <w:top w:w="0" w:type="dxa"/>
            <w:left w:w="108" w:type="dxa"/>
            <w:bottom w:w="0" w:type="dxa"/>
            <w:right w:w="108" w:type="dxa"/>
          </w:tblCellMar>
        </w:tblPrEx>
        <w:trPr>
          <w:trHeight w:val="1510" w:hRule="atLeast"/>
        </w:trPr>
        <w:tc>
          <w:tcPr>
            <w:tcW w:w="0" w:type="auto"/>
            <w:vMerge w:val="continue"/>
            <w:tcBorders>
              <w:left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717"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人员管理</w:t>
            </w:r>
          </w:p>
        </w:tc>
        <w:tc>
          <w:tcPr>
            <w:tcW w:w="3294"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管理人员统一服装上岗，保持整洁</w:t>
            </w:r>
          </w:p>
        </w:tc>
        <w:tc>
          <w:tcPr>
            <w:tcW w:w="9257"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未着统一工作服的，每次扣3分，着装不规范的，每次扣1分。</w:t>
            </w:r>
          </w:p>
        </w:tc>
      </w:tr>
      <w:tr>
        <w:tblPrEx>
          <w:tblCellMar>
            <w:top w:w="0" w:type="dxa"/>
            <w:left w:w="108" w:type="dxa"/>
            <w:bottom w:w="0" w:type="dxa"/>
            <w:right w:w="108" w:type="dxa"/>
          </w:tblCellMar>
        </w:tblPrEx>
        <w:trPr>
          <w:trHeight w:val="1384" w:hRule="atLeast"/>
        </w:trPr>
        <w:tc>
          <w:tcPr>
            <w:tcW w:w="0" w:type="auto"/>
            <w:vMerge w:val="continue"/>
            <w:tcBorders>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717"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工具管理</w:t>
            </w:r>
          </w:p>
        </w:tc>
        <w:tc>
          <w:tcPr>
            <w:tcW w:w="3294"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作业工具规范,符合使用要求，摆放整齐，不乱塞乱放；</w:t>
            </w:r>
          </w:p>
        </w:tc>
        <w:tc>
          <w:tcPr>
            <w:tcW w:w="9257"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作业工作摆放不整齐，乱塞乱放的，每次扣1-2分。</w:t>
            </w:r>
          </w:p>
        </w:tc>
      </w:tr>
      <w:tr>
        <w:tblPrEx>
          <w:tblCellMar>
            <w:top w:w="0" w:type="dxa"/>
            <w:left w:w="108" w:type="dxa"/>
            <w:bottom w:w="0" w:type="dxa"/>
            <w:right w:w="108" w:type="dxa"/>
          </w:tblCellMar>
        </w:tblPrEx>
        <w:trPr>
          <w:trHeight w:val="973" w:hRule="atLeast"/>
        </w:trPr>
        <w:tc>
          <w:tcPr>
            <w:tcW w:w="0" w:type="auto"/>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作业</w:t>
            </w:r>
          </w:p>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规范</w:t>
            </w:r>
          </w:p>
          <w:p>
            <w:pPr>
              <w:widowControl/>
              <w:spacing w:line="5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（70分)</w:t>
            </w:r>
          </w:p>
        </w:tc>
        <w:tc>
          <w:tcPr>
            <w:tcW w:w="717"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设施要求</w:t>
            </w:r>
          </w:p>
        </w:tc>
        <w:tc>
          <w:tcPr>
            <w:tcW w:w="3294"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应通风良好，配备清洗设备，并应有除臭、除虫和污水排放措施</w:t>
            </w:r>
          </w:p>
        </w:tc>
        <w:tc>
          <w:tcPr>
            <w:tcW w:w="9257"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未配备清洗设备的，每次扣10分；未采取除臭、除虫和污水排放措施的，每次每项扣2-10分。</w:t>
            </w:r>
          </w:p>
        </w:tc>
      </w:tr>
      <w:tr>
        <w:tblPrEx>
          <w:tblCellMar>
            <w:top w:w="0" w:type="dxa"/>
            <w:left w:w="108" w:type="dxa"/>
            <w:bottom w:w="0" w:type="dxa"/>
            <w:right w:w="108" w:type="dxa"/>
          </w:tblCellMar>
        </w:tblPrEx>
        <w:trPr>
          <w:trHeight w:val="129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717"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作业要求</w:t>
            </w:r>
          </w:p>
        </w:tc>
        <w:tc>
          <w:tcPr>
            <w:tcW w:w="3294"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进入驳运点的厨余垃圾及时转运，转运过程中垃圾不落地，不得产生扬尘、明显异味，噪声不得超标。</w:t>
            </w:r>
          </w:p>
        </w:tc>
        <w:tc>
          <w:tcPr>
            <w:tcW w:w="9257"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驳运点厨余垃圾未及时驳运的，每例扣5-10分；转运作业不规范，有洒落垃圾的，每例扣3-10分；产生扬尘、明显异味的，每例3-10分；噪声超标的，每例扣2-10分。</w:t>
            </w:r>
          </w:p>
        </w:tc>
      </w:tr>
      <w:tr>
        <w:tblPrEx>
          <w:tblCellMar>
            <w:top w:w="0" w:type="dxa"/>
            <w:left w:w="108" w:type="dxa"/>
            <w:bottom w:w="0" w:type="dxa"/>
            <w:right w:w="108" w:type="dxa"/>
          </w:tblCellMar>
        </w:tblPrEx>
        <w:trPr>
          <w:trHeight w:val="1277"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717" w:type="dxa"/>
            <w:vMerge w:val="restart"/>
            <w:tcBorders>
              <w:top w:val="nil"/>
              <w:left w:val="single" w:color="auto" w:sz="4" w:space="0"/>
              <w:bottom w:val="single" w:color="000000"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质量要求</w:t>
            </w:r>
          </w:p>
        </w:tc>
        <w:tc>
          <w:tcPr>
            <w:tcW w:w="3294"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定时清洗、消杀，无明显异味，无可视蚊蝇、活鼠等；</w:t>
            </w:r>
          </w:p>
        </w:tc>
        <w:tc>
          <w:tcPr>
            <w:tcW w:w="9257"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存在明显异味的，每次扣2-5分；有可视蚊蝇、活鼠的，每次扣2-5分。</w:t>
            </w:r>
          </w:p>
        </w:tc>
      </w:tr>
      <w:tr>
        <w:tblPrEx>
          <w:tblCellMar>
            <w:top w:w="0" w:type="dxa"/>
            <w:left w:w="108" w:type="dxa"/>
            <w:bottom w:w="0" w:type="dxa"/>
            <w:right w:w="108" w:type="dxa"/>
          </w:tblCellMar>
        </w:tblPrEx>
        <w:trPr>
          <w:trHeight w:val="130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717"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3294"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应保持场地整洁，无乱拉乱挂，无垃圾及污水污渍；</w:t>
            </w:r>
          </w:p>
        </w:tc>
        <w:tc>
          <w:tcPr>
            <w:tcW w:w="9257"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有乱拉乱挂现象的，每次的2-5分；场地不洁，有垃圾、污水污渍的，不足1平方米的，每处扣2分，超过1平方米的，每处扣5分。</w:t>
            </w:r>
          </w:p>
        </w:tc>
      </w:tr>
      <w:tr>
        <w:tblPrEx>
          <w:tblCellMar>
            <w:top w:w="0" w:type="dxa"/>
            <w:left w:w="108" w:type="dxa"/>
            <w:bottom w:w="0" w:type="dxa"/>
            <w:right w:w="108" w:type="dxa"/>
          </w:tblCellMar>
        </w:tblPrEx>
        <w:trPr>
          <w:trHeight w:val="127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717"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p>
        </w:tc>
        <w:tc>
          <w:tcPr>
            <w:tcW w:w="3294"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全区每月厨余分出量占比不低于全区生活垃圾总量的4%</w:t>
            </w:r>
          </w:p>
        </w:tc>
        <w:tc>
          <w:tcPr>
            <w:tcW w:w="9257" w:type="dxa"/>
            <w:tcBorders>
              <w:top w:val="nil"/>
              <w:left w:val="nil"/>
              <w:bottom w:val="single" w:color="auto" w:sz="4" w:space="0"/>
              <w:right w:val="single" w:color="auto" w:sz="4" w:space="0"/>
            </w:tcBorders>
            <w:vAlign w:val="center"/>
          </w:tcPr>
          <w:p>
            <w:pPr>
              <w:widowControl/>
              <w:spacing w:line="520" w:lineRule="exact"/>
              <w:jc w:val="both"/>
              <w:rPr>
                <w:rFonts w:ascii="宋体" w:hAnsi="宋体" w:cs="宋体"/>
                <w:color w:val="auto"/>
                <w:sz w:val="21"/>
                <w:szCs w:val="21"/>
                <w:highlight w:val="none"/>
              </w:rPr>
            </w:pPr>
            <w:r>
              <w:rPr>
                <w:rFonts w:cs="宋体" w:asciiTheme="majorEastAsia" w:hAnsiTheme="majorEastAsia" w:eastAsiaTheme="majorEastAsia"/>
                <w:color w:val="auto"/>
                <w:sz w:val="21"/>
                <w:szCs w:val="21"/>
                <w:highlight w:val="none"/>
              </w:rPr>
              <w:t>业主</w:t>
            </w:r>
            <w:r>
              <w:rPr>
                <w:rFonts w:hint="eastAsia" w:cs="宋体" w:asciiTheme="majorEastAsia" w:hAnsiTheme="majorEastAsia" w:eastAsiaTheme="majorEastAsia"/>
                <w:color w:val="auto"/>
                <w:sz w:val="21"/>
                <w:szCs w:val="21"/>
                <w:highlight w:val="none"/>
              </w:rPr>
              <w:t>每月定期</w:t>
            </w:r>
            <w:r>
              <w:rPr>
                <w:rFonts w:cs="宋体" w:asciiTheme="majorEastAsia" w:hAnsiTheme="majorEastAsia" w:eastAsiaTheme="majorEastAsia"/>
                <w:color w:val="auto"/>
                <w:sz w:val="21"/>
                <w:szCs w:val="21"/>
                <w:highlight w:val="none"/>
              </w:rPr>
              <w:t>抽查</w:t>
            </w:r>
            <w:r>
              <w:rPr>
                <w:rFonts w:hint="eastAsia" w:cs="宋体" w:asciiTheme="majorEastAsia" w:hAnsiTheme="majorEastAsia" w:eastAsiaTheme="majorEastAsia"/>
                <w:color w:val="auto"/>
                <w:sz w:val="21"/>
                <w:szCs w:val="21"/>
                <w:highlight w:val="none"/>
              </w:rPr>
              <w:t>，</w:t>
            </w:r>
            <w:r>
              <w:rPr>
                <w:rFonts w:hint="eastAsia" w:ascii="宋体" w:hAnsi="宋体" w:cs="宋体"/>
                <w:color w:val="auto"/>
                <w:sz w:val="21"/>
                <w:szCs w:val="21"/>
                <w:highlight w:val="none"/>
              </w:rPr>
              <w:t>厨余分出量占比</w:t>
            </w:r>
            <w:r>
              <w:rPr>
                <w:rFonts w:hint="eastAsia" w:cs="宋体" w:asciiTheme="majorEastAsia" w:hAnsiTheme="majorEastAsia" w:eastAsiaTheme="majorEastAsia"/>
                <w:color w:val="auto"/>
                <w:sz w:val="21"/>
                <w:szCs w:val="21"/>
                <w:highlight w:val="none"/>
              </w:rPr>
              <w:t>低于4%的每次扣2分</w:t>
            </w:r>
          </w:p>
        </w:tc>
      </w:tr>
    </w:tbl>
    <w:p>
      <w:pPr>
        <w:spacing w:line="520" w:lineRule="exact"/>
        <w:outlineLvl w:val="0"/>
        <w:rPr>
          <w:rFonts w:hint="eastAsia" w:ascii="宋体" w:hAnsi="宋体" w:cs="宋体"/>
          <w:color w:val="auto"/>
          <w:sz w:val="24"/>
          <w:highlight w:val="none"/>
        </w:rPr>
        <w:sectPr>
          <w:pgSz w:w="16838" w:h="11906" w:orient="landscape"/>
          <w:pgMar w:top="1800" w:right="1440" w:bottom="1800" w:left="1440" w:header="851" w:footer="992" w:gutter="0"/>
          <w:cols w:space="425" w:num="1"/>
          <w:docGrid w:type="lines" w:linePitch="312" w:charSpace="0"/>
        </w:sectPr>
      </w:pPr>
      <w:bookmarkStart w:id="15" w:name="_Toc24260"/>
    </w:p>
    <w:p>
      <w:pPr>
        <w:spacing w:line="520" w:lineRule="exact"/>
        <w:outlineLvl w:val="0"/>
        <w:rPr>
          <w:rFonts w:ascii="Times New Roman" w:hAnsi="Times New Roman" w:eastAsia="宋体" w:cs="Times New Roman"/>
          <w:color w:val="auto"/>
          <w:sz w:val="21"/>
          <w:szCs w:val="24"/>
          <w:highlight w:val="none"/>
          <w:lang w:val="en-US" w:eastAsia="zh-CN" w:bidi="ar-SA"/>
        </w:rPr>
      </w:pPr>
      <w:r>
        <w:rPr>
          <w:rFonts w:hint="eastAsia" w:ascii="宋体" w:hAnsi="宋体" w:cs="宋体"/>
          <w:color w:val="auto"/>
          <w:sz w:val="24"/>
          <w:highlight w:val="none"/>
        </w:rPr>
        <w:t>附件5：再生资源回收体系建设考核细则</w:t>
      </w:r>
    </w:p>
    <w:tbl>
      <w:tblPr>
        <w:tblStyle w:val="12"/>
        <w:tblpPr w:leftFromText="180" w:rightFromText="180" w:vertAnchor="text" w:horzAnchor="margin" w:tblpY="576"/>
        <w:tblW w:w="14613" w:type="dxa"/>
        <w:tblInd w:w="0" w:type="dxa"/>
        <w:tblLayout w:type="fixed"/>
        <w:tblCellMar>
          <w:top w:w="0" w:type="dxa"/>
          <w:left w:w="108" w:type="dxa"/>
          <w:bottom w:w="0" w:type="dxa"/>
          <w:right w:w="108" w:type="dxa"/>
        </w:tblCellMar>
      </w:tblPr>
      <w:tblGrid>
        <w:gridCol w:w="1213"/>
        <w:gridCol w:w="850"/>
        <w:gridCol w:w="3183"/>
        <w:gridCol w:w="9367"/>
      </w:tblGrid>
      <w:tr>
        <w:tblPrEx>
          <w:tblCellMar>
            <w:top w:w="0" w:type="dxa"/>
            <w:left w:w="108" w:type="dxa"/>
            <w:bottom w:w="0" w:type="dxa"/>
            <w:right w:w="108" w:type="dxa"/>
          </w:tblCellMar>
        </w:tblPrEx>
        <w:trPr>
          <w:trHeight w:val="558" w:hRule="atLeast"/>
        </w:trPr>
        <w:tc>
          <w:tcPr>
            <w:tcW w:w="121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考核项目</w:t>
            </w:r>
          </w:p>
        </w:tc>
        <w:tc>
          <w:tcPr>
            <w:tcW w:w="850" w:type="dxa"/>
            <w:tcBorders>
              <w:top w:val="single" w:color="auto" w:sz="4" w:space="0"/>
              <w:bottom w:val="single" w:color="auto" w:sz="4" w:space="0"/>
              <w:right w:val="single" w:color="auto" w:sz="4" w:space="0"/>
            </w:tcBorders>
          </w:tcPr>
          <w:p>
            <w:pPr>
              <w:widowControl/>
              <w:spacing w:line="520" w:lineRule="exact"/>
              <w:jc w:val="both"/>
              <w:rPr>
                <w:rFonts w:ascii="宋体" w:hAnsi="宋体" w:cs="宋体"/>
                <w:color w:val="auto"/>
                <w:sz w:val="24"/>
                <w:highlight w:val="none"/>
              </w:rPr>
            </w:pPr>
            <w:r>
              <w:rPr>
                <w:rFonts w:hint="eastAsia" w:ascii="宋体" w:hAnsi="宋体" w:cs="宋体"/>
                <w:color w:val="auto"/>
                <w:sz w:val="24"/>
                <w:highlight w:val="none"/>
              </w:rPr>
              <w:t>分值</w:t>
            </w:r>
          </w:p>
        </w:tc>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要求</w:t>
            </w:r>
          </w:p>
        </w:tc>
        <w:tc>
          <w:tcPr>
            <w:tcW w:w="9367"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扣分标准</w:t>
            </w:r>
          </w:p>
        </w:tc>
      </w:tr>
      <w:tr>
        <w:tblPrEx>
          <w:tblCellMar>
            <w:top w:w="0" w:type="dxa"/>
            <w:left w:w="108" w:type="dxa"/>
            <w:bottom w:w="0" w:type="dxa"/>
            <w:right w:w="108" w:type="dxa"/>
          </w:tblCellMar>
        </w:tblPrEx>
        <w:trPr>
          <w:trHeight w:val="538" w:hRule="atLeast"/>
        </w:trPr>
        <w:tc>
          <w:tcPr>
            <w:tcW w:w="121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center"/>
              <w:textAlignment w:val="auto"/>
              <w:rPr>
                <w:rFonts w:cs="宋体"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人员配备</w:t>
            </w:r>
          </w:p>
        </w:tc>
        <w:tc>
          <w:tcPr>
            <w:tcW w:w="850"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center"/>
              <w:textAlignment w:val="auto"/>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10</w:t>
            </w:r>
          </w:p>
        </w:tc>
        <w:tc>
          <w:tcPr>
            <w:tcW w:w="318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left"/>
              <w:textAlignment w:val="auto"/>
              <w:rPr>
                <w:rFonts w:cs="宋体" w:asciiTheme="majorEastAsia" w:hAnsiTheme="majorEastAsia" w:eastAsiaTheme="majorEastAsia"/>
                <w:color w:val="auto"/>
                <w:sz w:val="21"/>
                <w:szCs w:val="21"/>
                <w:highlight w:val="none"/>
              </w:rPr>
            </w:pPr>
            <w:r>
              <w:rPr>
                <w:rFonts w:asciiTheme="majorEastAsia" w:hAnsiTheme="majorEastAsia" w:eastAsiaTheme="majorEastAsia"/>
                <w:color w:val="auto"/>
                <w:sz w:val="21"/>
                <w:szCs w:val="21"/>
                <w:highlight w:val="none"/>
              </w:rPr>
              <w:t>配置满足项目运营的服务人员，再生资源回收站回收员、分拣中心、收</w:t>
            </w:r>
            <w:r>
              <w:rPr>
                <w:rFonts w:hint="eastAsia" w:asciiTheme="majorEastAsia" w:hAnsiTheme="majorEastAsia" w:eastAsiaTheme="majorEastAsia"/>
                <w:color w:val="auto"/>
                <w:sz w:val="21"/>
                <w:szCs w:val="21"/>
                <w:highlight w:val="none"/>
              </w:rPr>
              <w:t>运</w:t>
            </w:r>
            <w:r>
              <w:rPr>
                <w:rFonts w:asciiTheme="majorEastAsia" w:hAnsiTheme="majorEastAsia" w:eastAsiaTheme="majorEastAsia"/>
                <w:color w:val="auto"/>
                <w:sz w:val="21"/>
                <w:szCs w:val="21"/>
                <w:highlight w:val="none"/>
              </w:rPr>
              <w:t>员、车辆驾驶等人员配备齐全，素质良好。</w:t>
            </w:r>
            <w:r>
              <w:rPr>
                <w:rFonts w:hint="eastAsia" w:asciiTheme="majorEastAsia" w:hAnsiTheme="majorEastAsia" w:eastAsiaTheme="majorEastAsia"/>
                <w:color w:val="auto"/>
                <w:sz w:val="21"/>
                <w:szCs w:val="21"/>
                <w:highlight w:val="none"/>
              </w:rPr>
              <w:t>人员统一服装上岗，保持整洁。</w:t>
            </w:r>
          </w:p>
        </w:tc>
        <w:tc>
          <w:tcPr>
            <w:tcW w:w="9367"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left"/>
              <w:textAlignment w:val="auto"/>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人员数量未</w:t>
            </w:r>
            <w:r>
              <w:rPr>
                <w:rFonts w:hint="eastAsia" w:cs="宋体" w:asciiTheme="majorEastAsia" w:hAnsiTheme="majorEastAsia" w:eastAsiaTheme="majorEastAsia"/>
                <w:color w:val="auto"/>
                <w:sz w:val="21"/>
                <w:szCs w:val="21"/>
                <w:highlight w:val="none"/>
              </w:rPr>
              <w:t>满足运营</w:t>
            </w:r>
            <w:r>
              <w:rPr>
                <w:rFonts w:cs="宋体" w:asciiTheme="majorEastAsia" w:hAnsiTheme="majorEastAsia" w:eastAsiaTheme="majorEastAsia"/>
                <w:color w:val="auto"/>
                <w:sz w:val="21"/>
                <w:szCs w:val="21"/>
                <w:highlight w:val="none"/>
              </w:rPr>
              <w:t>要求，业主抽查1个小时未到达指定现场1 次扣1分。</w:t>
            </w:r>
            <w:r>
              <w:rPr>
                <w:rFonts w:hint="eastAsia" w:ascii="宋体" w:hAnsi="宋体" w:cs="宋体"/>
                <w:color w:val="auto"/>
                <w:sz w:val="21"/>
                <w:szCs w:val="21"/>
                <w:highlight w:val="none"/>
              </w:rPr>
              <w:t>未着统一工作服的，每次扣2分，着装不规范的，每次扣1分。</w:t>
            </w:r>
          </w:p>
        </w:tc>
      </w:tr>
      <w:tr>
        <w:tblPrEx>
          <w:tblCellMar>
            <w:top w:w="0" w:type="dxa"/>
            <w:left w:w="108" w:type="dxa"/>
            <w:bottom w:w="0" w:type="dxa"/>
            <w:right w:w="108" w:type="dxa"/>
          </w:tblCellMar>
        </w:tblPrEx>
        <w:trPr>
          <w:trHeight w:val="808" w:hRule="atLeast"/>
        </w:trPr>
        <w:tc>
          <w:tcPr>
            <w:tcW w:w="121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设置配备</w:t>
            </w:r>
          </w:p>
        </w:tc>
        <w:tc>
          <w:tcPr>
            <w:tcW w:w="850"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center"/>
              <w:textAlignment w:val="auto"/>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20</w:t>
            </w:r>
          </w:p>
        </w:tc>
        <w:tc>
          <w:tcPr>
            <w:tcW w:w="318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left"/>
              <w:textAlignment w:val="auto"/>
              <w:rPr>
                <w:rFonts w:cs="宋体"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中转站配备称重、暂存、积分兑换、垃圾分类宣传、便民服务功能。分拣中心配备相应的打包分拣设备。</w:t>
            </w:r>
          </w:p>
        </w:tc>
        <w:tc>
          <w:tcPr>
            <w:tcW w:w="9367"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left"/>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设备</w:t>
            </w:r>
            <w:r>
              <w:rPr>
                <w:rFonts w:cs="宋体" w:asciiTheme="majorEastAsia" w:hAnsiTheme="majorEastAsia" w:eastAsiaTheme="majorEastAsia"/>
                <w:color w:val="auto"/>
                <w:sz w:val="21"/>
                <w:szCs w:val="21"/>
                <w:highlight w:val="none"/>
              </w:rPr>
              <w:t>配置未</w:t>
            </w:r>
            <w:r>
              <w:rPr>
                <w:rFonts w:hint="eastAsia" w:cs="宋体" w:asciiTheme="majorEastAsia" w:hAnsiTheme="majorEastAsia" w:eastAsiaTheme="majorEastAsia"/>
                <w:color w:val="auto"/>
                <w:sz w:val="21"/>
                <w:szCs w:val="21"/>
                <w:highlight w:val="none"/>
              </w:rPr>
              <w:t>满足正常运营</w:t>
            </w:r>
            <w:r>
              <w:rPr>
                <w:rFonts w:cs="宋体" w:asciiTheme="majorEastAsia" w:hAnsiTheme="majorEastAsia" w:eastAsiaTheme="majorEastAsia"/>
                <w:color w:val="auto"/>
                <w:sz w:val="21"/>
                <w:szCs w:val="21"/>
                <w:highlight w:val="none"/>
              </w:rPr>
              <w:t>要求的，每少1个扣0.5分。“</w:t>
            </w:r>
            <w:r>
              <w:rPr>
                <w:rFonts w:hint="eastAsia" w:cs="宋体" w:asciiTheme="majorEastAsia" w:hAnsiTheme="majorEastAsia" w:eastAsiaTheme="majorEastAsia"/>
                <w:color w:val="auto"/>
                <w:sz w:val="21"/>
                <w:szCs w:val="21"/>
                <w:highlight w:val="none"/>
              </w:rPr>
              <w:t>中转站</w:t>
            </w:r>
            <w:r>
              <w:rPr>
                <w:rFonts w:cs="宋体" w:asciiTheme="majorEastAsia" w:hAnsiTheme="majorEastAsia" w:eastAsiaTheme="majorEastAsia"/>
                <w:color w:val="auto"/>
                <w:sz w:val="21"/>
                <w:szCs w:val="21"/>
                <w:highlight w:val="none"/>
              </w:rPr>
              <w:t>”</w:t>
            </w:r>
            <w:r>
              <w:rPr>
                <w:rFonts w:hint="eastAsia" w:cs="宋体" w:asciiTheme="majorEastAsia" w:hAnsiTheme="majorEastAsia" w:eastAsiaTheme="majorEastAsia"/>
                <w:color w:val="auto"/>
                <w:sz w:val="21"/>
                <w:szCs w:val="21"/>
                <w:highlight w:val="none"/>
              </w:rPr>
              <w:t>、分拣中心</w:t>
            </w:r>
            <w:r>
              <w:rPr>
                <w:rFonts w:cs="宋体" w:asciiTheme="majorEastAsia" w:hAnsiTheme="majorEastAsia" w:eastAsiaTheme="majorEastAsia"/>
                <w:color w:val="auto"/>
                <w:sz w:val="21"/>
                <w:szCs w:val="21"/>
                <w:highlight w:val="none"/>
              </w:rPr>
              <w:t>未能正常运转，每个扣2 分。外观标识、内部配套设施等不统一不规范，每发现一次扣2 分。</w:t>
            </w:r>
          </w:p>
        </w:tc>
      </w:tr>
      <w:tr>
        <w:tblPrEx>
          <w:tblCellMar>
            <w:top w:w="0" w:type="dxa"/>
            <w:left w:w="108" w:type="dxa"/>
            <w:bottom w:w="0" w:type="dxa"/>
            <w:right w:w="108" w:type="dxa"/>
          </w:tblCellMar>
        </w:tblPrEx>
        <w:trPr>
          <w:trHeight w:val="538" w:hRule="atLeast"/>
        </w:trPr>
        <w:tc>
          <w:tcPr>
            <w:tcW w:w="121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center"/>
              <w:textAlignment w:val="auto"/>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站点管理</w:t>
            </w:r>
          </w:p>
        </w:tc>
        <w:tc>
          <w:tcPr>
            <w:tcW w:w="850"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20</w:t>
            </w:r>
          </w:p>
        </w:tc>
        <w:tc>
          <w:tcPr>
            <w:tcW w:w="3183" w:type="dxa"/>
            <w:tcBorders>
              <w:top w:val="nil"/>
              <w:left w:val="single" w:color="auto" w:sz="4" w:space="0"/>
              <w:bottom w:val="single" w:color="auto" w:sz="4" w:space="0"/>
              <w:right w:val="single" w:color="auto" w:sz="4" w:space="0"/>
            </w:tcBorders>
            <w:noWrap/>
            <w:vAlign w:val="bottom"/>
          </w:tcPr>
          <w:p>
            <w:pPr>
              <w:pageBreakBefore w:val="0"/>
              <w:widowControl/>
              <w:kinsoku/>
              <w:wordWrap/>
              <w:overflowPunct/>
              <w:topLinePunct w:val="0"/>
              <w:autoSpaceDE/>
              <w:autoSpaceDN/>
              <w:bidi w:val="0"/>
              <w:adjustRightInd/>
              <w:snapToGrid/>
              <w:spacing w:line="480" w:lineRule="exact"/>
              <w:jc w:val="left"/>
              <w:textAlignment w:val="auto"/>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站点管理。</w:t>
            </w:r>
            <w:r>
              <w:rPr>
                <w:rFonts w:hint="eastAsia" w:cs="宋体" w:asciiTheme="majorEastAsia" w:hAnsiTheme="majorEastAsia" w:eastAsiaTheme="majorEastAsia"/>
                <w:color w:val="auto"/>
                <w:sz w:val="21"/>
                <w:szCs w:val="21"/>
                <w:highlight w:val="none"/>
              </w:rPr>
              <w:t>中转站</w:t>
            </w:r>
            <w:r>
              <w:rPr>
                <w:rFonts w:hint="eastAsia" w:asciiTheme="minorEastAsia" w:hAnsiTheme="minorEastAsia" w:eastAsiaTheme="minorEastAsia"/>
                <w:color w:val="auto"/>
                <w:sz w:val="21"/>
                <w:szCs w:val="21"/>
                <w:highlight w:val="none"/>
              </w:rPr>
              <w:t>统一形象、规范管理。</w:t>
            </w:r>
            <w:r>
              <w:rPr>
                <w:rFonts w:cs="宋体" w:asciiTheme="majorEastAsia" w:hAnsiTheme="majorEastAsia" w:eastAsiaTheme="majorEastAsia"/>
                <w:color w:val="auto"/>
                <w:sz w:val="21"/>
                <w:szCs w:val="21"/>
                <w:highlight w:val="none"/>
              </w:rPr>
              <w:t>服务站门外无垃 圾堆积现象，服务站内回收垃 圾分类摆放整齐。</w:t>
            </w:r>
          </w:p>
        </w:tc>
        <w:tc>
          <w:tcPr>
            <w:tcW w:w="9367"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left"/>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中转站形象不统一、管理不规范，</w:t>
            </w:r>
            <w:r>
              <w:rPr>
                <w:rFonts w:cs="宋体" w:asciiTheme="majorEastAsia" w:hAnsiTheme="majorEastAsia" w:eastAsiaTheme="majorEastAsia"/>
                <w:color w:val="auto"/>
                <w:sz w:val="21"/>
                <w:szCs w:val="21"/>
                <w:highlight w:val="none"/>
              </w:rPr>
              <w:t>每发现1次扣</w:t>
            </w:r>
            <w:r>
              <w:rPr>
                <w:rFonts w:hint="eastAsia" w:cs="宋体" w:asciiTheme="majorEastAsia" w:hAnsiTheme="majorEastAsia" w:eastAsiaTheme="majorEastAsia"/>
                <w:color w:val="auto"/>
                <w:sz w:val="21"/>
                <w:szCs w:val="21"/>
                <w:highlight w:val="none"/>
              </w:rPr>
              <w:t>2</w:t>
            </w:r>
            <w:r>
              <w:rPr>
                <w:rFonts w:cs="宋体" w:asciiTheme="majorEastAsia" w:hAnsiTheme="majorEastAsia" w:eastAsiaTheme="majorEastAsia"/>
                <w:color w:val="auto"/>
                <w:sz w:val="21"/>
                <w:szCs w:val="21"/>
                <w:highlight w:val="none"/>
              </w:rPr>
              <w:t>分。</w:t>
            </w:r>
            <w:r>
              <w:rPr>
                <w:rFonts w:hint="eastAsia" w:cs="宋体" w:asciiTheme="majorEastAsia" w:hAnsiTheme="majorEastAsia" w:eastAsiaTheme="majorEastAsia"/>
                <w:color w:val="auto"/>
                <w:sz w:val="21"/>
                <w:szCs w:val="21"/>
                <w:highlight w:val="none"/>
              </w:rPr>
              <w:t>不</w:t>
            </w:r>
            <w:r>
              <w:rPr>
                <w:rFonts w:cs="宋体" w:asciiTheme="majorEastAsia" w:hAnsiTheme="majorEastAsia" w:eastAsiaTheme="majorEastAsia"/>
                <w:color w:val="auto"/>
                <w:sz w:val="21"/>
                <w:szCs w:val="21"/>
                <w:highlight w:val="none"/>
              </w:rPr>
              <w:t>清运不及时导致堆积，每发现1次扣</w:t>
            </w:r>
            <w:r>
              <w:rPr>
                <w:rFonts w:hint="eastAsia" w:cs="宋体" w:asciiTheme="majorEastAsia" w:hAnsiTheme="majorEastAsia" w:eastAsiaTheme="majorEastAsia"/>
                <w:color w:val="auto"/>
                <w:sz w:val="21"/>
                <w:szCs w:val="21"/>
                <w:highlight w:val="none"/>
              </w:rPr>
              <w:t>2</w:t>
            </w:r>
            <w:r>
              <w:rPr>
                <w:rFonts w:cs="宋体" w:asciiTheme="majorEastAsia" w:hAnsiTheme="majorEastAsia" w:eastAsiaTheme="majorEastAsia"/>
                <w:color w:val="auto"/>
                <w:sz w:val="21"/>
                <w:szCs w:val="21"/>
                <w:highlight w:val="none"/>
              </w:rPr>
              <w:t>分。</w:t>
            </w:r>
          </w:p>
        </w:tc>
      </w:tr>
      <w:tr>
        <w:tblPrEx>
          <w:tblCellMar>
            <w:top w:w="0" w:type="dxa"/>
            <w:left w:w="108" w:type="dxa"/>
            <w:bottom w:w="0" w:type="dxa"/>
            <w:right w:w="108" w:type="dxa"/>
          </w:tblCellMar>
        </w:tblPrEx>
        <w:trPr>
          <w:trHeight w:val="1402" w:hRule="atLeast"/>
        </w:trPr>
        <w:tc>
          <w:tcPr>
            <w:tcW w:w="121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center"/>
              <w:textAlignment w:val="auto"/>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车辆管理</w:t>
            </w:r>
          </w:p>
        </w:tc>
        <w:tc>
          <w:tcPr>
            <w:tcW w:w="850"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10</w:t>
            </w:r>
          </w:p>
        </w:tc>
        <w:tc>
          <w:tcPr>
            <w:tcW w:w="318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left"/>
              <w:textAlignment w:val="auto"/>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车辆外观干净整齐，分类标志标识和监督电话 在车身明显位置，规范停车及作业</w:t>
            </w:r>
          </w:p>
        </w:tc>
        <w:tc>
          <w:tcPr>
            <w:tcW w:w="9367"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left"/>
              <w:textAlignment w:val="auto"/>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车配置数量未达到要求的，每少1个扣</w:t>
            </w:r>
            <w:r>
              <w:rPr>
                <w:rFonts w:hint="eastAsia" w:cs="宋体" w:asciiTheme="majorEastAsia" w:hAnsiTheme="majorEastAsia" w:eastAsiaTheme="majorEastAsia"/>
                <w:color w:val="auto"/>
                <w:sz w:val="21"/>
                <w:szCs w:val="21"/>
                <w:highlight w:val="none"/>
              </w:rPr>
              <w:t>2</w:t>
            </w:r>
            <w:r>
              <w:rPr>
                <w:rFonts w:cs="宋体" w:asciiTheme="majorEastAsia" w:hAnsiTheme="majorEastAsia" w:eastAsiaTheme="majorEastAsia"/>
                <w:color w:val="auto"/>
                <w:sz w:val="21"/>
                <w:szCs w:val="21"/>
                <w:highlight w:val="none"/>
              </w:rPr>
              <w:t>分。</w:t>
            </w:r>
            <w:r>
              <w:rPr>
                <w:rFonts w:hint="eastAsia" w:cs="宋体" w:asciiTheme="majorEastAsia" w:hAnsiTheme="majorEastAsia" w:eastAsiaTheme="majorEastAsia"/>
                <w:color w:val="auto"/>
                <w:sz w:val="21"/>
                <w:szCs w:val="21"/>
                <w:highlight w:val="none"/>
              </w:rPr>
              <w:t>车辆外观不整洁、</w:t>
            </w:r>
            <w:r>
              <w:rPr>
                <w:rFonts w:cs="宋体" w:asciiTheme="majorEastAsia" w:hAnsiTheme="majorEastAsia" w:eastAsiaTheme="majorEastAsia"/>
                <w:color w:val="auto"/>
                <w:sz w:val="21"/>
                <w:szCs w:val="21"/>
                <w:highlight w:val="none"/>
              </w:rPr>
              <w:t>不统一不规范</w:t>
            </w:r>
            <w:r>
              <w:rPr>
                <w:rFonts w:hint="eastAsia" w:cs="宋体" w:asciiTheme="majorEastAsia" w:hAnsiTheme="majorEastAsia" w:eastAsiaTheme="majorEastAsia"/>
                <w:color w:val="auto"/>
                <w:sz w:val="21"/>
                <w:szCs w:val="21"/>
                <w:highlight w:val="none"/>
              </w:rPr>
              <w:t>的，每发现一次扣1分。</w:t>
            </w:r>
          </w:p>
        </w:tc>
      </w:tr>
      <w:tr>
        <w:tblPrEx>
          <w:tblCellMar>
            <w:top w:w="0" w:type="dxa"/>
            <w:left w:w="108" w:type="dxa"/>
            <w:bottom w:w="0" w:type="dxa"/>
            <w:right w:w="108" w:type="dxa"/>
          </w:tblCellMar>
        </w:tblPrEx>
        <w:trPr>
          <w:trHeight w:val="1104" w:hRule="atLeast"/>
        </w:trPr>
        <w:tc>
          <w:tcPr>
            <w:tcW w:w="121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center"/>
              <w:textAlignment w:val="auto"/>
              <w:rPr>
                <w:rFonts w:cs="宋体"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信息化</w:t>
            </w:r>
            <w:r>
              <w:rPr>
                <w:rFonts w:asciiTheme="majorEastAsia" w:hAnsiTheme="majorEastAsia" w:eastAsiaTheme="majorEastAsia"/>
                <w:color w:val="auto"/>
                <w:sz w:val="21"/>
                <w:szCs w:val="21"/>
                <w:highlight w:val="none"/>
              </w:rPr>
              <w:t>平台功能完备性</w:t>
            </w:r>
          </w:p>
        </w:tc>
        <w:tc>
          <w:tcPr>
            <w:tcW w:w="850"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center"/>
              <w:textAlignment w:val="auto"/>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20</w:t>
            </w:r>
          </w:p>
        </w:tc>
        <w:tc>
          <w:tcPr>
            <w:tcW w:w="318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left"/>
              <w:textAlignment w:val="auto"/>
              <w:rPr>
                <w:rFonts w:cs="宋体" w:asciiTheme="majorEastAsia" w:hAnsiTheme="majorEastAsia" w:eastAsiaTheme="majorEastAsia"/>
                <w:color w:val="auto"/>
                <w:sz w:val="21"/>
                <w:szCs w:val="21"/>
                <w:highlight w:val="none"/>
              </w:rPr>
            </w:pPr>
            <w:r>
              <w:rPr>
                <w:rFonts w:asciiTheme="majorEastAsia" w:hAnsiTheme="majorEastAsia" w:eastAsiaTheme="majorEastAsia"/>
                <w:color w:val="auto"/>
                <w:sz w:val="21"/>
                <w:szCs w:val="21"/>
                <w:highlight w:val="none"/>
              </w:rPr>
              <w:t>具备 “预约回收、积分管理、数据监测” 功能实现 “投放 - 清运 - 分拣” 数据实时同步</w:t>
            </w:r>
            <w:r>
              <w:rPr>
                <w:rFonts w:hint="eastAsia" w:asciiTheme="majorEastAsia" w:hAnsiTheme="majorEastAsia" w:eastAsiaTheme="majorEastAsia"/>
                <w:color w:val="auto"/>
                <w:sz w:val="21"/>
                <w:szCs w:val="21"/>
                <w:highlight w:val="none"/>
              </w:rPr>
              <w:t>。车辆安装GPS、AI识别，</w:t>
            </w:r>
            <w:r>
              <w:rPr>
                <w:rFonts w:hint="eastAsia" w:asciiTheme="minorEastAsia" w:hAnsiTheme="minorEastAsia" w:eastAsiaTheme="minorEastAsia"/>
                <w:color w:val="auto"/>
                <w:sz w:val="21"/>
                <w:szCs w:val="21"/>
                <w:highlight w:val="none"/>
              </w:rPr>
              <w:t>实时记录清运路线、垃圾装卸过程。</w:t>
            </w:r>
          </w:p>
        </w:tc>
        <w:tc>
          <w:tcPr>
            <w:tcW w:w="9367"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left"/>
              <w:textAlignment w:val="auto"/>
              <w:rPr>
                <w:rFonts w:cs="宋体" w:asciiTheme="majorEastAsia" w:hAnsiTheme="majorEastAsia" w:eastAsiaTheme="majorEastAsia"/>
                <w:color w:val="auto"/>
                <w:sz w:val="21"/>
                <w:szCs w:val="21"/>
                <w:highlight w:val="none"/>
              </w:rPr>
            </w:pPr>
            <w:r>
              <w:rPr>
                <w:rFonts w:asciiTheme="majorEastAsia" w:hAnsiTheme="majorEastAsia" w:eastAsiaTheme="majorEastAsia"/>
                <w:color w:val="auto"/>
                <w:sz w:val="21"/>
                <w:szCs w:val="21"/>
                <w:highlight w:val="none"/>
              </w:rPr>
              <w:t>功能缺失 1 项扣 3 分</w:t>
            </w:r>
            <w:r>
              <w:rPr>
                <w:rFonts w:hint="eastAsia" w:asciiTheme="majorEastAsia" w:hAnsiTheme="majorEastAsia" w:eastAsiaTheme="majorEastAsia"/>
                <w:color w:val="auto"/>
                <w:sz w:val="21"/>
                <w:szCs w:val="21"/>
                <w:highlight w:val="none"/>
              </w:rPr>
              <w:t>；</w:t>
            </w:r>
            <w:r>
              <w:rPr>
                <w:rFonts w:asciiTheme="majorEastAsia" w:hAnsiTheme="majorEastAsia" w:eastAsiaTheme="majorEastAsia"/>
                <w:color w:val="auto"/>
                <w:sz w:val="21"/>
                <w:szCs w:val="21"/>
                <w:highlight w:val="none"/>
              </w:rPr>
              <w:t>数据断链 1 处扣 2 分，完整率每低 5% 扣 1 分</w:t>
            </w:r>
          </w:p>
        </w:tc>
      </w:tr>
      <w:tr>
        <w:tblPrEx>
          <w:tblCellMar>
            <w:top w:w="0" w:type="dxa"/>
            <w:left w:w="108" w:type="dxa"/>
            <w:bottom w:w="0" w:type="dxa"/>
            <w:right w:w="108" w:type="dxa"/>
          </w:tblCellMar>
        </w:tblPrEx>
        <w:trPr>
          <w:trHeight w:val="1104" w:hRule="atLeast"/>
        </w:trPr>
        <w:tc>
          <w:tcPr>
            <w:tcW w:w="121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center"/>
              <w:textAlignment w:val="auto"/>
              <w:rPr>
                <w:rFonts w:asciiTheme="majorEastAsia" w:hAnsiTheme="majorEastAsia" w:eastAsiaTheme="majorEastAsia"/>
                <w:color w:val="auto"/>
                <w:sz w:val="21"/>
                <w:szCs w:val="21"/>
                <w:highlight w:val="none"/>
              </w:rPr>
            </w:pPr>
            <w:r>
              <w:rPr>
                <w:rFonts w:asciiTheme="majorEastAsia" w:hAnsiTheme="majorEastAsia" w:eastAsiaTheme="majorEastAsia"/>
                <w:color w:val="auto"/>
                <w:sz w:val="21"/>
                <w:szCs w:val="21"/>
                <w:highlight w:val="none"/>
              </w:rPr>
              <w:t>安全管理</w:t>
            </w:r>
          </w:p>
        </w:tc>
        <w:tc>
          <w:tcPr>
            <w:tcW w:w="850"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center"/>
              <w:textAlignment w:val="auto"/>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10</w:t>
            </w:r>
          </w:p>
        </w:tc>
        <w:tc>
          <w:tcPr>
            <w:tcW w:w="318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left"/>
              <w:textAlignment w:val="auto"/>
              <w:rPr>
                <w:rFonts w:asciiTheme="majorEastAsia" w:hAnsiTheme="majorEastAsia" w:eastAsiaTheme="majorEastAsia"/>
                <w:color w:val="auto"/>
                <w:sz w:val="21"/>
                <w:szCs w:val="21"/>
                <w:highlight w:val="none"/>
              </w:rPr>
            </w:pPr>
            <w:r>
              <w:rPr>
                <w:rFonts w:asciiTheme="majorEastAsia" w:hAnsiTheme="majorEastAsia" w:eastAsiaTheme="majorEastAsia"/>
                <w:color w:val="auto"/>
                <w:sz w:val="21"/>
                <w:szCs w:val="21"/>
                <w:highlight w:val="none"/>
              </w:rPr>
              <w:t>落实安全生产管 理各项制度。</w:t>
            </w:r>
          </w:p>
        </w:tc>
        <w:tc>
          <w:tcPr>
            <w:tcW w:w="9367"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left"/>
              <w:textAlignment w:val="auto"/>
              <w:rPr>
                <w:rFonts w:asciiTheme="majorEastAsia" w:hAnsiTheme="majorEastAsia" w:eastAsiaTheme="majorEastAsia"/>
                <w:color w:val="auto"/>
                <w:sz w:val="21"/>
                <w:szCs w:val="21"/>
                <w:highlight w:val="none"/>
              </w:rPr>
            </w:pPr>
            <w:r>
              <w:rPr>
                <w:rFonts w:asciiTheme="majorEastAsia" w:hAnsiTheme="majorEastAsia" w:eastAsiaTheme="majorEastAsia"/>
                <w:color w:val="auto"/>
                <w:sz w:val="21"/>
                <w:szCs w:val="21"/>
                <w:highlight w:val="none"/>
              </w:rPr>
              <w:t>未定期开展消防安全培训、考核回收人员安全技能掌握情况的， 每发现一次扣1分；发现消防安全隐患的，每发现一次扣2分； 未按照要求定期检查灭火器压强情况并做好记录的（至少半月一次），每发现一次扣1分；未 落实安全生产责任，发生一般安 全生产责任事故，每发生一起扣 1分。</w:t>
            </w:r>
          </w:p>
        </w:tc>
      </w:tr>
      <w:tr>
        <w:tblPrEx>
          <w:tblCellMar>
            <w:top w:w="0" w:type="dxa"/>
            <w:left w:w="108" w:type="dxa"/>
            <w:bottom w:w="0" w:type="dxa"/>
            <w:right w:w="108" w:type="dxa"/>
          </w:tblCellMar>
        </w:tblPrEx>
        <w:trPr>
          <w:trHeight w:val="929" w:hRule="atLeast"/>
        </w:trPr>
        <w:tc>
          <w:tcPr>
            <w:tcW w:w="121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center"/>
              <w:textAlignment w:val="auto"/>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服务质量</w:t>
            </w:r>
          </w:p>
        </w:tc>
        <w:tc>
          <w:tcPr>
            <w:tcW w:w="850"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center"/>
              <w:textAlignment w:val="auto"/>
              <w:rPr>
                <w:rFonts w:cs="宋体" w:asciiTheme="majorEastAsia" w:hAnsiTheme="majorEastAsia" w:eastAsiaTheme="majorEastAsia"/>
                <w:color w:val="auto"/>
                <w:sz w:val="21"/>
                <w:szCs w:val="21"/>
                <w:highlight w:val="none"/>
              </w:rPr>
            </w:pPr>
            <w:r>
              <w:rPr>
                <w:rFonts w:hint="eastAsia" w:cs="宋体" w:asciiTheme="majorEastAsia" w:hAnsiTheme="majorEastAsia" w:eastAsiaTheme="majorEastAsia"/>
                <w:color w:val="auto"/>
                <w:sz w:val="21"/>
                <w:szCs w:val="21"/>
                <w:highlight w:val="none"/>
              </w:rPr>
              <w:t>10</w:t>
            </w:r>
          </w:p>
        </w:tc>
        <w:tc>
          <w:tcPr>
            <w:tcW w:w="3183"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left"/>
              <w:textAlignment w:val="auto"/>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人员须规范 着装，APP、小程序、电话等多渠道服务，在用户呼叫后及时 上门收集，及时兑换积分。</w:t>
            </w:r>
          </w:p>
        </w:tc>
        <w:tc>
          <w:tcPr>
            <w:tcW w:w="9367"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480" w:lineRule="exact"/>
              <w:jc w:val="left"/>
              <w:textAlignment w:val="auto"/>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工作期间服务人员未按要求穿 着工作服，每发现1例扣1分， 服务人员无故拒绝上门，核实1 例扣2分。兑换不及时核实1 例扣2分。</w:t>
            </w:r>
          </w:p>
        </w:tc>
      </w:tr>
    </w:tbl>
    <w:p>
      <w:pPr>
        <w:pageBreakBefore w:val="0"/>
        <w:kinsoku/>
        <w:wordWrap/>
        <w:overflowPunct/>
        <w:topLinePunct w:val="0"/>
        <w:autoSpaceDE/>
        <w:autoSpaceDN/>
        <w:bidi w:val="0"/>
        <w:adjustRightInd/>
        <w:snapToGrid/>
        <w:spacing w:line="480" w:lineRule="exact"/>
        <w:textAlignment w:val="auto"/>
        <w:outlineLvl w:val="0"/>
        <w:rPr>
          <w:rFonts w:hint="eastAsia" w:ascii="宋体" w:hAnsi="宋体" w:cs="宋体"/>
          <w:color w:val="auto"/>
          <w:sz w:val="21"/>
          <w:szCs w:val="21"/>
          <w:highlight w:val="none"/>
        </w:rPr>
        <w:sectPr>
          <w:pgSz w:w="16838" w:h="11906" w:orient="landscape"/>
          <w:pgMar w:top="1800" w:right="1440" w:bottom="1800" w:left="1440" w:header="851" w:footer="992" w:gutter="0"/>
          <w:cols w:space="425" w:num="1"/>
          <w:docGrid w:type="lines" w:linePitch="312" w:charSpace="0"/>
        </w:sectPr>
      </w:pPr>
    </w:p>
    <w:p>
      <w:pPr>
        <w:spacing w:line="520" w:lineRule="exact"/>
        <w:outlineLvl w:val="0"/>
        <w:rPr>
          <w:rFonts w:ascii="宋体" w:hAnsi="宋体" w:cs="宋体"/>
          <w:color w:val="auto"/>
          <w:sz w:val="24"/>
          <w:highlight w:val="none"/>
        </w:rPr>
      </w:pPr>
      <w:r>
        <w:rPr>
          <w:rFonts w:hint="eastAsia" w:ascii="宋体" w:hAnsi="宋体" w:cs="宋体"/>
          <w:color w:val="auto"/>
          <w:sz w:val="24"/>
          <w:highlight w:val="none"/>
        </w:rPr>
        <w:t>附件6：</w:t>
      </w:r>
      <w:bookmarkEnd w:id="15"/>
    </w:p>
    <w:p>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重点项目考核细则</w:t>
      </w:r>
    </w:p>
    <w:tbl>
      <w:tblPr>
        <w:tblStyle w:val="12"/>
        <w:tblW w:w="8508" w:type="dxa"/>
        <w:tblInd w:w="108" w:type="dxa"/>
        <w:tblLayout w:type="fixed"/>
        <w:tblCellMar>
          <w:top w:w="0" w:type="dxa"/>
          <w:left w:w="108" w:type="dxa"/>
          <w:bottom w:w="0" w:type="dxa"/>
          <w:right w:w="108" w:type="dxa"/>
        </w:tblCellMar>
      </w:tblPr>
      <w:tblGrid>
        <w:gridCol w:w="768"/>
        <w:gridCol w:w="2144"/>
        <w:gridCol w:w="5596"/>
      </w:tblGrid>
      <w:tr>
        <w:tblPrEx>
          <w:tblCellMar>
            <w:top w:w="0" w:type="dxa"/>
            <w:left w:w="108" w:type="dxa"/>
            <w:bottom w:w="0" w:type="dxa"/>
            <w:right w:w="108" w:type="dxa"/>
          </w:tblCellMar>
        </w:tblPrEx>
        <w:trPr>
          <w:trHeight w:val="595" w:hRule="atLeast"/>
        </w:trPr>
        <w:tc>
          <w:tcPr>
            <w:tcW w:w="76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bookmarkStart w:id="16" w:name="OLE_LINK8"/>
            <w:r>
              <w:rPr>
                <w:rFonts w:hint="eastAsia" w:ascii="宋体" w:hAnsi="宋体" w:cs="宋体"/>
                <w:color w:val="auto"/>
                <w:sz w:val="24"/>
                <w:highlight w:val="none"/>
              </w:rPr>
              <w:t>考核项目</w:t>
            </w:r>
          </w:p>
        </w:tc>
        <w:tc>
          <w:tcPr>
            <w:tcW w:w="2144"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作业要求</w:t>
            </w:r>
          </w:p>
        </w:tc>
        <w:tc>
          <w:tcPr>
            <w:tcW w:w="5596"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扣分标准</w:t>
            </w:r>
          </w:p>
        </w:tc>
      </w:tr>
      <w:tr>
        <w:tblPrEx>
          <w:tblCellMar>
            <w:top w:w="0" w:type="dxa"/>
            <w:left w:w="108" w:type="dxa"/>
            <w:bottom w:w="0" w:type="dxa"/>
            <w:right w:w="108" w:type="dxa"/>
          </w:tblCellMar>
        </w:tblPrEx>
        <w:trPr>
          <w:trHeight w:val="480" w:hRule="atLeast"/>
        </w:trPr>
        <w:tc>
          <w:tcPr>
            <w:tcW w:w="768"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分类收运</w:t>
            </w:r>
          </w:p>
        </w:tc>
        <w:tc>
          <w:tcPr>
            <w:tcW w:w="2144" w:type="dxa"/>
            <w:tcBorders>
              <w:top w:val="nil"/>
              <w:left w:val="nil"/>
              <w:bottom w:val="single" w:color="auto" w:sz="4" w:space="0"/>
              <w:right w:val="single" w:color="auto" w:sz="4" w:space="0"/>
            </w:tcBorders>
            <w:vAlign w:val="center"/>
          </w:tcPr>
          <w:p>
            <w:pPr>
              <w:widowControl/>
              <w:spacing w:line="520" w:lineRule="exact"/>
              <w:rPr>
                <w:rFonts w:ascii="宋体" w:hAnsi="宋体" w:cs="宋体"/>
                <w:color w:val="auto"/>
                <w:sz w:val="24"/>
                <w:highlight w:val="none"/>
              </w:rPr>
            </w:pPr>
            <w:r>
              <w:rPr>
                <w:rFonts w:hint="eastAsia" w:ascii="宋体" w:hAnsi="宋体" w:cs="宋体"/>
                <w:color w:val="auto"/>
                <w:sz w:val="24"/>
                <w:highlight w:val="none"/>
              </w:rPr>
              <w:t>严禁将已分类的生活垃圾混合收运。</w:t>
            </w:r>
          </w:p>
        </w:tc>
        <w:tc>
          <w:tcPr>
            <w:tcW w:w="5596"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4"/>
                <w:highlight w:val="none"/>
              </w:rPr>
            </w:pPr>
            <w:r>
              <w:rPr>
                <w:rFonts w:hint="eastAsia" w:ascii="宋体" w:hAnsi="宋体" w:cs="宋体"/>
                <w:color w:val="auto"/>
                <w:sz w:val="24"/>
                <w:highlight w:val="none"/>
              </w:rPr>
              <w:t>将已分类的生活垃圾混收混运的，每次扣5分。</w:t>
            </w:r>
          </w:p>
        </w:tc>
      </w:tr>
      <w:tr>
        <w:tblPrEx>
          <w:tblCellMar>
            <w:top w:w="0" w:type="dxa"/>
            <w:left w:w="108" w:type="dxa"/>
            <w:bottom w:w="0" w:type="dxa"/>
            <w:right w:w="108" w:type="dxa"/>
          </w:tblCellMar>
        </w:tblPrEx>
        <w:trPr>
          <w:trHeight w:val="720" w:hRule="atLeast"/>
        </w:trPr>
        <w:tc>
          <w:tcPr>
            <w:tcW w:w="768"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人员管理</w:t>
            </w:r>
          </w:p>
        </w:tc>
        <w:tc>
          <w:tcPr>
            <w:tcW w:w="2144" w:type="dxa"/>
            <w:tcBorders>
              <w:top w:val="nil"/>
              <w:left w:val="nil"/>
              <w:bottom w:val="single" w:color="auto" w:sz="4" w:space="0"/>
              <w:right w:val="single" w:color="auto" w:sz="4" w:space="0"/>
            </w:tcBorders>
            <w:vAlign w:val="bottom"/>
          </w:tcPr>
          <w:p>
            <w:pPr>
              <w:widowControl/>
              <w:spacing w:line="520" w:lineRule="exact"/>
              <w:jc w:val="left"/>
              <w:rPr>
                <w:rFonts w:ascii="宋体" w:hAnsi="宋体" w:cs="宋体"/>
                <w:color w:val="auto"/>
                <w:sz w:val="24"/>
                <w:highlight w:val="none"/>
              </w:rPr>
            </w:pPr>
            <w:r>
              <w:rPr>
                <w:rFonts w:hint="eastAsia" w:ascii="宋体" w:hAnsi="宋体" w:cs="宋体"/>
                <w:color w:val="auto"/>
                <w:sz w:val="24"/>
                <w:highlight w:val="none"/>
              </w:rPr>
              <w:t>收集点开放时段配备专人引导，驳运点设置专人管理</w:t>
            </w:r>
          </w:p>
        </w:tc>
        <w:tc>
          <w:tcPr>
            <w:tcW w:w="5596"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4"/>
                <w:highlight w:val="none"/>
              </w:rPr>
            </w:pPr>
            <w:r>
              <w:rPr>
                <w:rFonts w:hint="eastAsia" w:ascii="宋体" w:hAnsi="宋体" w:cs="宋体"/>
                <w:color w:val="auto"/>
                <w:sz w:val="24"/>
                <w:highlight w:val="none"/>
              </w:rPr>
              <w:t>收集点开放时段未合理配备督导员的，或驳运点无人管理的，每次扣5分。</w:t>
            </w:r>
          </w:p>
        </w:tc>
      </w:tr>
      <w:tr>
        <w:tblPrEx>
          <w:tblCellMar>
            <w:top w:w="0" w:type="dxa"/>
            <w:left w:w="108" w:type="dxa"/>
            <w:bottom w:w="0" w:type="dxa"/>
            <w:right w:w="108" w:type="dxa"/>
          </w:tblCellMar>
        </w:tblPrEx>
        <w:trPr>
          <w:trHeight w:val="480" w:hRule="atLeast"/>
        </w:trPr>
        <w:tc>
          <w:tcPr>
            <w:tcW w:w="768"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有责投诉</w:t>
            </w:r>
          </w:p>
        </w:tc>
        <w:tc>
          <w:tcPr>
            <w:tcW w:w="2144" w:type="dxa"/>
            <w:tcBorders>
              <w:top w:val="nil"/>
              <w:left w:val="nil"/>
              <w:bottom w:val="single" w:color="auto" w:sz="4" w:space="0"/>
              <w:right w:val="single" w:color="auto" w:sz="4" w:space="0"/>
            </w:tcBorders>
            <w:noWrap/>
            <w:vAlign w:val="center"/>
          </w:tcPr>
          <w:p>
            <w:pPr>
              <w:widowControl/>
              <w:spacing w:line="520" w:lineRule="exact"/>
              <w:jc w:val="left"/>
              <w:rPr>
                <w:rFonts w:ascii="宋体" w:hAnsi="宋体" w:cs="宋体"/>
                <w:color w:val="auto"/>
                <w:sz w:val="24"/>
                <w:highlight w:val="none"/>
              </w:rPr>
            </w:pPr>
            <w:r>
              <w:rPr>
                <w:rFonts w:hint="eastAsia" w:ascii="宋体" w:hAnsi="宋体" w:cs="宋体"/>
                <w:color w:val="auto"/>
                <w:sz w:val="24"/>
                <w:highlight w:val="none"/>
              </w:rPr>
              <w:t>应主动接受上级部门及社会各界监督，有责投诉问题应在规定的期限内整改；市级以上检查不失责任分。</w:t>
            </w:r>
          </w:p>
        </w:tc>
        <w:tc>
          <w:tcPr>
            <w:tcW w:w="5596"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4"/>
                <w:highlight w:val="none"/>
              </w:rPr>
            </w:pPr>
            <w:r>
              <w:rPr>
                <w:rFonts w:hint="eastAsia" w:ascii="宋体" w:hAnsi="宋体" w:cs="宋体"/>
                <w:color w:val="auto"/>
                <w:sz w:val="24"/>
                <w:highlight w:val="none"/>
              </w:rPr>
              <w:t>上级督办和新闻媒体曝光，经确认有责的，每次扣2分；12319和12345电话受理、各信访渠道交办的市民投诉，经确认有责的，每次扣5分；发生有责投诉和有责管理事件后，未在规定的时间内整改到位的扣5分；市级以上检查失分的，每次扣5分。</w:t>
            </w:r>
          </w:p>
        </w:tc>
      </w:tr>
      <w:tr>
        <w:tblPrEx>
          <w:tblCellMar>
            <w:top w:w="0" w:type="dxa"/>
            <w:left w:w="108" w:type="dxa"/>
            <w:bottom w:w="0" w:type="dxa"/>
            <w:right w:w="108" w:type="dxa"/>
          </w:tblCellMar>
        </w:tblPrEx>
        <w:trPr>
          <w:trHeight w:val="1249" w:hRule="atLeast"/>
        </w:trPr>
        <w:tc>
          <w:tcPr>
            <w:tcW w:w="768"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整改落实</w:t>
            </w:r>
          </w:p>
        </w:tc>
        <w:tc>
          <w:tcPr>
            <w:tcW w:w="2144"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4"/>
                <w:highlight w:val="none"/>
              </w:rPr>
            </w:pPr>
            <w:r>
              <w:rPr>
                <w:rFonts w:hint="eastAsia" w:ascii="宋体" w:hAnsi="宋体" w:cs="宋体"/>
                <w:color w:val="auto"/>
                <w:sz w:val="24"/>
                <w:highlight w:val="none"/>
              </w:rPr>
              <w:t>作业单位应及时对反馈的重点问题进行有效整改；按时、按要求处理数字化信息采集案件。</w:t>
            </w:r>
          </w:p>
        </w:tc>
        <w:tc>
          <w:tcPr>
            <w:tcW w:w="5596"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4"/>
                <w:highlight w:val="none"/>
              </w:rPr>
            </w:pPr>
            <w:r>
              <w:rPr>
                <w:rFonts w:hint="eastAsia" w:ascii="宋体" w:hAnsi="宋体" w:cs="宋体"/>
                <w:color w:val="auto"/>
                <w:sz w:val="24"/>
                <w:highlight w:val="none"/>
              </w:rPr>
              <w:t>针对各考核主体反馈重点问题，未能在合同规定时限内完成有效整改，每次扣1分；未及时处理案件造成案件超时的每个扣1分；处理不符合要求造成返工的每次扣1分。</w:t>
            </w:r>
          </w:p>
        </w:tc>
      </w:tr>
      <w:tr>
        <w:tblPrEx>
          <w:tblCellMar>
            <w:top w:w="0" w:type="dxa"/>
            <w:left w:w="108" w:type="dxa"/>
            <w:bottom w:w="0" w:type="dxa"/>
            <w:right w:w="108" w:type="dxa"/>
          </w:tblCellMar>
        </w:tblPrEx>
        <w:trPr>
          <w:trHeight w:val="983" w:hRule="atLeast"/>
        </w:trPr>
        <w:tc>
          <w:tcPr>
            <w:tcW w:w="768"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color w:val="auto"/>
                <w:sz w:val="24"/>
                <w:highlight w:val="none"/>
              </w:rPr>
            </w:pPr>
            <w:r>
              <w:rPr>
                <w:rFonts w:hint="eastAsia" w:ascii="宋体" w:hAnsi="宋体" w:cs="宋体"/>
                <w:color w:val="auto"/>
                <w:sz w:val="24"/>
                <w:highlight w:val="none"/>
              </w:rPr>
              <w:t>配合监督检查</w:t>
            </w:r>
          </w:p>
        </w:tc>
        <w:tc>
          <w:tcPr>
            <w:tcW w:w="2144"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4"/>
                <w:highlight w:val="none"/>
              </w:rPr>
            </w:pPr>
            <w:r>
              <w:rPr>
                <w:rFonts w:hint="eastAsia" w:ascii="宋体" w:hAnsi="宋体" w:cs="宋体"/>
                <w:color w:val="auto"/>
                <w:sz w:val="24"/>
                <w:highlight w:val="none"/>
              </w:rPr>
              <w:t>自觉接受相关考核主体的监督考核</w:t>
            </w:r>
          </w:p>
        </w:tc>
        <w:tc>
          <w:tcPr>
            <w:tcW w:w="5596"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color w:val="auto"/>
                <w:sz w:val="24"/>
                <w:highlight w:val="none"/>
              </w:rPr>
            </w:pPr>
            <w:r>
              <w:rPr>
                <w:rFonts w:hint="eastAsia" w:ascii="宋体" w:hAnsi="宋体" w:cs="宋体"/>
                <w:color w:val="auto"/>
                <w:sz w:val="24"/>
                <w:highlight w:val="none"/>
              </w:rPr>
              <w:t>阻挠妨碍考核人员正常检查工作的每次扣2-5分。</w:t>
            </w:r>
          </w:p>
        </w:tc>
      </w:tr>
      <w:bookmarkEnd w:id="16"/>
    </w:tbl>
    <w:p>
      <w:pPr>
        <w:pStyle w:val="8"/>
        <w:spacing w:line="520" w:lineRule="exact"/>
        <w:ind w:left="0" w:leftChars="0" w:right="-1260" w:rightChars="-600"/>
        <w:rPr>
          <w:rFonts w:hint="eastAsia" w:ascii="宋体" w:hAnsi="宋体" w:cs="宋体"/>
          <w:color w:val="auto"/>
          <w:sz w:val="24"/>
          <w:highlight w:val="none"/>
        </w:rPr>
      </w:pPr>
      <w:r>
        <w:rPr>
          <w:rFonts w:hint="eastAsia" w:ascii="宋体" w:hAnsi="宋体" w:cs="宋体"/>
          <w:color w:val="auto"/>
          <w:sz w:val="24"/>
          <w:highlight w:val="none"/>
        </w:rPr>
        <w:t>备注：上述重点项目考核细则，在分数计算时，直接从月度考核总分中扣减。</w:t>
      </w:r>
    </w:p>
    <w:p>
      <w:pPr>
        <w:pStyle w:val="11"/>
        <w:spacing w:line="360" w:lineRule="auto"/>
        <w:rPr>
          <w:rFonts w:hint="eastAsia" w:ascii="宋体" w:hAnsi="宋体" w:cs="宋体"/>
          <w:color w:val="auto"/>
          <w:sz w:val="24"/>
          <w:highlight w:val="none"/>
        </w:rPr>
      </w:pPr>
      <w:r>
        <w:rPr>
          <w:rFonts w:hint="eastAsia" w:ascii="宋体" w:hAnsi="宋体" w:cs="宋体"/>
          <w:sz w:val="24"/>
          <w:lang w:val="en-US" w:eastAsia="zh-CN"/>
        </w:rPr>
        <w:t>七</w:t>
      </w:r>
      <w:r>
        <w:rPr>
          <w:rFonts w:hint="eastAsia" w:ascii="宋体" w:hAnsi="宋体" w:eastAsia="宋体" w:cs="宋体"/>
          <w:b/>
          <w:bCs/>
          <w:sz w:val="28"/>
          <w:szCs w:val="28"/>
          <w:highlight w:val="none"/>
        </w:rPr>
        <w:t>、其他要求：见《拟签订的合同文本》。</w:t>
      </w:r>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0695F"/>
    <w:multiLevelType w:val="multilevel"/>
    <w:tmpl w:val="4230695F"/>
    <w:lvl w:ilvl="0" w:tentative="0">
      <w:start w:val="1"/>
      <w:numFmt w:val="decimal"/>
      <w:lvlText w:val="%1、"/>
      <w:lvlJc w:val="left"/>
      <w:pPr>
        <w:ind w:left="1320" w:hanging="360"/>
      </w:pPr>
      <w:rPr>
        <w:rFonts w:hint="default"/>
      </w:rPr>
    </w:lvl>
    <w:lvl w:ilvl="1" w:tentative="0">
      <w:start w:val="1"/>
      <w:numFmt w:val="lowerLetter"/>
      <w:lvlText w:val="%2)"/>
      <w:lvlJc w:val="left"/>
      <w:pPr>
        <w:ind w:left="1840" w:hanging="440"/>
      </w:pPr>
    </w:lvl>
    <w:lvl w:ilvl="2" w:tentative="0">
      <w:start w:val="1"/>
      <w:numFmt w:val="lowerRoman"/>
      <w:lvlText w:val="%3."/>
      <w:lvlJc w:val="right"/>
      <w:pPr>
        <w:ind w:left="2280" w:hanging="440"/>
      </w:pPr>
    </w:lvl>
    <w:lvl w:ilvl="3" w:tentative="0">
      <w:start w:val="1"/>
      <w:numFmt w:val="decimal"/>
      <w:lvlText w:val="%4."/>
      <w:lvlJc w:val="left"/>
      <w:pPr>
        <w:ind w:left="2720" w:hanging="440"/>
      </w:pPr>
    </w:lvl>
    <w:lvl w:ilvl="4" w:tentative="0">
      <w:start w:val="1"/>
      <w:numFmt w:val="lowerLetter"/>
      <w:lvlText w:val="%5)"/>
      <w:lvlJc w:val="left"/>
      <w:pPr>
        <w:ind w:left="3160" w:hanging="440"/>
      </w:pPr>
    </w:lvl>
    <w:lvl w:ilvl="5" w:tentative="0">
      <w:start w:val="1"/>
      <w:numFmt w:val="lowerRoman"/>
      <w:lvlText w:val="%6."/>
      <w:lvlJc w:val="right"/>
      <w:pPr>
        <w:ind w:left="3600" w:hanging="440"/>
      </w:pPr>
    </w:lvl>
    <w:lvl w:ilvl="6" w:tentative="0">
      <w:start w:val="1"/>
      <w:numFmt w:val="decimal"/>
      <w:lvlText w:val="%7."/>
      <w:lvlJc w:val="left"/>
      <w:pPr>
        <w:ind w:left="4040" w:hanging="440"/>
      </w:pPr>
    </w:lvl>
    <w:lvl w:ilvl="7" w:tentative="0">
      <w:start w:val="1"/>
      <w:numFmt w:val="lowerLetter"/>
      <w:lvlText w:val="%8)"/>
      <w:lvlJc w:val="left"/>
      <w:pPr>
        <w:ind w:left="4480" w:hanging="440"/>
      </w:pPr>
    </w:lvl>
    <w:lvl w:ilvl="8" w:tentative="0">
      <w:start w:val="1"/>
      <w:numFmt w:val="lowerRoman"/>
      <w:lvlText w:val="%9."/>
      <w:lvlJc w:val="right"/>
      <w:pPr>
        <w:ind w:left="492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1MDU1NDU1NDhkOTM0MjcyZWI0ZjdhNTIzNGFlMjMifQ=="/>
  </w:docVars>
  <w:rsids>
    <w:rsidRoot w:val="316D5410"/>
    <w:rsid w:val="00035038"/>
    <w:rsid w:val="000552B3"/>
    <w:rsid w:val="00075F89"/>
    <w:rsid w:val="00092876"/>
    <w:rsid w:val="000A028A"/>
    <w:rsid w:val="000B6C76"/>
    <w:rsid w:val="000C2C86"/>
    <w:rsid w:val="001058E7"/>
    <w:rsid w:val="00123FDA"/>
    <w:rsid w:val="00133728"/>
    <w:rsid w:val="00163C1A"/>
    <w:rsid w:val="001A7AE8"/>
    <w:rsid w:val="001C1F9E"/>
    <w:rsid w:val="001E45B0"/>
    <w:rsid w:val="001F4635"/>
    <w:rsid w:val="00270337"/>
    <w:rsid w:val="002A1DAA"/>
    <w:rsid w:val="002B1379"/>
    <w:rsid w:val="002B2BAF"/>
    <w:rsid w:val="002B3E90"/>
    <w:rsid w:val="002E45A5"/>
    <w:rsid w:val="002E4DEC"/>
    <w:rsid w:val="0030401F"/>
    <w:rsid w:val="00322143"/>
    <w:rsid w:val="003262DB"/>
    <w:rsid w:val="00345AA9"/>
    <w:rsid w:val="00373960"/>
    <w:rsid w:val="0037515D"/>
    <w:rsid w:val="00376FC8"/>
    <w:rsid w:val="003B6FCC"/>
    <w:rsid w:val="003E2D40"/>
    <w:rsid w:val="004055FC"/>
    <w:rsid w:val="004058FF"/>
    <w:rsid w:val="00453382"/>
    <w:rsid w:val="00454517"/>
    <w:rsid w:val="00461BF3"/>
    <w:rsid w:val="00462194"/>
    <w:rsid w:val="00465F47"/>
    <w:rsid w:val="004827BA"/>
    <w:rsid w:val="004A2BB3"/>
    <w:rsid w:val="004B0660"/>
    <w:rsid w:val="004B75B7"/>
    <w:rsid w:val="004E7FAD"/>
    <w:rsid w:val="005010A6"/>
    <w:rsid w:val="005242B2"/>
    <w:rsid w:val="00535F76"/>
    <w:rsid w:val="005564CC"/>
    <w:rsid w:val="0057296F"/>
    <w:rsid w:val="00582310"/>
    <w:rsid w:val="00595E46"/>
    <w:rsid w:val="005D3F66"/>
    <w:rsid w:val="005F3271"/>
    <w:rsid w:val="00600E68"/>
    <w:rsid w:val="00602642"/>
    <w:rsid w:val="00606050"/>
    <w:rsid w:val="00631B6F"/>
    <w:rsid w:val="00666C85"/>
    <w:rsid w:val="00672DD2"/>
    <w:rsid w:val="00696439"/>
    <w:rsid w:val="006A1769"/>
    <w:rsid w:val="006B26A4"/>
    <w:rsid w:val="006C1501"/>
    <w:rsid w:val="006D3E72"/>
    <w:rsid w:val="006E1A88"/>
    <w:rsid w:val="006E66D8"/>
    <w:rsid w:val="006E6F6C"/>
    <w:rsid w:val="007015E4"/>
    <w:rsid w:val="007072D3"/>
    <w:rsid w:val="00714DD2"/>
    <w:rsid w:val="00744C94"/>
    <w:rsid w:val="0074529E"/>
    <w:rsid w:val="00752EDD"/>
    <w:rsid w:val="007568EC"/>
    <w:rsid w:val="00792414"/>
    <w:rsid w:val="007B0D5F"/>
    <w:rsid w:val="007B25BC"/>
    <w:rsid w:val="007B3DB5"/>
    <w:rsid w:val="007B66FA"/>
    <w:rsid w:val="007C4B37"/>
    <w:rsid w:val="007D569E"/>
    <w:rsid w:val="007F4508"/>
    <w:rsid w:val="0080611A"/>
    <w:rsid w:val="00806BC3"/>
    <w:rsid w:val="00807957"/>
    <w:rsid w:val="008227E3"/>
    <w:rsid w:val="00837F89"/>
    <w:rsid w:val="0085162D"/>
    <w:rsid w:val="00861D60"/>
    <w:rsid w:val="00884650"/>
    <w:rsid w:val="00885D48"/>
    <w:rsid w:val="00887191"/>
    <w:rsid w:val="00897662"/>
    <w:rsid w:val="008C6E7A"/>
    <w:rsid w:val="008E5ACF"/>
    <w:rsid w:val="00925C94"/>
    <w:rsid w:val="00946469"/>
    <w:rsid w:val="009804ED"/>
    <w:rsid w:val="00993FA0"/>
    <w:rsid w:val="00996ABC"/>
    <w:rsid w:val="009A090E"/>
    <w:rsid w:val="009B18FA"/>
    <w:rsid w:val="009B2C05"/>
    <w:rsid w:val="009E14BA"/>
    <w:rsid w:val="009F0FED"/>
    <w:rsid w:val="00A00D56"/>
    <w:rsid w:val="00A12680"/>
    <w:rsid w:val="00A15272"/>
    <w:rsid w:val="00A1728E"/>
    <w:rsid w:val="00A21409"/>
    <w:rsid w:val="00A22D9D"/>
    <w:rsid w:val="00A33690"/>
    <w:rsid w:val="00A56589"/>
    <w:rsid w:val="00A57921"/>
    <w:rsid w:val="00A717ED"/>
    <w:rsid w:val="00A8458B"/>
    <w:rsid w:val="00AD03D8"/>
    <w:rsid w:val="00AD1632"/>
    <w:rsid w:val="00AF7AD1"/>
    <w:rsid w:val="00B00DBC"/>
    <w:rsid w:val="00B70C4A"/>
    <w:rsid w:val="00B73E6E"/>
    <w:rsid w:val="00B7488B"/>
    <w:rsid w:val="00B93CCB"/>
    <w:rsid w:val="00B945DE"/>
    <w:rsid w:val="00BC7486"/>
    <w:rsid w:val="00BD3CE1"/>
    <w:rsid w:val="00BD5218"/>
    <w:rsid w:val="00BE0A7B"/>
    <w:rsid w:val="00C215E2"/>
    <w:rsid w:val="00C226A2"/>
    <w:rsid w:val="00C24BA8"/>
    <w:rsid w:val="00C728E0"/>
    <w:rsid w:val="00C914EE"/>
    <w:rsid w:val="00C95FE5"/>
    <w:rsid w:val="00CA4555"/>
    <w:rsid w:val="00CA4837"/>
    <w:rsid w:val="00CC6869"/>
    <w:rsid w:val="00CD0705"/>
    <w:rsid w:val="00CD49B1"/>
    <w:rsid w:val="00CF3B9D"/>
    <w:rsid w:val="00CF52A9"/>
    <w:rsid w:val="00D10F8A"/>
    <w:rsid w:val="00D13772"/>
    <w:rsid w:val="00D54B1E"/>
    <w:rsid w:val="00D61CCC"/>
    <w:rsid w:val="00D75FF0"/>
    <w:rsid w:val="00D85BCB"/>
    <w:rsid w:val="00D8783D"/>
    <w:rsid w:val="00D92E1B"/>
    <w:rsid w:val="00DB122D"/>
    <w:rsid w:val="00DC7535"/>
    <w:rsid w:val="00DD1CDD"/>
    <w:rsid w:val="00DD279B"/>
    <w:rsid w:val="00DD32C8"/>
    <w:rsid w:val="00DF48BF"/>
    <w:rsid w:val="00E026E6"/>
    <w:rsid w:val="00E15317"/>
    <w:rsid w:val="00E25227"/>
    <w:rsid w:val="00E4165B"/>
    <w:rsid w:val="00E52621"/>
    <w:rsid w:val="00E52E85"/>
    <w:rsid w:val="00E67E5D"/>
    <w:rsid w:val="00E834F4"/>
    <w:rsid w:val="00E91171"/>
    <w:rsid w:val="00EA38C4"/>
    <w:rsid w:val="00EE10F4"/>
    <w:rsid w:val="00EF1E69"/>
    <w:rsid w:val="00EF6E5C"/>
    <w:rsid w:val="00EF7B0B"/>
    <w:rsid w:val="00F25802"/>
    <w:rsid w:val="00F51F2A"/>
    <w:rsid w:val="00F52A52"/>
    <w:rsid w:val="00F6521A"/>
    <w:rsid w:val="00F70F52"/>
    <w:rsid w:val="00F817E9"/>
    <w:rsid w:val="00F869B1"/>
    <w:rsid w:val="00FB15FF"/>
    <w:rsid w:val="00FB2E9B"/>
    <w:rsid w:val="00FC0707"/>
    <w:rsid w:val="00FC71F3"/>
    <w:rsid w:val="00FD6CE7"/>
    <w:rsid w:val="00FE7057"/>
    <w:rsid w:val="024F0643"/>
    <w:rsid w:val="062956B3"/>
    <w:rsid w:val="0BC63740"/>
    <w:rsid w:val="11A56E9C"/>
    <w:rsid w:val="13567A26"/>
    <w:rsid w:val="146D7C3C"/>
    <w:rsid w:val="14925B3E"/>
    <w:rsid w:val="18D71E2D"/>
    <w:rsid w:val="193E101D"/>
    <w:rsid w:val="208A2D9A"/>
    <w:rsid w:val="20FF4CF0"/>
    <w:rsid w:val="26781574"/>
    <w:rsid w:val="26E33204"/>
    <w:rsid w:val="28994B2A"/>
    <w:rsid w:val="2D157E8F"/>
    <w:rsid w:val="2E8A5C38"/>
    <w:rsid w:val="2F897B29"/>
    <w:rsid w:val="316D5410"/>
    <w:rsid w:val="31D86C83"/>
    <w:rsid w:val="327A2C6E"/>
    <w:rsid w:val="33B478C2"/>
    <w:rsid w:val="3FEC2CD2"/>
    <w:rsid w:val="447716CF"/>
    <w:rsid w:val="460F06F3"/>
    <w:rsid w:val="49747FC0"/>
    <w:rsid w:val="4B571947"/>
    <w:rsid w:val="56B12C76"/>
    <w:rsid w:val="56CD77EE"/>
    <w:rsid w:val="57B65C47"/>
    <w:rsid w:val="5F5B5ACD"/>
    <w:rsid w:val="633A62DA"/>
    <w:rsid w:val="63C96D02"/>
    <w:rsid w:val="66C7577B"/>
    <w:rsid w:val="6732466D"/>
    <w:rsid w:val="68404A07"/>
    <w:rsid w:val="6B1C1E0E"/>
    <w:rsid w:val="6C5F0204"/>
    <w:rsid w:val="6CED3A62"/>
    <w:rsid w:val="6D5E670D"/>
    <w:rsid w:val="724A54B2"/>
    <w:rsid w:val="72AE3C79"/>
    <w:rsid w:val="73FC7795"/>
    <w:rsid w:val="768E1E11"/>
    <w:rsid w:val="783E1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3"/>
    <w:basedOn w:val="1"/>
    <w:next w:val="1"/>
    <w:qFormat/>
    <w:uiPriority w:val="99"/>
    <w:pPr>
      <w:keepNext/>
      <w:keepLines/>
      <w:spacing w:before="260" w:after="260" w:line="416" w:lineRule="auto"/>
      <w:outlineLvl w:val="2"/>
    </w:pPr>
    <w:rPr>
      <w:b/>
      <w:sz w:val="32"/>
      <w:szCs w:val="20"/>
    </w:rPr>
  </w:style>
  <w:style w:type="paragraph" w:styleId="3">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99"/>
    <w:pPr>
      <w:spacing w:after="120"/>
    </w:pPr>
  </w:style>
  <w:style w:type="paragraph" w:customStyle="1" w:styleId="5">
    <w:name w:val="一级条标题"/>
    <w:basedOn w:val="6"/>
    <w:next w:val="7"/>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7">
    <w:name w:val="段"/>
    <w:basedOn w:val="1"/>
    <w:next w:val="1"/>
    <w:qFormat/>
    <w:uiPriority w:val="0"/>
    <w:pPr>
      <w:widowControl/>
      <w:autoSpaceDE w:val="0"/>
      <w:autoSpaceDN w:val="0"/>
      <w:ind w:firstLine="200" w:firstLineChars="200"/>
    </w:pPr>
    <w:rPr>
      <w:rFonts w:hint="eastAsia" w:ascii="宋体"/>
      <w:szCs w:val="20"/>
    </w:rPr>
  </w:style>
  <w:style w:type="paragraph" w:styleId="8">
    <w:name w:val="Block Text"/>
    <w:basedOn w:val="1"/>
    <w:unhideWhenUsed/>
    <w:qFormat/>
    <w:uiPriority w:val="99"/>
    <w:pPr>
      <w:spacing w:after="120"/>
      <w:ind w:left="1440" w:leftChars="700" w:right="1440" w:rightChars="700"/>
    </w:pPr>
    <w:rPr>
      <w:rFonts w:ascii="Calibri" w:hAnsi="Calibri"/>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toc 1"/>
    <w:basedOn w:val="1"/>
    <w:next w:val="1"/>
    <w:qFormat/>
    <w:uiPriority w:val="39"/>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题 11"/>
    <w:basedOn w:val="1"/>
    <w:next w:val="1"/>
    <w:qFormat/>
    <w:uiPriority w:val="0"/>
    <w:pPr>
      <w:keepNext/>
      <w:keepLines/>
      <w:spacing w:line="578" w:lineRule="auto"/>
      <w:jc w:val="center"/>
      <w:outlineLvl w:val="0"/>
    </w:pPr>
    <w:rPr>
      <w:rFonts w:eastAsia="新宋体"/>
      <w:b/>
      <w:bCs/>
      <w:sz w:val="30"/>
      <w:szCs w:val="44"/>
    </w:rPr>
  </w:style>
  <w:style w:type="paragraph" w:customStyle="1" w:styleId="16">
    <w:name w:val="文本块11"/>
    <w:basedOn w:val="1"/>
    <w:unhideWhenUsed/>
    <w:qFormat/>
    <w:uiPriority w:val="6"/>
    <w:pPr>
      <w:spacing w:after="120"/>
      <w:ind w:left="1440" w:right="1440"/>
    </w:pPr>
  </w:style>
  <w:style w:type="paragraph" w:customStyle="1" w:styleId="17">
    <w:name w:val="正文_0"/>
    <w:unhideWhenUsed/>
    <w:qFormat/>
    <w:uiPriority w:val="99"/>
    <w:rPr>
      <w:rFonts w:hint="eastAsia" w:ascii="Times New Roman" w:hAnsi="Times New Roman" w:eastAsia="宋体" w:cs="Times New Roman"/>
      <w:sz w:val="21"/>
      <w:lang w:val="en-US" w:eastAsia="zh-CN" w:bidi="ar-SA"/>
    </w:rPr>
  </w:style>
  <w:style w:type="paragraph" w:customStyle="1" w:styleId="18">
    <w:name w:val="列出段落2"/>
    <w:basedOn w:val="1"/>
    <w:qFormat/>
    <w:uiPriority w:val="34"/>
    <w:pPr>
      <w:ind w:firstLine="420" w:firstLineChars="200"/>
    </w:pPr>
  </w:style>
  <w:style w:type="character" w:customStyle="1" w:styleId="19">
    <w:name w:val="页眉 字符"/>
    <w:basedOn w:val="14"/>
    <w:link w:val="10"/>
    <w:qFormat/>
    <w:uiPriority w:val="0"/>
    <w:rPr>
      <w:rFonts w:ascii="Times New Roman" w:hAnsi="Times New Roman" w:eastAsia="宋体" w:cs="Times New Roman"/>
      <w:sz w:val="18"/>
      <w:szCs w:val="18"/>
    </w:rPr>
  </w:style>
  <w:style w:type="character" w:customStyle="1" w:styleId="20">
    <w:name w:val="页脚 字符"/>
    <w:basedOn w:val="14"/>
    <w:link w:val="9"/>
    <w:qFormat/>
    <w:uiPriority w:val="0"/>
    <w:rPr>
      <w:rFonts w:ascii="Times New Roman" w:hAnsi="Times New Roman" w:eastAsia="宋体" w:cs="Times New Roman"/>
      <w:sz w:val="18"/>
      <w:szCs w:val="18"/>
    </w:rPr>
  </w:style>
  <w:style w:type="paragraph" w:customStyle="1" w:styleId="21">
    <w:name w:val="无列表1"/>
    <w:semiHidden/>
    <w:qFormat/>
    <w:uiPriority w:val="0"/>
    <w:rPr>
      <w:rFonts w:ascii="Times New Roman" w:hAnsi="Times New Roman" w:eastAsia="宋体" w:cs="Times New Roman"/>
      <w:sz w:val="21"/>
      <w:szCs w:val="22"/>
      <w:lang w:val="en-US" w:eastAsia="zh-CN" w:bidi="ar-SA"/>
    </w:rPr>
  </w:style>
  <w:style w:type="paragraph" w:styleId="22">
    <w:name w:val="List Paragraph"/>
    <w:basedOn w:val="1"/>
    <w:unhideWhenUsed/>
    <w:qFormat/>
    <w:uiPriority w:val="99"/>
    <w:pPr>
      <w:ind w:firstLine="420" w:firstLineChars="200"/>
    </w:pPr>
  </w:style>
  <w:style w:type="paragraph" w:customStyle="1" w:styleId="23">
    <w:name w:val="_正文段落"/>
    <w:basedOn w:val="1"/>
    <w:qFormat/>
    <w:uiPriority w:val="0"/>
    <w:pPr>
      <w:spacing w:line="560" w:lineRule="exact"/>
      <w:ind w:firstLine="200"/>
    </w:pPr>
    <w:rPr>
      <w:rFonts w:ascii="Calibri" w:hAnsi="Calibri" w:eastAsia="仿宋_GB2312" w:cstheme="minorBidi"/>
      <w:color w:val="000000"/>
      <w:sz w:val="32"/>
    </w:rPr>
  </w:style>
  <w:style w:type="paragraph" w:customStyle="1" w:styleId="24">
    <w:name w:val="2"/>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4961</Words>
  <Characters>5096</Characters>
  <Lines>61</Lines>
  <Paragraphs>17</Paragraphs>
  <TotalTime>0</TotalTime>
  <ScaleCrop>false</ScaleCrop>
  <LinksUpToDate>false</LinksUpToDate>
  <CharactersWithSpaces>5135</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2025-11-28T08:13:00Z</dcterms:created>
  <dc:creator>一袭香的柏拉图</dc:creator>
  <cp:lastModifiedBy>储</cp:lastModifiedBy>
  <cp:lastPrinted>2025-12-11T09:58:00Z</cp:lastPrinted>
  <dcterms:modified xsi:type="dcterms:W3CDTF">2025-12-26T07:56:55Z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3A46A5B64CD240C1B416EB39F59226DF</vt:lpwstr>
  </property>
  <property fmtid="{D5CDD505-2E9C-101B-9397-08002B2CF9AE}" pid="4" name="KSOTemplateDocerSaveRecord">
    <vt:lpwstr>eyJoZGlkIjoiYTcwM2U4ZDIwMzM3YTI0YmRmOTMzNDQwMTE0MjM1ZGUiLCJ1c2VySWQiOiIzODc4NzkzMzcifQ==</vt:lpwstr>
  </property>
</Properties>
</file>