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ind w:firstLine="56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如有建议或意见，请以书面形式并加盖公章、注明联系人、联系方式，于2026年01月04日17:00之前送至我单位，逾期不受理（如邮寄，2026年01月04日17:00之后到达本公司的邮件将不再受理）。</w:t>
      </w:r>
    </w:p>
    <w:p>
      <w:pPr>
        <w:spacing w:line="312" w:lineRule="auto"/>
        <w:jc w:val="center"/>
        <w:rPr>
          <w:rFonts w:hint="eastAsia" w:ascii="宋体" w:hAnsi="宋体" w:eastAsia="宋体" w:cs="宋体"/>
          <w:b/>
          <w:bCs/>
          <w:sz w:val="28"/>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pPr>
        <w:pBdr>
          <w:top w:val="none" w:color="000000" w:sz="0" w:space="0"/>
          <w:left w:val="none" w:color="000000" w:sz="0" w:space="0"/>
          <w:bottom w:val="none" w:color="000000" w:sz="0" w:space="0"/>
          <w:right w:val="none" w:color="000000" w:sz="0" w:space="0"/>
        </w:pBdr>
        <w:spacing w:after="0" w:line="360" w:lineRule="auto"/>
        <w:jc w:val="center"/>
        <w:outlineLvl w:val="0"/>
        <w:rPr>
          <w:rFonts w:hint="eastAsia" w:ascii="宋体" w:hAnsi="宋体" w:cs="新宋体"/>
          <w:b/>
          <w:color w:val="auto"/>
          <w:sz w:val="32"/>
          <w:szCs w:val="32"/>
          <w:lang w:eastAsia="zh-CN"/>
        </w:rPr>
      </w:pPr>
      <w:r>
        <w:rPr>
          <w:rFonts w:ascii="宋体" w:hAnsi="宋体" w:cs="新宋体"/>
          <w:b/>
          <w:color w:val="auto"/>
          <w:sz w:val="36"/>
          <w:szCs w:val="36"/>
          <w:lang w:eastAsia="zh-CN"/>
        </w:rPr>
        <w:t>采购需求</w:t>
      </w:r>
    </w:p>
    <w:p>
      <w:pPr>
        <w:numPr>
          <w:ilvl w:val="0"/>
          <w:numId w:val="2"/>
        </w:numPr>
        <w:spacing w:line="520" w:lineRule="exact"/>
        <w:ind w:firstLine="422" w:firstLineChars="200"/>
        <w:jc w:val="both"/>
        <w:rPr>
          <w:rFonts w:hint="eastAsia" w:ascii="宋体" w:hAnsi="宋体" w:eastAsia="宋体" w:cs="宋体"/>
          <w:b/>
          <w:bCs/>
          <w:color w:val="auto"/>
          <w:sz w:val="24"/>
          <w:szCs w:val="24"/>
          <w:lang w:val="en-US" w:eastAsia="zh-CN" w:bidi="ar-SA"/>
        </w:rPr>
      </w:pPr>
      <w:bookmarkStart w:id="0" w:name="_Toc7141"/>
      <w:bookmarkStart w:id="1" w:name="_Toc11686"/>
      <w:bookmarkStart w:id="2" w:name="_Toc11365"/>
      <w:bookmarkStart w:id="3" w:name="_Toc18101"/>
      <w:r>
        <w:rPr>
          <w:rFonts w:hint="eastAsia" w:ascii="宋体" w:hAnsi="宋体" w:cs="宋体"/>
          <w:b/>
          <w:bCs/>
          <w:color w:val="auto"/>
          <w:sz w:val="21"/>
          <w:szCs w:val="21"/>
          <w:lang w:val="en-US" w:eastAsia="zh-CN" w:bidi="ar-SA"/>
        </w:rPr>
        <w:t>采购预算</w:t>
      </w:r>
    </w:p>
    <w:p>
      <w:pPr>
        <w:numPr>
          <w:ilvl w:val="-1"/>
          <w:numId w:val="0"/>
        </w:numPr>
        <w:spacing w:line="500" w:lineRule="exact"/>
        <w:ind w:firstLine="422" w:firstLineChars="20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本项目</w:t>
      </w:r>
      <w:bookmarkStart w:id="4" w:name="OLE_LINK2"/>
      <w:r>
        <w:rPr>
          <w:rFonts w:hint="eastAsia" w:ascii="宋体" w:hAnsi="宋体" w:eastAsia="宋体" w:cs="宋体"/>
          <w:b/>
          <w:bCs/>
          <w:color w:val="auto"/>
          <w:sz w:val="21"/>
          <w:szCs w:val="21"/>
          <w:lang w:val="en-US" w:eastAsia="zh-CN" w:bidi="ar-SA"/>
        </w:rPr>
        <w:t>不接受超过81.00万元</w:t>
      </w:r>
      <w:bookmarkEnd w:id="4"/>
      <w:r>
        <w:rPr>
          <w:rFonts w:hint="eastAsia" w:ascii="宋体" w:hAnsi="宋体" w:eastAsia="宋体" w:cs="宋体"/>
          <w:b/>
          <w:bCs/>
          <w:color w:val="auto"/>
          <w:sz w:val="21"/>
          <w:szCs w:val="21"/>
          <w:lang w:val="en-US" w:eastAsia="zh-CN" w:bidi="ar-SA"/>
        </w:rPr>
        <w:t>（采购项目预算金额）的投标报价。</w:t>
      </w:r>
    </w:p>
    <w:p>
      <w:pPr>
        <w:numPr>
          <w:ilvl w:val="-1"/>
          <w:numId w:val="0"/>
        </w:numPr>
        <w:spacing w:line="500" w:lineRule="exact"/>
        <w:ind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lang w:val="en-US" w:eastAsia="zh-CN" w:bidi="ar-SA"/>
        </w:rPr>
        <w:t>其中采购包一不接受超过</w:t>
      </w:r>
      <w:r>
        <w:rPr>
          <w:rFonts w:hint="eastAsia" w:ascii="宋体" w:hAnsi="宋体" w:cs="宋体"/>
          <w:b/>
          <w:bCs/>
          <w:color w:val="auto"/>
          <w:sz w:val="21"/>
          <w:szCs w:val="21"/>
          <w:highlight w:val="none"/>
          <w:lang w:val="en-US" w:eastAsia="zh-CN" w:bidi="ar-SA"/>
        </w:rPr>
        <w:t>45</w:t>
      </w:r>
      <w:r>
        <w:rPr>
          <w:rFonts w:hint="eastAsia" w:ascii="宋体" w:hAnsi="宋体" w:eastAsia="宋体" w:cs="宋体"/>
          <w:b/>
          <w:bCs/>
          <w:color w:val="auto"/>
          <w:sz w:val="21"/>
          <w:szCs w:val="21"/>
          <w:highlight w:val="none"/>
          <w:lang w:val="en-US" w:eastAsia="zh-CN" w:bidi="ar-SA"/>
        </w:rPr>
        <w:t>万元的投标报价，采购包一涉及高流、耀南、夏塘、沟埃、华丰、老范、石涧、官王等8个村，为牵头采购包；采购包二不接受超过</w:t>
      </w:r>
      <w:r>
        <w:rPr>
          <w:rFonts w:hint="eastAsia" w:ascii="宋体" w:hAnsi="宋体" w:cs="宋体"/>
          <w:b/>
          <w:bCs/>
          <w:color w:val="auto"/>
          <w:sz w:val="21"/>
          <w:szCs w:val="21"/>
          <w:highlight w:val="none"/>
          <w:lang w:val="en-US" w:eastAsia="zh-CN" w:bidi="ar-SA"/>
        </w:rPr>
        <w:t>36</w:t>
      </w:r>
      <w:r>
        <w:rPr>
          <w:rFonts w:hint="eastAsia" w:ascii="宋体" w:hAnsi="宋体" w:eastAsia="宋体" w:cs="宋体"/>
          <w:b/>
          <w:bCs/>
          <w:color w:val="auto"/>
          <w:sz w:val="21"/>
          <w:szCs w:val="21"/>
          <w:highlight w:val="none"/>
          <w:lang w:val="en-US" w:eastAsia="zh-CN" w:bidi="ar-SA"/>
        </w:rPr>
        <w:t>万元的投标报价，采购包二涉及三岔、高一、程徐、岭西、高二、黑沙墩等6个村。</w:t>
      </w:r>
    </w:p>
    <w:p>
      <w:pPr>
        <w:numPr>
          <w:ilvl w:val="0"/>
          <w:numId w:val="0"/>
        </w:numPr>
        <w:spacing w:line="500" w:lineRule="exact"/>
        <w:ind w:firstLine="420" w:firstLineChars="200"/>
        <w:jc w:val="both"/>
        <w:rPr>
          <w:rFonts w:hint="eastAsia" w:ascii="宋体" w:hAnsi="宋体" w:eastAsia="宋体" w:cs="宋体"/>
          <w:b/>
          <w:bCs/>
          <w:color w:val="auto"/>
          <w:sz w:val="24"/>
          <w:szCs w:val="24"/>
          <w:lang w:val="en-US" w:eastAsia="zh-CN" w:bidi="ar-SA"/>
        </w:rPr>
      </w:pPr>
      <w:r>
        <w:rPr>
          <w:rFonts w:hint="eastAsia" w:ascii="宋体" w:hAnsi="宋体" w:eastAsia="宋体" w:cs="宋体"/>
          <w:b w:val="0"/>
          <w:bCs w:val="0"/>
          <w:color w:val="auto"/>
          <w:sz w:val="21"/>
          <w:szCs w:val="21"/>
          <w:lang w:val="en-US" w:eastAsia="zh-CN" w:bidi="ar-SA"/>
        </w:rPr>
        <w:t>报价包含完成该采购项目的直接成本（所有人员、包括人员工资、差旅费、误餐费、补助费、津贴、社保、医保、人身保险费用、通讯及交通费等，用于本项目人员的其他专项开支等）、间接成本（公司管理人员工资、行政办公费、业务培训费等）、税金、利润等完成本工作所需的全部费用。应考虑人员、物资（含设备、耗材及正版软件等）、税收、保险、利润和物价等一切因素，采购人不再支付与本项目有关的其他任何工作费用（包括附加工作、额外工作、延期等）等政策性文件规定费用以及在交付合法有效使用过程中的一切不可预见费用。</w:t>
      </w:r>
    </w:p>
    <w:p>
      <w:pPr>
        <w:numPr>
          <w:ilvl w:val="0"/>
          <w:numId w:val="0"/>
        </w:numPr>
        <w:spacing w:line="400" w:lineRule="exact"/>
        <w:ind w:firstLine="482" w:firstLineChars="200"/>
        <w:jc w:val="both"/>
        <w:rPr>
          <w:rFonts w:hint="eastAsia" w:ascii="宋体" w:hAnsi="宋体" w:cs="宋体"/>
          <w:b/>
          <w:bCs/>
          <w:color w:val="auto"/>
          <w:sz w:val="24"/>
          <w:szCs w:val="24"/>
          <w:lang w:eastAsia="zh-CN"/>
        </w:rPr>
      </w:pPr>
      <w:r>
        <w:rPr>
          <w:rFonts w:hint="eastAsia" w:ascii="宋体" w:hAnsi="宋体" w:cs="宋体"/>
          <w:b/>
          <w:bCs/>
          <w:color w:val="auto"/>
          <w:sz w:val="24"/>
          <w:szCs w:val="24"/>
          <w:lang w:val="en-US" w:eastAsia="zh-CN" w:bidi="ar-SA"/>
        </w:rPr>
        <w:t>二</w:t>
      </w:r>
      <w:r>
        <w:rPr>
          <w:rFonts w:hint="eastAsia" w:ascii="宋体" w:hAnsi="宋体" w:eastAsia="宋体" w:cs="宋体"/>
          <w:b/>
          <w:bCs/>
          <w:color w:val="auto"/>
          <w:sz w:val="24"/>
          <w:szCs w:val="24"/>
          <w:lang w:val="en-US" w:eastAsia="zh-CN" w:bidi="ar-SA"/>
        </w:rPr>
        <w:t>、</w:t>
      </w:r>
      <w:r>
        <w:rPr>
          <w:rFonts w:hint="eastAsia" w:ascii="宋体" w:hAnsi="宋体" w:eastAsia="宋体" w:cs="宋体"/>
          <w:b/>
          <w:bCs/>
          <w:color w:val="auto"/>
          <w:sz w:val="21"/>
          <w:szCs w:val="21"/>
          <w:lang w:eastAsia="zh-CN"/>
        </w:rPr>
        <w:t>项目名称</w:t>
      </w:r>
      <w:bookmarkStart w:id="5" w:name="OLE_LINK1"/>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新沂市高流镇2025年第二轮土地承包到期后再延长30年试点项目</w:t>
      </w:r>
      <w:bookmarkEnd w:id="5"/>
    </w:p>
    <w:p>
      <w:pPr>
        <w:spacing w:after="200" w:line="400" w:lineRule="exact"/>
        <w:ind w:firstLine="482" w:firstLineChars="200"/>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4"/>
          <w:szCs w:val="24"/>
          <w:lang w:val="en-US" w:eastAsia="zh-CN" w:bidi="ar-SA"/>
        </w:rPr>
        <w:t>三、</w:t>
      </w:r>
      <w:r>
        <w:rPr>
          <w:rFonts w:hint="eastAsia" w:ascii="宋体" w:hAnsi="宋体" w:eastAsia="宋体" w:cs="宋体"/>
          <w:b/>
          <w:bCs/>
          <w:color w:val="auto"/>
          <w:sz w:val="21"/>
          <w:szCs w:val="21"/>
          <w:lang w:val="en-US" w:eastAsia="zh-CN" w:bidi="ar-SA"/>
        </w:rPr>
        <w:t>服务期限</w:t>
      </w:r>
    </w:p>
    <w:p>
      <w:pPr>
        <w:spacing w:after="200" w:line="400" w:lineRule="exact"/>
        <w:ind w:firstLine="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延包履行期限为180天。</w:t>
      </w:r>
    </w:p>
    <w:p>
      <w:pPr>
        <w:spacing w:line="400" w:lineRule="exact"/>
        <w:ind w:firstLine="482"/>
        <w:rPr>
          <w:rFonts w:hint="eastAsia" w:ascii="宋体" w:hAnsi="宋体" w:cs="宋体"/>
          <w:b/>
          <w:bCs/>
          <w:color w:val="auto"/>
          <w:sz w:val="24"/>
          <w:szCs w:val="24"/>
          <w:lang w:eastAsia="zh-CN"/>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1"/>
          <w:szCs w:val="21"/>
          <w:lang w:eastAsia="zh-CN"/>
        </w:rPr>
        <w:t>采购内容</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（一）建设背景</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2019年11月26日，中共中央、国务院发布《关于保持土地承包关系稳定并长久不变的意见》，明确保持土地集体所有、家庭承包经营的基本制度长久不变、保持农户依法承包集体土地的基本权利长久不变，同时在第二轮土地承包到期后再延长三十年。</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按照省农业农村厅《关于组织开展第二轮土地承包到期后再延长三十年省级试点申报工作的通知》（苏农委办〔2024〕4号）、省财政厅《关于下达2025年土地二轮延包试点专项资金的</w:t>
      </w:r>
      <w:r>
        <w:rPr>
          <w:rFonts w:hint="eastAsia" w:ascii="宋体" w:hAnsi="宋体" w:cs="宋体"/>
          <w:color w:val="auto"/>
          <w:sz w:val="21"/>
          <w:szCs w:val="21"/>
          <w:lang w:val="en-US" w:eastAsia="zh-CN"/>
        </w:rPr>
        <w:t>通知</w:t>
      </w:r>
      <w:r>
        <w:rPr>
          <w:rFonts w:hint="eastAsia" w:ascii="宋体" w:hAnsi="宋体" w:cs="宋体"/>
          <w:color w:val="auto"/>
          <w:sz w:val="21"/>
          <w:szCs w:val="21"/>
          <w:lang w:eastAsia="zh-CN"/>
        </w:rPr>
        <w:t>》（苏财农改〔2025〕14号）、农业农村部国家档案局关于印发《第二轮土地承包到期后再延长30年试点工作档案管理办法》</w:t>
      </w:r>
      <w:r>
        <w:rPr>
          <w:rFonts w:hint="eastAsia" w:ascii="宋体" w:hAnsi="宋体" w:cs="宋体"/>
          <w:strike w:val="0"/>
          <w:color w:val="auto"/>
          <w:sz w:val="21"/>
          <w:szCs w:val="21"/>
          <w:lang w:val="en-US" w:eastAsia="zh-CN"/>
        </w:rPr>
        <w:t>等</w:t>
      </w:r>
      <w:r>
        <w:rPr>
          <w:rFonts w:hint="eastAsia" w:ascii="宋体" w:hAnsi="宋体" w:cs="宋体"/>
          <w:color w:val="auto"/>
          <w:sz w:val="21"/>
          <w:szCs w:val="21"/>
          <w:lang w:eastAsia="zh-CN"/>
        </w:rPr>
        <w:t>文件要求，我市以高流镇为第一批试点镇稳步推进第二轮土地承包到期后再延长30年试点工作。</w:t>
      </w:r>
    </w:p>
    <w:p>
      <w:pPr>
        <w:widowControl w:val="0"/>
        <w:spacing w:line="400" w:lineRule="exact"/>
        <w:ind w:firstLine="482"/>
        <w:rPr>
          <w:rFonts w:hint="eastAsia" w:ascii="宋体" w:hAnsi="宋体" w:cs="宋体"/>
          <w:color w:val="auto"/>
          <w:sz w:val="21"/>
          <w:szCs w:val="21"/>
          <w:lang w:eastAsia="zh-CN"/>
        </w:rPr>
      </w:pPr>
      <w:r>
        <w:rPr>
          <w:rFonts w:hint="eastAsia" w:ascii="宋体" w:hAnsi="宋体" w:cs="宋体"/>
          <w:color w:val="auto"/>
          <w:sz w:val="21"/>
          <w:szCs w:val="21"/>
          <w:lang w:eastAsia="zh-CN"/>
        </w:rPr>
        <w:t>（二）建设目标</w:t>
      </w:r>
    </w:p>
    <w:p>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根据《关于做好2025年第二轮土地承包到期后再延长30年试点工作的通知》，按照试点方案，现需聘请具备资质的第三方，对高流镇的延包试点工作进行服务，包括但不限于：摸底调查和资料收集整理、信息核对、实测指界、补充测绘（含测绘数据入库）、制定延包方案、延包数据处理、公示培训、合同签订（含网签业务指导培训、网签系统维护、网签相关材料收集及业务数据处理等）、资料输出打印、数据汇交、档案资料完善和整理等。确保采购人完成上级部门要求的数据整合及汇交等工作，并且完成与不动产登记管理部门的对接工作。</w:t>
      </w:r>
      <w:bookmarkEnd w:id="0"/>
      <w:bookmarkEnd w:id="1"/>
      <w:bookmarkEnd w:id="2"/>
      <w:bookmarkEnd w:id="3"/>
    </w:p>
    <w:p>
      <w:pPr>
        <w:spacing w:line="400" w:lineRule="exact"/>
        <w:ind w:firstLine="482"/>
        <w:rPr>
          <w:rFonts w:hint="eastAsia" w:ascii="宋体" w:hAnsi="宋体" w:eastAsia="宋体" w:cs="宋体"/>
          <w:b/>
          <w:bCs/>
          <w:color w:val="auto"/>
          <w:sz w:val="21"/>
          <w:szCs w:val="21"/>
          <w:lang w:eastAsia="zh-CN"/>
        </w:rPr>
      </w:pPr>
      <w:r>
        <w:rPr>
          <w:rFonts w:hint="eastAsia" w:ascii="宋体" w:hAnsi="宋体" w:cs="宋体"/>
          <w:b/>
          <w:bCs/>
          <w:color w:val="auto"/>
          <w:sz w:val="24"/>
          <w:szCs w:val="24"/>
          <w:lang w:eastAsia="zh-CN"/>
        </w:rPr>
        <w:t>五</w:t>
      </w:r>
      <w:r>
        <w:rPr>
          <w:rFonts w:hint="eastAsia" w:ascii="宋体" w:hAnsi="宋体" w:cs="宋体"/>
          <w:b/>
          <w:bCs/>
          <w:color w:val="auto"/>
          <w:sz w:val="24"/>
          <w:szCs w:val="24"/>
        </w:rPr>
        <w:t>、</w:t>
      </w:r>
      <w:r>
        <w:rPr>
          <w:rFonts w:hint="eastAsia" w:ascii="宋体" w:hAnsi="宋体" w:eastAsia="宋体" w:cs="宋体"/>
          <w:b/>
          <w:bCs/>
          <w:color w:val="auto"/>
          <w:sz w:val="21"/>
          <w:szCs w:val="21"/>
          <w:lang w:eastAsia="zh-CN"/>
        </w:rPr>
        <w:t>项目要求具体如下</w:t>
      </w:r>
    </w:p>
    <w:tbl>
      <w:tblPr>
        <w:tblStyle w:val="19"/>
        <w:tblpPr w:leftFromText="180" w:rightFromText="180" w:vertAnchor="text" w:tblpXSpec="center" w:tblpY="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3"/>
        <w:gridCol w:w="1468"/>
        <w:gridCol w:w="5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83" w:type="dxa"/>
            <w:vAlign w:val="center"/>
          </w:tcPr>
          <w:p>
            <w:pPr>
              <w:widowControl w:val="0"/>
              <w:spacing w:line="300" w:lineRule="exact"/>
              <w:rPr>
                <w:color w:val="auto"/>
                <w:sz w:val="18"/>
                <w:szCs w:val="18"/>
              </w:rPr>
            </w:pPr>
            <w:r>
              <w:rPr>
                <w:rFonts w:hint="eastAsia"/>
                <w:color w:val="auto"/>
                <w:sz w:val="18"/>
                <w:szCs w:val="18"/>
              </w:rPr>
              <w:t>序号</w:t>
            </w:r>
          </w:p>
        </w:tc>
        <w:tc>
          <w:tcPr>
            <w:tcW w:w="1468" w:type="dxa"/>
            <w:vAlign w:val="center"/>
          </w:tcPr>
          <w:p>
            <w:pPr>
              <w:widowControl w:val="0"/>
              <w:spacing w:line="300" w:lineRule="exact"/>
              <w:jc w:val="center"/>
              <w:rPr>
                <w:color w:val="auto"/>
                <w:sz w:val="18"/>
                <w:szCs w:val="18"/>
              </w:rPr>
            </w:pPr>
            <w:r>
              <w:rPr>
                <w:rFonts w:hint="eastAsia"/>
                <w:color w:val="auto"/>
                <w:sz w:val="18"/>
                <w:szCs w:val="18"/>
              </w:rPr>
              <w:t>工作程序</w:t>
            </w:r>
          </w:p>
        </w:tc>
        <w:tc>
          <w:tcPr>
            <w:tcW w:w="5637" w:type="dxa"/>
            <w:vAlign w:val="center"/>
          </w:tcPr>
          <w:p>
            <w:pPr>
              <w:widowControl w:val="0"/>
              <w:spacing w:line="300" w:lineRule="exact"/>
              <w:jc w:val="center"/>
              <w:rPr>
                <w:color w:val="auto"/>
                <w:sz w:val="18"/>
                <w:szCs w:val="18"/>
              </w:rPr>
            </w:pPr>
            <w:r>
              <w:rPr>
                <w:rFonts w:hint="eastAsia"/>
                <w:color w:val="auto"/>
                <w:sz w:val="18"/>
                <w:szCs w:val="18"/>
              </w:rPr>
              <w:t>具体工作描述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1</w:t>
            </w:r>
          </w:p>
        </w:tc>
        <w:tc>
          <w:tcPr>
            <w:tcW w:w="1468" w:type="dxa"/>
            <w:vAlign w:val="center"/>
          </w:tcPr>
          <w:p>
            <w:pPr>
              <w:widowControl w:val="0"/>
              <w:spacing w:line="300" w:lineRule="exact"/>
              <w:rPr>
                <w:color w:val="auto"/>
                <w:sz w:val="18"/>
                <w:szCs w:val="18"/>
                <w:lang w:eastAsia="zh-CN"/>
              </w:rPr>
            </w:pPr>
            <w:r>
              <w:rPr>
                <w:rFonts w:hint="eastAsia"/>
                <w:color w:val="auto"/>
                <w:sz w:val="18"/>
                <w:szCs w:val="18"/>
                <w:lang w:eastAsia="zh-CN"/>
              </w:rPr>
              <w:t>方案及培训</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协助编制试点工作方案，成立延包工作小组，依据上级工作安排及新沂市土地第二轮承包到期后再延长30年试点工作情况制定技术方案，协助开展镇、村技术培训和宣传工作。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rFonts w:hint="eastAsia" w:eastAsia="宋体"/>
                <w:color w:val="auto"/>
                <w:sz w:val="18"/>
                <w:szCs w:val="18"/>
                <w:lang w:eastAsia="zh-CN"/>
              </w:rPr>
            </w:pPr>
            <w:r>
              <w:rPr>
                <w:rFonts w:hint="eastAsia"/>
                <w:color w:val="auto"/>
                <w:sz w:val="18"/>
                <w:szCs w:val="18"/>
                <w:lang w:val="en-US" w:eastAsia="zh-CN"/>
              </w:rPr>
              <w:t>2</w:t>
            </w:r>
          </w:p>
        </w:tc>
        <w:tc>
          <w:tcPr>
            <w:tcW w:w="1468" w:type="dxa"/>
            <w:vAlign w:val="center"/>
          </w:tcPr>
          <w:p>
            <w:pPr>
              <w:widowControl w:val="0"/>
              <w:spacing w:line="300" w:lineRule="exact"/>
              <w:rPr>
                <w:color w:val="auto"/>
                <w:sz w:val="18"/>
                <w:szCs w:val="18"/>
                <w:lang w:eastAsia="zh-CN"/>
              </w:rPr>
            </w:pPr>
            <w:r>
              <w:rPr>
                <w:rFonts w:hint="eastAsia"/>
                <w:color w:val="auto"/>
                <w:sz w:val="18"/>
                <w:szCs w:val="18"/>
              </w:rPr>
              <w:t>资料收集</w:t>
            </w:r>
            <w:r>
              <w:rPr>
                <w:rFonts w:hint="eastAsia"/>
                <w:color w:val="auto"/>
                <w:sz w:val="18"/>
                <w:szCs w:val="18"/>
                <w:lang w:eastAsia="zh-CN"/>
              </w:rPr>
              <w:t>整理</w:t>
            </w:r>
          </w:p>
        </w:tc>
        <w:tc>
          <w:tcPr>
            <w:tcW w:w="5637" w:type="dxa"/>
            <w:vAlign w:val="center"/>
          </w:tcPr>
          <w:p>
            <w:pPr>
              <w:widowControl w:val="0"/>
              <w:spacing w:line="300" w:lineRule="exact"/>
              <w:jc w:val="left"/>
              <w:rPr>
                <w:color w:val="auto"/>
                <w:sz w:val="18"/>
                <w:szCs w:val="18"/>
                <w:lang w:eastAsia="zh-CN"/>
              </w:rPr>
            </w:pPr>
            <w:r>
              <w:rPr>
                <w:rFonts w:hint="eastAsia"/>
                <w:color w:val="auto"/>
                <w:sz w:val="18"/>
                <w:szCs w:val="18"/>
                <w:lang w:eastAsia="zh-CN"/>
              </w:rPr>
              <w:t>收集最新的行政区划数据、农村土地承包经营权确权登记颁证成果、农村集体产权制度改革成果以及近年来农村土地流转、征收、变更等形成的成果资料。收集整理延包中各阶段形成的文字、图标、声像、数据等文件材料；收集作业区域范围内行政区划名称、最新区划代码、最新的影像图和既有的农村土地承包经营权数据库影像图、汇交库，各类调查表、统计表等，为资料完整做好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3</w:t>
            </w:r>
          </w:p>
        </w:tc>
        <w:tc>
          <w:tcPr>
            <w:tcW w:w="1468" w:type="dxa"/>
            <w:vAlign w:val="center"/>
          </w:tcPr>
          <w:p>
            <w:pPr>
              <w:widowControl w:val="0"/>
              <w:spacing w:line="300" w:lineRule="exact"/>
              <w:rPr>
                <w:color w:val="auto"/>
                <w:sz w:val="18"/>
                <w:szCs w:val="18"/>
              </w:rPr>
            </w:pPr>
            <w:r>
              <w:rPr>
                <w:rFonts w:hint="eastAsia"/>
                <w:color w:val="auto"/>
                <w:sz w:val="18"/>
                <w:szCs w:val="18"/>
                <w:lang w:eastAsia="zh-CN"/>
              </w:rPr>
              <w:t>开展</w:t>
            </w:r>
            <w:r>
              <w:rPr>
                <w:rFonts w:hint="eastAsia"/>
                <w:color w:val="auto"/>
                <w:sz w:val="18"/>
                <w:szCs w:val="18"/>
              </w:rPr>
              <w:t>摸底核实</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协助指导村、组开展摸底调查工作，全面摸清各村、组第二轮土地承包以来家庭承包人口及承包地变化情况，整户消亡、外嫁女、“五保户”、全家进城落户以及整户无地等情况，承包地确权登记颁证情况，村集体土地利用现状和机动地等情况，矛盾纠纷和历史遗留问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4</w:t>
            </w:r>
          </w:p>
        </w:tc>
        <w:tc>
          <w:tcPr>
            <w:tcW w:w="1468" w:type="dxa"/>
            <w:vAlign w:val="center"/>
          </w:tcPr>
          <w:p>
            <w:pPr>
              <w:widowControl w:val="0"/>
              <w:spacing w:line="300" w:lineRule="exact"/>
              <w:rPr>
                <w:color w:val="auto"/>
                <w:sz w:val="18"/>
                <w:szCs w:val="18"/>
              </w:rPr>
            </w:pPr>
            <w:r>
              <w:rPr>
                <w:rFonts w:hint="eastAsia"/>
                <w:color w:val="auto"/>
                <w:sz w:val="18"/>
                <w:szCs w:val="18"/>
              </w:rPr>
              <w:t>信息</w:t>
            </w:r>
            <w:r>
              <w:rPr>
                <w:rFonts w:hint="eastAsia"/>
                <w:color w:val="auto"/>
                <w:sz w:val="18"/>
                <w:szCs w:val="18"/>
                <w:lang w:eastAsia="zh-CN"/>
              </w:rPr>
              <w:t>分</w:t>
            </w:r>
            <w:r>
              <w:rPr>
                <w:rFonts w:hint="eastAsia"/>
                <w:color w:val="auto"/>
                <w:sz w:val="18"/>
                <w:szCs w:val="18"/>
              </w:rPr>
              <w:t>类处理</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根据摸底调查情况，做好直接输出成果、内业图形属性修改后输出成果、需外业实测重新确权或增</w:t>
            </w:r>
            <w:r>
              <w:rPr>
                <w:rFonts w:hint="eastAsia"/>
                <w:color w:val="auto"/>
                <w:sz w:val="18"/>
                <w:szCs w:val="18"/>
                <w:highlight w:val="none"/>
                <w:lang w:eastAsia="zh-CN"/>
              </w:rPr>
              <w:t>人</w:t>
            </w:r>
            <w:r>
              <w:rPr>
                <w:rFonts w:hint="eastAsia"/>
                <w:color w:val="auto"/>
                <w:sz w:val="18"/>
                <w:szCs w:val="18"/>
                <w:lang w:eastAsia="zh-CN"/>
              </w:rPr>
              <w:t>确权三种类型的数据梳理和信息核对工作。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5</w:t>
            </w:r>
          </w:p>
        </w:tc>
        <w:tc>
          <w:tcPr>
            <w:tcW w:w="1468" w:type="dxa"/>
            <w:vAlign w:val="center"/>
          </w:tcPr>
          <w:p>
            <w:pPr>
              <w:widowControl w:val="0"/>
              <w:spacing w:line="300" w:lineRule="exact"/>
              <w:rPr>
                <w:color w:val="auto"/>
                <w:sz w:val="18"/>
                <w:szCs w:val="18"/>
              </w:rPr>
            </w:pPr>
            <w:r>
              <w:rPr>
                <w:rFonts w:hint="eastAsia"/>
                <w:color w:val="auto"/>
                <w:sz w:val="18"/>
                <w:szCs w:val="18"/>
              </w:rPr>
              <w:t>制定</w:t>
            </w:r>
            <w:r>
              <w:rPr>
                <w:rFonts w:hint="eastAsia"/>
                <w:color w:val="auto"/>
                <w:sz w:val="18"/>
                <w:szCs w:val="18"/>
                <w:lang w:eastAsia="zh-CN"/>
              </w:rPr>
              <w:t>延包</w:t>
            </w:r>
            <w:r>
              <w:rPr>
                <w:rFonts w:hint="eastAsia"/>
                <w:color w:val="auto"/>
                <w:sz w:val="18"/>
                <w:szCs w:val="18"/>
              </w:rPr>
              <w:t>方案</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根据摸底后的数据，向高流镇提供制定二轮到期延包方案的数据支撑。指导村、组因地制宜、科学制定延包方案并提交上级审核。确保相关措施符合法律政策和实施方案要求。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6</w:t>
            </w:r>
          </w:p>
        </w:tc>
        <w:tc>
          <w:tcPr>
            <w:tcW w:w="1468" w:type="dxa"/>
            <w:vAlign w:val="center"/>
          </w:tcPr>
          <w:p>
            <w:pPr>
              <w:widowControl w:val="0"/>
              <w:spacing w:line="300" w:lineRule="exact"/>
              <w:rPr>
                <w:color w:val="auto"/>
                <w:sz w:val="18"/>
                <w:szCs w:val="18"/>
              </w:rPr>
            </w:pPr>
            <w:r>
              <w:rPr>
                <w:rFonts w:hint="eastAsia"/>
                <w:color w:val="auto"/>
                <w:sz w:val="18"/>
                <w:szCs w:val="18"/>
              </w:rPr>
              <w:t>开展调查</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根据摸底情况汇总统计需调查测绘的地块信息，安排外业补充测绘，并按原确权要求处理相关测绘数据。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Merge w:val="restart"/>
            <w:vAlign w:val="center"/>
          </w:tcPr>
          <w:p>
            <w:pPr>
              <w:widowControl w:val="0"/>
              <w:spacing w:line="300" w:lineRule="exact"/>
              <w:jc w:val="center"/>
              <w:rPr>
                <w:color w:val="auto"/>
                <w:sz w:val="18"/>
                <w:szCs w:val="18"/>
                <w:lang w:eastAsia="zh-CN"/>
              </w:rPr>
            </w:pPr>
            <w:r>
              <w:rPr>
                <w:rFonts w:hint="eastAsia"/>
                <w:color w:val="auto"/>
                <w:sz w:val="18"/>
                <w:szCs w:val="18"/>
                <w:lang w:eastAsia="zh-CN"/>
              </w:rPr>
              <w:t>7</w:t>
            </w:r>
          </w:p>
        </w:tc>
        <w:tc>
          <w:tcPr>
            <w:tcW w:w="1468" w:type="dxa"/>
            <w:vMerge w:val="restart"/>
            <w:vAlign w:val="center"/>
          </w:tcPr>
          <w:p>
            <w:pPr>
              <w:widowControl w:val="0"/>
              <w:spacing w:line="300" w:lineRule="exact"/>
              <w:rPr>
                <w:color w:val="auto"/>
                <w:sz w:val="18"/>
                <w:szCs w:val="18"/>
              </w:rPr>
            </w:pPr>
            <w:r>
              <w:rPr>
                <w:rFonts w:hint="eastAsia"/>
                <w:color w:val="auto"/>
                <w:sz w:val="18"/>
                <w:szCs w:val="18"/>
              </w:rPr>
              <w:t>数据修改入库</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按照《农村土地承包合同管理办法》《农村土地承包经营权调查规程》（NY/T2537-2014）等有关规定，以农村土地承包经营权成果为基础，对摸底调查表进行入户核实，开展承包经营权调查并修正、完善摸底调查表；对重新确权或新增</w:t>
            </w:r>
            <w:r>
              <w:rPr>
                <w:rFonts w:hint="eastAsia"/>
                <w:color w:val="auto"/>
                <w:sz w:val="18"/>
                <w:szCs w:val="18"/>
                <w:lang w:val="en-US" w:eastAsia="zh-CN"/>
              </w:rPr>
              <w:t>人</w:t>
            </w:r>
            <w:r>
              <w:rPr>
                <w:rFonts w:hint="eastAsia"/>
                <w:color w:val="auto"/>
                <w:sz w:val="18"/>
                <w:szCs w:val="18"/>
                <w:lang w:eastAsia="zh-CN"/>
              </w:rPr>
              <w:t>确权的数据调查、梳理和信息核对工作。结合摸底数据、二轮到期延包测绘数据、二轮到期延包方案处理、形成最终二轮到期延包数据，并以村为单位制作成质检无错误的汇交包，上传到网签系统；指导并培训其他合作单位处理二轮到期延包数据，统一工作方法及数据成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Merge w:val="continue"/>
            <w:vAlign w:val="center"/>
          </w:tcPr>
          <w:p>
            <w:pPr>
              <w:widowControl w:val="0"/>
              <w:spacing w:line="300" w:lineRule="exact"/>
              <w:jc w:val="center"/>
              <w:rPr>
                <w:color w:val="auto"/>
                <w:sz w:val="18"/>
                <w:szCs w:val="18"/>
                <w:lang w:eastAsia="zh-CN"/>
              </w:rPr>
            </w:pPr>
          </w:p>
        </w:tc>
        <w:tc>
          <w:tcPr>
            <w:tcW w:w="1468" w:type="dxa"/>
            <w:vMerge w:val="continue"/>
            <w:vAlign w:val="center"/>
          </w:tcPr>
          <w:p>
            <w:pPr>
              <w:widowControl w:val="0"/>
              <w:spacing w:line="300" w:lineRule="exact"/>
              <w:rPr>
                <w:color w:val="auto"/>
                <w:sz w:val="18"/>
                <w:szCs w:val="18"/>
                <w:lang w:eastAsia="zh-CN"/>
              </w:rPr>
            </w:pPr>
          </w:p>
        </w:tc>
        <w:tc>
          <w:tcPr>
            <w:tcW w:w="5637" w:type="dxa"/>
            <w:vAlign w:val="center"/>
          </w:tcPr>
          <w:p>
            <w:pPr>
              <w:widowControl w:val="0"/>
              <w:spacing w:line="300" w:lineRule="exact"/>
              <w:rPr>
                <w:color w:val="auto"/>
                <w:sz w:val="18"/>
                <w:szCs w:val="18"/>
              </w:rPr>
            </w:pPr>
            <w:r>
              <w:rPr>
                <w:rFonts w:hint="eastAsia"/>
                <w:color w:val="auto"/>
                <w:sz w:val="18"/>
                <w:szCs w:val="18"/>
                <w:lang w:eastAsia="zh-CN"/>
              </w:rPr>
              <w:t>根据外业指界、实测情况，进行内业图形修改、属性修改，将外业填写的统计表中的编号及其他信息填写到数据表中，并以地块编码为连接字段，将地块名称，权利人名称，合同面积，地类，等级等属性进行关联，将调查的地块与户籍信息关联挂接，补全界址点，界址线信息，建立形成完整的数据库。</w:t>
            </w:r>
            <w:r>
              <w:rPr>
                <w:rFonts w:hint="eastAsia"/>
                <w:color w:val="auto"/>
                <w:sz w:val="18"/>
                <w:szCs w:val="18"/>
              </w:rPr>
              <w:t>由</w:t>
            </w:r>
            <w:r>
              <w:rPr>
                <w:rFonts w:hint="eastAsia"/>
                <w:color w:val="auto"/>
                <w:sz w:val="18"/>
                <w:szCs w:val="18"/>
                <w:lang w:eastAsia="zh-CN"/>
              </w:rPr>
              <w:t>中标</w:t>
            </w:r>
            <w:r>
              <w:rPr>
                <w:rFonts w:hint="eastAsia"/>
                <w:color w:val="auto"/>
                <w:sz w:val="18"/>
                <w:szCs w:val="18"/>
              </w:rPr>
              <w:t>供应商完成录入承包合同平台工作。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8</w:t>
            </w:r>
          </w:p>
        </w:tc>
        <w:tc>
          <w:tcPr>
            <w:tcW w:w="1468" w:type="dxa"/>
            <w:vAlign w:val="center"/>
          </w:tcPr>
          <w:p>
            <w:pPr>
              <w:widowControl w:val="0"/>
              <w:spacing w:line="300" w:lineRule="exact"/>
              <w:rPr>
                <w:color w:val="auto"/>
                <w:sz w:val="18"/>
                <w:szCs w:val="18"/>
              </w:rPr>
            </w:pPr>
            <w:r>
              <w:rPr>
                <w:rFonts w:hint="eastAsia"/>
                <w:color w:val="auto"/>
                <w:sz w:val="18"/>
                <w:szCs w:val="18"/>
              </w:rPr>
              <w:t>资料输出打印</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根据最终的数据库成果，从系统中输出登记簿、承包方调查表、公示结果归户表、承包合同、地块示意图等图件表格成果，并按照要求份数进行打印。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5"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9</w:t>
            </w:r>
          </w:p>
        </w:tc>
        <w:tc>
          <w:tcPr>
            <w:tcW w:w="1468" w:type="dxa"/>
            <w:vAlign w:val="center"/>
          </w:tcPr>
          <w:p>
            <w:pPr>
              <w:widowControl w:val="0"/>
              <w:spacing w:line="300" w:lineRule="exact"/>
              <w:rPr>
                <w:color w:val="auto"/>
                <w:sz w:val="18"/>
                <w:szCs w:val="18"/>
              </w:rPr>
            </w:pPr>
            <w:r>
              <w:rPr>
                <w:rFonts w:hint="eastAsia"/>
                <w:color w:val="auto"/>
                <w:sz w:val="18"/>
                <w:szCs w:val="18"/>
              </w:rPr>
              <w:t>审核公示</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培训、指导并协助村组顺利开展二轮到期延包公示工作，按户输出公示调查表和地块位置图，将已经形成的调查成果交延包工作小组审核后进行公示。对相关权利人提出异议的，投标人会同延包工作小组应当进行核实、修正并再次公示，协助村组在承包地完善并修改相关内容，公示归户表要交由农户签字确认。在公示过程中若有信息变动的，在网签系统完善并修改相关内容（在高流镇不少于3人驻场，驻场时间不少于2个月，要求确保每村每周至少有2天驻村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10</w:t>
            </w:r>
          </w:p>
        </w:tc>
        <w:tc>
          <w:tcPr>
            <w:tcW w:w="1468" w:type="dxa"/>
            <w:vAlign w:val="center"/>
          </w:tcPr>
          <w:p>
            <w:pPr>
              <w:widowControl w:val="0"/>
              <w:spacing w:line="300" w:lineRule="exact"/>
              <w:jc w:val="left"/>
              <w:rPr>
                <w:color w:val="auto"/>
                <w:sz w:val="18"/>
                <w:szCs w:val="18"/>
                <w:lang w:eastAsia="zh-CN"/>
              </w:rPr>
            </w:pPr>
            <w:r>
              <w:rPr>
                <w:rFonts w:hint="eastAsia"/>
                <w:color w:val="auto"/>
                <w:sz w:val="18"/>
                <w:szCs w:val="18"/>
                <w:lang w:eastAsia="zh-CN"/>
              </w:rPr>
              <w:t>签订合同</w:t>
            </w:r>
          </w:p>
          <w:p>
            <w:pPr>
              <w:widowControl w:val="0"/>
              <w:spacing w:line="300" w:lineRule="exact"/>
              <w:jc w:val="left"/>
              <w:rPr>
                <w:color w:val="auto"/>
                <w:sz w:val="18"/>
                <w:szCs w:val="18"/>
                <w:lang w:eastAsia="zh-CN"/>
              </w:rPr>
            </w:pPr>
            <w:r>
              <w:rPr>
                <w:rFonts w:hint="eastAsia"/>
                <w:color w:val="auto"/>
                <w:sz w:val="18"/>
                <w:szCs w:val="18"/>
                <w:lang w:eastAsia="zh-CN"/>
              </w:rPr>
              <w:t>（网签技术指导）</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根据公示结果，明确二轮到期后延包的土地承包关系，更新农村土地承包信息数据，指导村级开展网签合同，主要内容包括生成延包合同、指导村级完成合同签订、承包合同扫描并上传至延包平台，网签数据库导入、技术培训。网签驻场技术服务（在高流镇不少于3人驻场，驻场时间不少于1个月，要求确保每村每周至少有2天驻村服务）；每半个月向镇、县级汇总上报网签工作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1</w:t>
            </w:r>
          </w:p>
        </w:tc>
        <w:tc>
          <w:tcPr>
            <w:tcW w:w="1468" w:type="dxa"/>
            <w:vAlign w:val="center"/>
          </w:tcPr>
          <w:p>
            <w:pPr>
              <w:widowControl w:val="0"/>
              <w:spacing w:line="300" w:lineRule="exact"/>
              <w:rPr>
                <w:color w:val="auto"/>
                <w:sz w:val="18"/>
                <w:szCs w:val="18"/>
              </w:rPr>
            </w:pPr>
            <w:r>
              <w:rPr>
                <w:rFonts w:hint="eastAsia"/>
                <w:color w:val="auto"/>
                <w:sz w:val="18"/>
                <w:szCs w:val="18"/>
              </w:rPr>
              <w:t>系统培训服务</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提供本采购包内镇、村、组相关工作人员针对平台的使用培训（集中培训不少于2次）。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83" w:type="dxa"/>
            <w:vAlign w:val="center"/>
          </w:tcPr>
          <w:p>
            <w:pPr>
              <w:widowControl w:val="0"/>
              <w:spacing w:line="300" w:lineRule="exact"/>
              <w:jc w:val="center"/>
              <w:rPr>
                <w:color w:val="auto"/>
                <w:sz w:val="18"/>
                <w:szCs w:val="18"/>
                <w:lang w:eastAsia="zh-CN"/>
              </w:rPr>
            </w:pPr>
            <w:r>
              <w:rPr>
                <w:rFonts w:hint="eastAsia"/>
                <w:color w:val="auto"/>
                <w:sz w:val="18"/>
                <w:szCs w:val="18"/>
                <w:lang w:eastAsia="zh-CN"/>
              </w:rPr>
              <w:t>12</w:t>
            </w:r>
          </w:p>
        </w:tc>
        <w:tc>
          <w:tcPr>
            <w:tcW w:w="1468" w:type="dxa"/>
            <w:vAlign w:val="center"/>
          </w:tcPr>
          <w:p>
            <w:pPr>
              <w:widowControl w:val="0"/>
              <w:spacing w:line="300" w:lineRule="exact"/>
              <w:rPr>
                <w:color w:val="auto"/>
                <w:sz w:val="18"/>
                <w:szCs w:val="18"/>
                <w:lang w:eastAsia="zh-CN"/>
              </w:rPr>
            </w:pPr>
            <w:r>
              <w:rPr>
                <w:rFonts w:hint="eastAsia"/>
                <w:color w:val="auto"/>
                <w:sz w:val="18"/>
                <w:szCs w:val="18"/>
                <w:lang w:eastAsia="zh-CN"/>
              </w:rPr>
              <w:t>不动产发证数据对接共享支持</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提供完整二轮到期延包成果数据交予不动产登记管理部门，协助甲方参与数据移交共享工作。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3</w:t>
            </w:r>
          </w:p>
        </w:tc>
        <w:tc>
          <w:tcPr>
            <w:tcW w:w="1468" w:type="dxa"/>
            <w:vAlign w:val="center"/>
          </w:tcPr>
          <w:p>
            <w:pPr>
              <w:widowControl w:val="0"/>
              <w:spacing w:line="300" w:lineRule="exact"/>
              <w:rPr>
                <w:color w:val="auto"/>
                <w:sz w:val="18"/>
                <w:szCs w:val="18"/>
              </w:rPr>
            </w:pPr>
            <w:r>
              <w:rPr>
                <w:rFonts w:hint="eastAsia"/>
                <w:color w:val="auto"/>
                <w:sz w:val="18"/>
                <w:szCs w:val="18"/>
              </w:rPr>
              <w:t>档案整理</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按照农业农村部和国家档案局档案关于延包档案试点管理办法要求，整理二轮到期延包档案材料（包括但不限于合同整理打印、签章图制作、归户表制作等延包中各阶段形成的文字、图标、声像、数据文件材料）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4</w:t>
            </w:r>
          </w:p>
        </w:tc>
        <w:tc>
          <w:tcPr>
            <w:tcW w:w="1468" w:type="dxa"/>
            <w:vAlign w:val="center"/>
          </w:tcPr>
          <w:p>
            <w:pPr>
              <w:widowControl w:val="0"/>
              <w:spacing w:line="300" w:lineRule="exact"/>
              <w:rPr>
                <w:color w:val="auto"/>
                <w:sz w:val="18"/>
                <w:szCs w:val="18"/>
              </w:rPr>
            </w:pPr>
            <w:r>
              <w:rPr>
                <w:rFonts w:hint="eastAsia"/>
                <w:color w:val="auto"/>
                <w:sz w:val="18"/>
                <w:szCs w:val="18"/>
              </w:rPr>
              <w:t>资料归档汇交</w:t>
            </w:r>
          </w:p>
        </w:tc>
        <w:tc>
          <w:tcPr>
            <w:tcW w:w="5637" w:type="dxa"/>
            <w:vAlign w:val="center"/>
          </w:tcPr>
          <w:p>
            <w:pPr>
              <w:widowControl w:val="0"/>
              <w:spacing w:line="300" w:lineRule="exact"/>
              <w:rPr>
                <w:color w:val="auto"/>
                <w:sz w:val="18"/>
                <w:szCs w:val="18"/>
                <w:lang w:eastAsia="zh-CN"/>
              </w:rPr>
            </w:pPr>
            <w:r>
              <w:rPr>
                <w:rFonts w:hint="eastAsia"/>
                <w:color w:val="auto"/>
                <w:sz w:val="18"/>
                <w:szCs w:val="18"/>
                <w:lang w:eastAsia="zh-CN"/>
              </w:rPr>
              <w:t>纸质材料成果档案，以镇、村、户为单位，中标供应商分别整理装袋提交甲方；电子档成果数据（包括测绘数据库、失量图、承包方和发包方信息等），中标供应商完成数据库合并，汇交甲方，并负责技术服务，无条件移交给高流镇，达到档案部门入馆要求。</w:t>
            </w:r>
          </w:p>
        </w:tc>
      </w:tr>
    </w:tbl>
    <w:p>
      <w:pPr>
        <w:widowControl w:val="0"/>
        <w:numPr>
          <w:ilvl w:val="0"/>
          <w:numId w:val="0"/>
        </w:numPr>
        <w:spacing w:line="460" w:lineRule="exact"/>
        <w:ind w:firstLine="482"/>
        <w:rPr>
          <w:rFonts w:hint="eastAsia" w:ascii="宋体" w:hAnsi="宋体" w:cs="宋体"/>
          <w:b/>
          <w:bCs/>
          <w:color w:val="auto"/>
          <w:sz w:val="24"/>
          <w:szCs w:val="24"/>
        </w:rPr>
      </w:pPr>
      <w:bookmarkStart w:id="6" w:name="_Toc17506"/>
      <w:bookmarkStart w:id="7" w:name="_Toc29554"/>
      <w:bookmarkStart w:id="8" w:name="_Toc3892"/>
      <w:bookmarkStart w:id="9" w:name="_Toc6398"/>
      <w:r>
        <w:rPr>
          <w:rFonts w:hint="eastAsia" w:ascii="宋体" w:hAnsi="宋体" w:cs="宋体"/>
          <w:b/>
          <w:bCs/>
          <w:color w:val="auto"/>
          <w:sz w:val="24"/>
          <w:szCs w:val="24"/>
          <w:lang w:val="en-US" w:eastAsia="zh-CN" w:bidi="ar-SA"/>
        </w:rPr>
        <w:t>六</w:t>
      </w:r>
      <w:r>
        <w:rPr>
          <w:rFonts w:hint="eastAsia" w:ascii="宋体" w:hAnsi="宋体" w:eastAsia="宋体" w:cs="宋体"/>
          <w:b/>
          <w:bCs/>
          <w:color w:val="auto"/>
          <w:sz w:val="24"/>
          <w:szCs w:val="24"/>
          <w:lang w:val="en-US" w:eastAsia="en-US" w:bidi="ar-SA"/>
        </w:rPr>
        <w:t>、</w:t>
      </w:r>
      <w:r>
        <w:rPr>
          <w:rFonts w:hint="eastAsia" w:ascii="宋体" w:hAnsi="宋体" w:eastAsia="宋体" w:cs="宋体"/>
          <w:b/>
          <w:bCs/>
          <w:color w:val="auto"/>
          <w:sz w:val="21"/>
          <w:szCs w:val="21"/>
          <w:lang w:eastAsia="zh-CN"/>
        </w:rPr>
        <w:t>项目工作量</w:t>
      </w:r>
      <w:bookmarkEnd w:id="6"/>
      <w:bookmarkEnd w:id="7"/>
      <w:bookmarkEnd w:id="8"/>
      <w:bookmarkEnd w:id="9"/>
    </w:p>
    <w:p>
      <w:pPr>
        <w:widowControl w:val="0"/>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高流镇第二轮土地承包到期后再延长30年试点工作，共涉及14个行政村，约12875户，土地面积约106079亩，</w:t>
      </w:r>
      <w:bookmarkStart w:id="10" w:name="_Toc11020"/>
      <w:bookmarkStart w:id="11" w:name="_Toc29926"/>
      <w:bookmarkStart w:id="12" w:name="_Toc9368"/>
      <w:bookmarkStart w:id="13" w:name="_Toc10007"/>
      <w:r>
        <w:rPr>
          <w:rFonts w:hint="eastAsia" w:ascii="宋体" w:hAnsi="宋体" w:cs="宋体"/>
          <w:color w:val="auto"/>
          <w:sz w:val="21"/>
          <w:szCs w:val="21"/>
          <w:lang w:eastAsia="zh-CN"/>
        </w:rPr>
        <w:t>分成两个采购包（即采购包</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CN"/>
        </w:rPr>
        <w:t>涉及高流、耀南、夏塘、沟埃、华丰、老范、石涧、官王等8个村，为牵头采购包；采购包</w:t>
      </w:r>
      <w:r>
        <w:rPr>
          <w:rFonts w:hint="eastAsia" w:ascii="宋体" w:hAnsi="宋体" w:cs="宋体"/>
          <w:color w:val="auto"/>
          <w:sz w:val="21"/>
          <w:szCs w:val="21"/>
          <w:lang w:val="en-US" w:eastAsia="zh-CN"/>
        </w:rPr>
        <w:t>二</w:t>
      </w:r>
      <w:r>
        <w:rPr>
          <w:rFonts w:hint="eastAsia" w:ascii="宋体" w:hAnsi="宋体" w:cs="宋体"/>
          <w:color w:val="auto"/>
          <w:sz w:val="21"/>
          <w:szCs w:val="21"/>
          <w:lang w:eastAsia="zh-CN"/>
        </w:rPr>
        <w:t>涉及三岔、高一、程徐、岭西、高二、黑沙墩等6个村），开展第二轮土地承包到期后再延长30年试点工作，包括但不限于：制定方案、业务培训、摸底核实、资料收集、实测指界、完善数据、审核公示、合同签定（含网签）、完善证书、数据汇交、档案归档（满足入馆要求）等工作。</w:t>
      </w:r>
    </w:p>
    <w:p>
      <w:pPr>
        <w:widowControl w:val="0"/>
        <w:spacing w:line="400" w:lineRule="exact"/>
        <w:ind w:firstLine="48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注：</w:t>
      </w:r>
      <w:bookmarkStart w:id="14" w:name="_Hlk205827836"/>
      <w:r>
        <w:rPr>
          <w:rFonts w:hint="eastAsia" w:ascii="宋体" w:hAnsi="宋体" w:cs="宋体"/>
          <w:b/>
          <w:bCs/>
          <w:color w:val="auto"/>
          <w:sz w:val="21"/>
          <w:szCs w:val="21"/>
          <w:lang w:eastAsia="zh-CN"/>
        </w:rPr>
        <w:t>各投标供应商在投标前，须自行调查和了解项目所在村的实际情况，中标（中标）后，中标价（中标）即为合同价，不因农</w:t>
      </w:r>
      <w:bookmarkStart w:id="15" w:name="_Hlk203503529"/>
      <w:r>
        <w:rPr>
          <w:rFonts w:hint="eastAsia" w:ascii="宋体" w:hAnsi="宋体" w:cs="宋体"/>
          <w:b/>
          <w:bCs/>
          <w:color w:val="auto"/>
          <w:sz w:val="21"/>
          <w:szCs w:val="21"/>
          <w:lang w:eastAsia="zh-CN"/>
        </w:rPr>
        <w:t>户</w:t>
      </w:r>
      <w:bookmarkEnd w:id="15"/>
      <w:r>
        <w:rPr>
          <w:rFonts w:hint="eastAsia" w:ascii="宋体" w:hAnsi="宋体" w:cs="宋体"/>
          <w:b/>
          <w:bCs/>
          <w:color w:val="auto"/>
          <w:sz w:val="21"/>
          <w:szCs w:val="21"/>
          <w:lang w:eastAsia="zh-CN"/>
        </w:rPr>
        <w:t>户数增减而调整合同价。</w:t>
      </w:r>
      <w:bookmarkEnd w:id="14"/>
    </w:p>
    <w:p>
      <w:pPr>
        <w:widowControl w:val="0"/>
        <w:spacing w:line="400" w:lineRule="exact"/>
        <w:ind w:firstLine="482"/>
        <w:rPr>
          <w:rFonts w:hint="eastAsia" w:ascii="宋体" w:hAnsi="宋体" w:eastAsia="宋体" w:cs="宋体"/>
          <w:b/>
          <w:bCs/>
          <w:color w:val="auto"/>
          <w:sz w:val="21"/>
          <w:szCs w:val="21"/>
          <w:lang w:eastAsia="zh-CN"/>
        </w:rPr>
      </w:pPr>
      <w:r>
        <w:rPr>
          <w:rFonts w:hint="eastAsia" w:ascii="宋体" w:hAnsi="宋体" w:cs="宋体"/>
          <w:b/>
          <w:bCs/>
          <w:color w:val="auto"/>
          <w:sz w:val="24"/>
          <w:szCs w:val="24"/>
          <w:lang w:eastAsia="zh-CN"/>
        </w:rPr>
        <w:t>七、</w:t>
      </w:r>
      <w:r>
        <w:rPr>
          <w:rFonts w:hint="eastAsia" w:ascii="宋体" w:hAnsi="宋体" w:eastAsia="宋体" w:cs="宋体"/>
          <w:b/>
          <w:bCs/>
          <w:color w:val="auto"/>
          <w:sz w:val="21"/>
          <w:szCs w:val="21"/>
          <w:lang w:eastAsia="zh-CN"/>
        </w:rPr>
        <w:t>项目要求</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 xml:space="preserve"> </w:t>
      </w:r>
      <w:bookmarkStart w:id="16" w:name="_Hlk200555853"/>
      <w:r>
        <w:rPr>
          <w:rFonts w:hint="eastAsia" w:ascii="宋体" w:hAnsi="宋体" w:cs="宋体"/>
          <w:b/>
          <w:bCs/>
          <w:color w:val="auto"/>
          <w:sz w:val="21"/>
          <w:szCs w:val="21"/>
          <w:lang w:eastAsia="zh-CN"/>
        </w:rPr>
        <w:t>1</w:t>
      </w:r>
      <w:bookmarkEnd w:id="16"/>
      <w:r>
        <w:rPr>
          <w:rFonts w:hint="eastAsia" w:ascii="宋体" w:hAnsi="宋体" w:cs="宋体"/>
          <w:b/>
          <w:bCs/>
          <w:color w:val="auto"/>
          <w:sz w:val="21"/>
          <w:szCs w:val="21"/>
          <w:lang w:eastAsia="zh-CN"/>
        </w:rPr>
        <w:t>、成立机构</w:t>
      </w:r>
    </w:p>
    <w:p>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由本集体经济组织成员（</w:t>
      </w:r>
      <w:r>
        <w:rPr>
          <w:rFonts w:hint="eastAsia" w:ascii="宋体" w:hAnsi="宋体" w:cs="宋体"/>
          <w:color w:val="auto"/>
          <w:sz w:val="21"/>
          <w:szCs w:val="21"/>
          <w:lang w:val="en-US" w:eastAsia="zh-CN"/>
        </w:rPr>
        <w:t>代表）大会</w:t>
      </w:r>
      <w:r>
        <w:rPr>
          <w:rFonts w:hint="eastAsia" w:ascii="宋体" w:hAnsi="宋体" w:cs="宋体"/>
          <w:color w:val="auto"/>
          <w:sz w:val="21"/>
          <w:szCs w:val="21"/>
          <w:lang w:eastAsia="zh-CN"/>
        </w:rPr>
        <w:t>依法选举产生延包工作小组。</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2、方案编制</w:t>
      </w:r>
    </w:p>
    <w:p>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根据相关要求，完成新沂市高流镇第二轮土地承包到期后再延长30年试点工作（含技术）方案的编制，确保方案文本通过上级部门的审核。</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3、摸底核实</w:t>
      </w:r>
    </w:p>
    <w:p>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利用农村土地承包经营权确权登记颁证成果和农村集体产权制度改革成果等前期数据，结合当前的最新正射影像等数据（对于确权错误或有疑虑的农户，要依据1994年二轮承包时的清册）整理出摸底基础数据，并以村组为单位进行延包摸排，并逐户留影登记。主要摸清第二轮土地承包以来承包农户及家庭成员、承包地变化情况，承包地确权登记颁证情况，新增土地、机动地等情况，存在的纠纷矛盾和历史遗留问题，农户延包意愿等。</w:t>
      </w:r>
      <w:r>
        <w:rPr>
          <w:rFonts w:ascii="宋体" w:hAnsi="宋体" w:cs="宋体"/>
          <w:color w:val="auto"/>
          <w:sz w:val="21"/>
          <w:szCs w:val="21"/>
          <w:lang w:eastAsia="zh-CN"/>
        </w:rPr>
        <w:t xml:space="preserve"> </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4、制定延包方案</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根据前期摸底核实后形成的问题清单列表逐一厘清形成延包方案。针对问题清单中的个性问题、共性问题、重大问题等，写清问题具体情况，处理意见、解决方案、处理结果。问题清单梳理后的内容，需在延包方案中体现。并在所涉集体经济组织范围内张榜公示，期限不少于</w:t>
      </w:r>
      <w:r>
        <w:rPr>
          <w:rFonts w:ascii="Arial" w:hAnsi="Arial" w:cs="Arial"/>
          <w:color w:val="auto"/>
          <w:sz w:val="22"/>
          <w:szCs w:val="22"/>
          <w:lang w:eastAsia="en-US"/>
        </w:rPr>
        <w:t>15</w:t>
      </w:r>
      <w:r>
        <w:rPr>
          <w:rFonts w:hint="eastAsia" w:ascii="Arial" w:hAnsi="Arial" w:cs="Arial"/>
          <w:color w:val="auto"/>
          <w:sz w:val="22"/>
          <w:szCs w:val="22"/>
          <w:lang w:eastAsia="en-US"/>
        </w:rPr>
        <w:t>天。公示结束后，延包方案应当依法经本集体经济组织成员的村民会议三分之二以上成员或者三分之二以上村民代表同意，并上报高流镇人民政府和市级农业农村部门。</w:t>
      </w:r>
    </w:p>
    <w:p>
      <w:pPr>
        <w:spacing w:line="400" w:lineRule="exact"/>
        <w:ind w:firstLine="420"/>
        <w:rPr>
          <w:rFonts w:hint="eastAsia" w:ascii="宋体" w:hAnsi="宋体" w:cs="宋体"/>
          <w:color w:val="auto"/>
          <w:sz w:val="21"/>
          <w:szCs w:val="21"/>
          <w:lang w:eastAsia="zh-CN"/>
        </w:rPr>
      </w:pPr>
      <w:r>
        <w:rPr>
          <w:rFonts w:hint="eastAsia" w:ascii="宋体" w:hAnsi="宋体" w:cs="宋体"/>
          <w:b/>
          <w:bCs/>
          <w:color w:val="auto"/>
          <w:sz w:val="21"/>
          <w:szCs w:val="21"/>
          <w:lang w:eastAsia="zh-CN"/>
        </w:rPr>
        <w:t>5、补充调查</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前期承包地确权登记颁证成果为基础（对于确权错误或有疑虑的农户，要依据1994年二轮承包时的清册），根据摸底核实汇总情况及各村（社区）延包工作小组制定的延包方案，对田块和家庭成员等信息有变化的农户，需进行现场指界及走访调查等工作步骤，对地块图形变化部分开展补充测绘，对承包信息变化部分开展信息补充，根据实际情况进行修正；对于未开展土地确权的承包地延包，按照《农村土地承包合同管理办法》、《农村土地承包经营权调查规程》（</w:t>
      </w:r>
      <w:r>
        <w:rPr>
          <w:rFonts w:ascii="Arial" w:hAnsi="Arial" w:cs="Arial"/>
          <w:color w:val="auto"/>
          <w:sz w:val="22"/>
          <w:szCs w:val="22"/>
          <w:lang w:eastAsia="en-US"/>
        </w:rPr>
        <w:t>NY/T2537</w:t>
      </w:r>
      <w:r>
        <w:rPr>
          <w:rFonts w:hint="eastAsia" w:ascii="Arial" w:hAnsi="Arial" w:cs="Arial"/>
          <w:color w:val="auto"/>
          <w:sz w:val="22"/>
          <w:szCs w:val="22"/>
          <w:lang w:eastAsia="en-US"/>
        </w:rPr>
        <w:t>）有关规定，开展承包经营权调查，形成二轮延包数据库、信息公示表等调查成果。</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6、审核公示</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以组为单位形成《农村土地承包经营权调查信息公示表》等成果资料，由各村（居）延包工作小组进行公示。《农村土地承包经营权调查信息公示表》需经延包工作小组核实确认后进行公示，期限不少于</w:t>
      </w:r>
      <w:r>
        <w:rPr>
          <w:rFonts w:ascii="Arial" w:hAnsi="Arial" w:cs="Arial"/>
          <w:color w:val="auto"/>
          <w:sz w:val="22"/>
          <w:szCs w:val="22"/>
          <w:lang w:eastAsia="en-US"/>
        </w:rPr>
        <w:t>15</w:t>
      </w:r>
      <w:r>
        <w:rPr>
          <w:rFonts w:hint="eastAsia" w:ascii="Arial" w:hAnsi="Arial" w:cs="Arial"/>
          <w:color w:val="auto"/>
          <w:sz w:val="22"/>
          <w:szCs w:val="22"/>
          <w:lang w:eastAsia="en-US"/>
        </w:rPr>
        <w:t>天。相关权利人提出异议的，应当进行核实、修正，并再次公示。</w:t>
      </w:r>
      <w:r>
        <w:rPr>
          <w:rFonts w:ascii="Arial" w:hAnsi="Arial" w:cs="Arial"/>
          <w:color w:val="auto"/>
          <w:sz w:val="22"/>
          <w:szCs w:val="22"/>
          <w:lang w:eastAsia="en-US"/>
        </w:rPr>
        <w:t xml:space="preserve"> </w:t>
      </w:r>
      <w:r>
        <w:rPr>
          <w:rFonts w:hint="eastAsia" w:ascii="Arial" w:hAnsi="Arial" w:cs="Arial"/>
          <w:color w:val="auto"/>
          <w:sz w:val="22"/>
          <w:szCs w:val="22"/>
          <w:lang w:eastAsia="en-US"/>
        </w:rPr>
        <w:t>公示期满后，以户为单位制作《农村土地承包经营权公示结果归户表》，并安排相关人员进行签字确认。</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7、签订合同</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根据公示结果，明确二轮承包到期后延包的土地承包关系，更新农村土地承包信息数据库，按照《农村土地（耕地）承包合同（家庭承包方式）示范文本》要求，生成电子合同文本，并组织网签承包合同。</w:t>
      </w:r>
      <w:r>
        <w:rPr>
          <w:rFonts w:ascii="Arial" w:hAnsi="Arial" w:cs="Arial"/>
          <w:color w:val="auto"/>
          <w:sz w:val="22"/>
          <w:szCs w:val="22"/>
          <w:lang w:eastAsia="en-US"/>
        </w:rPr>
        <w:t xml:space="preserve"> </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8、资料归档</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lang w:eastAsia="en-US"/>
        </w:rPr>
        <w:t>延包试点中形成的各种文字、图表、声像、数据等不同形式的文件材料，按照档案管理有关规定，对其进行归档。形成“一村一档”的最终成果，</w:t>
      </w:r>
      <w:r>
        <w:rPr>
          <w:rFonts w:hint="eastAsia" w:ascii="Arial" w:hAnsi="Arial" w:cs="Arial"/>
          <w:color w:val="auto"/>
          <w:sz w:val="22"/>
          <w:szCs w:val="22"/>
          <w:highlight w:val="none"/>
          <w:lang w:eastAsia="en-US"/>
        </w:rPr>
        <w:t>并移交项目乡镇。</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9、技术核查及数据汇交</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对高流镇第二轮土地承包到期后再延长30年试点工作的成果数据进行技术核查，保证数据完整性、空间数学基础与数据格式正确性、标准符合性、空间拓扑、图数一致性等方面的质量。按农业农村部有关数据汇交的要求形成土地延包汇交数据并汇总</w:t>
      </w:r>
      <w:r>
        <w:rPr>
          <w:rFonts w:hint="eastAsia" w:ascii="Arial" w:hAnsi="Arial" w:cs="Arial"/>
          <w:color w:val="auto"/>
          <w:sz w:val="22"/>
          <w:szCs w:val="22"/>
          <w:highlight w:val="none"/>
          <w:lang w:eastAsia="en-US"/>
        </w:rPr>
        <w:t>上报相关部门。</w:t>
      </w:r>
    </w:p>
    <w:p>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10、</w:t>
      </w:r>
      <w:bookmarkEnd w:id="10"/>
      <w:bookmarkEnd w:id="11"/>
      <w:bookmarkEnd w:id="12"/>
      <w:bookmarkEnd w:id="13"/>
      <w:r>
        <w:rPr>
          <w:rFonts w:hint="eastAsia" w:ascii="宋体" w:hAnsi="宋体" w:cs="宋体"/>
          <w:b/>
          <w:bCs/>
          <w:color w:val="auto"/>
          <w:sz w:val="21"/>
          <w:szCs w:val="21"/>
          <w:lang w:eastAsia="zh-CN"/>
        </w:rPr>
        <w:t xml:space="preserve">技术标准、指标及依据 </w:t>
      </w:r>
    </w:p>
    <w:p>
      <w:pPr>
        <w:adjustRightInd w:val="0"/>
        <w:snapToGrid w:val="0"/>
        <w:spacing w:after="0" w:line="360" w:lineRule="auto"/>
        <w:ind w:firstLine="440" w:firstLineChars="200"/>
        <w:rPr>
          <w:color w:val="auto"/>
          <w:szCs w:val="22"/>
          <w:lang w:eastAsia="en-US"/>
        </w:rPr>
      </w:pPr>
      <w:r>
        <w:rPr>
          <w:rFonts w:hint="eastAsia"/>
          <w:color w:val="auto"/>
          <w:szCs w:val="22"/>
          <w:lang w:eastAsia="en-US"/>
        </w:rPr>
        <w:t>(1)</w:t>
      </w:r>
      <w:r>
        <w:rPr>
          <w:color w:val="auto"/>
          <w:szCs w:val="22"/>
          <w:lang w:eastAsia="en-US"/>
        </w:rPr>
        <w:t>延包合同签订统一采用全国承包地合同网签系统，系统数据初始接入支持按乡镇或村导入数据汇交包，但数据汇交需满足如下规范:</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1)</w:t>
      </w:r>
      <w:r>
        <w:rPr>
          <w:color w:val="auto"/>
          <w:szCs w:val="22"/>
          <w:lang w:eastAsia="en-US"/>
        </w:rPr>
        <w:t>《农村土地承包经营权调查规程》(NY/T2537-2014)</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2)</w:t>
      </w:r>
      <w:r>
        <w:rPr>
          <w:color w:val="auto"/>
          <w:szCs w:val="22"/>
          <w:lang w:eastAsia="en-US"/>
        </w:rPr>
        <w:t>《农村土地承包经营权要素编码规则》(NY/T2538-2014)</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3)</w:t>
      </w:r>
      <w:r>
        <w:rPr>
          <w:color w:val="auto"/>
          <w:szCs w:val="22"/>
          <w:lang w:eastAsia="en-US"/>
        </w:rPr>
        <w:t>《农村土地承包经营权确权登记数据库规范》(NY/T2539-2014)</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4)</w:t>
      </w:r>
      <w:r>
        <w:rPr>
          <w:color w:val="auto"/>
          <w:szCs w:val="22"/>
          <w:lang w:eastAsia="en-US"/>
        </w:rPr>
        <w:t>《农村土地承包经营权确权登记颁证成果检查验收办法(试行)》(农办经[2015]5号)</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5)</w:t>
      </w:r>
      <w:r>
        <w:rPr>
          <w:color w:val="auto"/>
          <w:szCs w:val="22"/>
          <w:lang w:eastAsia="en-US"/>
        </w:rPr>
        <w:t>《农村土地承包经营权确权登记数据库建设技术指南(试行)》(农办经[2015]13号)</w:t>
      </w:r>
    </w:p>
    <w:p>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6)</w:t>
      </w:r>
      <w:r>
        <w:rPr>
          <w:color w:val="auto"/>
          <w:szCs w:val="22"/>
          <w:lang w:eastAsia="en-US"/>
        </w:rPr>
        <w:t>《农村土地承包经营权确权登记数据库成果汇交办法(试行)》(农办经[2015]13号)</w:t>
      </w:r>
    </w:p>
    <w:p>
      <w:pPr>
        <w:adjustRightInd w:val="0"/>
        <w:snapToGrid w:val="0"/>
        <w:spacing w:after="0" w:line="360" w:lineRule="auto"/>
        <w:ind w:firstLine="440" w:firstLineChars="200"/>
        <w:rPr>
          <w:color w:val="auto"/>
          <w:szCs w:val="22"/>
          <w:lang w:eastAsia="en-US"/>
        </w:rPr>
      </w:pPr>
      <w:r>
        <w:rPr>
          <w:color w:val="auto"/>
          <w:szCs w:val="22"/>
          <w:lang w:eastAsia="en-US"/>
        </w:rPr>
        <w:t>此外汇交包需通过农业农村部最新质检软件质检，方可成功接入系统。</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 xml:space="preserve">(2)技术标准与依据 </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w:t>
      </w:r>
      <w:r>
        <w:rPr>
          <w:rFonts w:hint="eastAsia" w:ascii="Arial" w:hAnsi="Arial" w:cs="Arial"/>
          <w:color w:val="auto"/>
          <w:sz w:val="22"/>
          <w:szCs w:val="22"/>
        </w:rPr>
        <w:fldChar w:fldCharType="begin"/>
      </w:r>
      <w:r>
        <w:rPr>
          <w:rFonts w:hint="eastAsia" w:ascii="Arial" w:hAnsi="Arial" w:cs="Arial"/>
          <w:color w:val="auto"/>
          <w:sz w:val="22"/>
          <w:szCs w:val="22"/>
          <w:lang w:eastAsia="en-US"/>
        </w:rPr>
        <w:instrText xml:space="preserve"> HYPERLINK "https://baike.baidu.com/item/%E4%B8%AD%E5%8D%8E%E4%BA%BA%E6%B0%91%E5%85%B1%E5%92%8C%E5%9B%BD%E6%B0%91%E6%B3%95%E5%85%B8/19435116?fromModule=lemma_inlink" \t "https://baike.baidu.com/item/%E4%B8%AD%E5%8D%8E%E4%BA%BA%E6%B0%91%E5%85%B1%E5%92%8C%E5%9B%BD%E7%89%A9%E6%9D%83%E6%B3%95/_blank" </w:instrText>
      </w:r>
      <w:r>
        <w:rPr>
          <w:rFonts w:hint="eastAsia" w:ascii="Arial" w:hAnsi="Arial" w:cs="Arial"/>
          <w:color w:val="auto"/>
          <w:sz w:val="22"/>
          <w:szCs w:val="22"/>
        </w:rPr>
        <w:fldChar w:fldCharType="separate"/>
      </w:r>
      <w:r>
        <w:rPr>
          <w:rFonts w:hint="eastAsia" w:ascii="Arial" w:hAnsi="Arial" w:cs="Arial"/>
          <w:color w:val="auto"/>
          <w:sz w:val="22"/>
          <w:szCs w:val="22"/>
          <w:lang w:eastAsia="en-US"/>
        </w:rPr>
        <w:t>中华人民共和国民法典</w:t>
      </w:r>
      <w:r>
        <w:rPr>
          <w:rFonts w:hint="eastAsia" w:ascii="Arial" w:hAnsi="Arial" w:cs="Arial"/>
          <w:color w:val="auto"/>
          <w:sz w:val="22"/>
          <w:szCs w:val="22"/>
        </w:rPr>
        <w:fldChar w:fldCharType="end"/>
      </w:r>
      <w:r>
        <w:rPr>
          <w:rFonts w:hint="eastAsia" w:ascii="Arial" w:hAnsi="Arial" w:cs="Arial"/>
          <w:color w:val="auto"/>
          <w:sz w:val="22"/>
          <w:szCs w:val="22"/>
          <w:lang w:eastAsia="en-US"/>
        </w:rPr>
        <w:t>》</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2)《中华人民共和国土地管理法》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3)《中华人民共和国农村土地承包法》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4)《中华人民共和国农村集体经济组织法》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5)《农村土地承包合同管理办法》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6)《农村土地承包经营权调查规程》(NY/T2537)</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 农村土地(耕地)承包合同(家庭承包方式) 示范文本》</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w:t>
      </w:r>
      <w:r>
        <w:rPr>
          <w:rFonts w:ascii="Arial" w:hAnsi="Arial" w:cs="Arial"/>
          <w:color w:val="auto"/>
          <w:sz w:val="22"/>
          <w:szCs w:val="22"/>
          <w:lang w:eastAsia="en-US"/>
        </w:rPr>
        <w:t>《第二轮土地承包到期后再延长30年试点工作档案管理办法》</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9)GB/T 21010-2017 土地利用现状分类</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10)GB/T 13989-2012 国家基本比例尺地形图分幅与编号</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11)GB/T 18314-2009 全球定位系统（GPS）测量规范</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12)CH/T 2009-2010 全球定位系统实时动态测量（RTK）技术规范</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13)GB/T 2260-2007 中华人民共和国行政区划代码</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14)GB/T 13923-2006 基础地理信息要素分类与代码</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15)GB/T 21010-2017 土地利用现状分类</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16)TD/T 1066-2021 不动产登记数据库标准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17)CH/T 1001-2005 测绘技术总结编写规定</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18)CH/T 1004-2005 测绘技术设计规定</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19)GB/T 24356-2009 测绘成果质量检查与验收</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20)GB/T 18316—2008 数字测绘成果质量检查与验收</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21)</w:t>
      </w:r>
      <w:r>
        <w:rPr>
          <w:rFonts w:ascii="Arial" w:hAnsi="Arial" w:cs="Arial"/>
          <w:color w:val="auto"/>
          <w:sz w:val="22"/>
          <w:szCs w:val="22"/>
          <w:lang w:eastAsia="en-US"/>
        </w:rPr>
        <w:t>GB/T 35958-2018</w:t>
      </w:r>
      <w:r>
        <w:rPr>
          <w:rFonts w:hint="eastAsia" w:ascii="Arial" w:hAnsi="Arial" w:cs="Arial"/>
          <w:color w:val="auto"/>
          <w:sz w:val="22"/>
          <w:szCs w:val="22"/>
          <w:lang w:eastAsia="en-US"/>
        </w:rPr>
        <w:t>农村土地承包经营权要素编码规则</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22)</w:t>
      </w:r>
      <w:r>
        <w:rPr>
          <w:rFonts w:ascii="Arial" w:hAnsi="Arial" w:cs="Arial"/>
          <w:color w:val="auto"/>
          <w:sz w:val="22"/>
          <w:szCs w:val="22"/>
          <w:lang w:eastAsia="en-US"/>
        </w:rPr>
        <w:t xml:space="preserve">NY/T 2539-2016 </w:t>
      </w:r>
      <w:r>
        <w:rPr>
          <w:rFonts w:hint="eastAsia" w:ascii="Arial" w:hAnsi="Arial" w:cs="Arial"/>
          <w:color w:val="auto"/>
          <w:sz w:val="22"/>
          <w:szCs w:val="22"/>
          <w:lang w:eastAsia="en-US"/>
        </w:rPr>
        <w:t>农村土地承包经营权确权登记数据库规范</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23)</w:t>
      </w:r>
      <w:r>
        <w:rPr>
          <w:rFonts w:ascii="Arial" w:hAnsi="Arial" w:cs="Arial"/>
          <w:color w:val="auto"/>
          <w:sz w:val="22"/>
          <w:szCs w:val="22"/>
          <w:lang w:eastAsia="en-US"/>
        </w:rPr>
        <w:t>GB/T 42547-2023</w:t>
      </w:r>
      <w:r>
        <w:rPr>
          <w:rFonts w:hint="eastAsia" w:ascii="Arial" w:hAnsi="Arial" w:cs="Arial"/>
          <w:color w:val="auto"/>
          <w:sz w:val="22"/>
          <w:szCs w:val="22"/>
          <w:lang w:eastAsia="en-US"/>
        </w:rPr>
        <w:t>《地籍调查规程》</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24)</w:t>
      </w:r>
      <w:r>
        <w:rPr>
          <w:rFonts w:ascii="Arial" w:hAnsi="Arial" w:cs="Arial"/>
          <w:color w:val="auto"/>
          <w:sz w:val="22"/>
          <w:szCs w:val="22"/>
          <w:lang w:eastAsia="en-US"/>
        </w:rPr>
        <w:t xml:space="preserve">TD/T 1095-2024 </w:t>
      </w:r>
      <w:r>
        <w:rPr>
          <w:rFonts w:hint="eastAsia" w:ascii="Arial" w:hAnsi="Arial" w:cs="Arial"/>
          <w:color w:val="auto"/>
          <w:sz w:val="22"/>
          <w:szCs w:val="22"/>
          <w:lang w:eastAsia="en-US"/>
        </w:rPr>
        <w:t>《不动产登记规程》</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25)</w:t>
      </w:r>
      <w:r>
        <w:rPr>
          <w:rFonts w:ascii="Arial" w:hAnsi="Arial" w:cs="Arial"/>
          <w:color w:val="auto"/>
          <w:sz w:val="22"/>
          <w:szCs w:val="22"/>
          <w:lang w:eastAsia="en-US"/>
        </w:rPr>
        <w:t>CH/T9008.3</w:t>
      </w:r>
      <w:r>
        <w:rPr>
          <w:rFonts w:hint="eastAsia" w:ascii="Arial" w:hAnsi="Arial" w:cs="Arial"/>
          <w:color w:val="auto"/>
          <w:sz w:val="22"/>
          <w:szCs w:val="22"/>
          <w:lang w:eastAsia="en-US"/>
        </w:rPr>
        <w:t>《基础地理信息数字成果》</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26)</w:t>
      </w:r>
      <w:r>
        <w:rPr>
          <w:rFonts w:ascii="Arial" w:hAnsi="Arial" w:cs="Arial"/>
          <w:color w:val="auto"/>
          <w:sz w:val="22"/>
          <w:szCs w:val="22"/>
          <w:lang w:eastAsia="en-US"/>
        </w:rPr>
        <w:t>GB/T79301:5001:10001:2000</w:t>
      </w:r>
      <w:r>
        <w:rPr>
          <w:rFonts w:hint="eastAsia" w:ascii="Arial" w:hAnsi="Arial" w:cs="Arial"/>
          <w:color w:val="auto"/>
          <w:sz w:val="22"/>
          <w:szCs w:val="22"/>
          <w:lang w:eastAsia="en-US"/>
        </w:rPr>
        <w:t>《地形图航空摄影测量内业规范》</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27)</w:t>
      </w:r>
      <w:r>
        <w:rPr>
          <w:rFonts w:ascii="Arial" w:hAnsi="Arial" w:cs="Arial"/>
          <w:color w:val="auto"/>
          <w:sz w:val="22"/>
          <w:szCs w:val="22"/>
          <w:lang w:eastAsia="en-US"/>
        </w:rPr>
        <w:t>GB/T79311:5001:10001:2000</w:t>
      </w:r>
      <w:r>
        <w:rPr>
          <w:rFonts w:hint="eastAsia" w:ascii="Arial" w:hAnsi="Arial" w:cs="Arial"/>
          <w:color w:val="auto"/>
          <w:sz w:val="22"/>
          <w:szCs w:val="22"/>
          <w:lang w:eastAsia="en-US"/>
        </w:rPr>
        <w:t>《地形图航空摄影测量外业规范》</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28)</w:t>
      </w:r>
      <w:r>
        <w:rPr>
          <w:rFonts w:ascii="Arial" w:hAnsi="Arial" w:cs="Arial"/>
          <w:color w:val="auto"/>
          <w:sz w:val="22"/>
          <w:szCs w:val="22"/>
          <w:lang w:eastAsia="en-US"/>
        </w:rPr>
        <w:t>GB/T20257.1</w:t>
      </w:r>
      <w:r>
        <w:rPr>
          <w:rFonts w:hint="eastAsia" w:ascii="Arial" w:hAnsi="Arial" w:cs="Arial"/>
          <w:color w:val="auto"/>
          <w:sz w:val="22"/>
          <w:szCs w:val="22"/>
          <w:lang w:eastAsia="en-US"/>
        </w:rPr>
        <w:t>《国家基本比例尺地图图式》</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29)</w:t>
      </w:r>
      <w:r>
        <w:rPr>
          <w:rFonts w:ascii="Arial" w:hAnsi="Arial" w:cs="Arial"/>
          <w:color w:val="auto"/>
          <w:sz w:val="22"/>
          <w:szCs w:val="22"/>
          <w:lang w:eastAsia="en-US"/>
        </w:rPr>
        <w:t>GB/T23236</w:t>
      </w:r>
      <w:r>
        <w:rPr>
          <w:rFonts w:hint="eastAsia" w:ascii="Arial" w:hAnsi="Arial" w:cs="Arial"/>
          <w:color w:val="auto"/>
          <w:sz w:val="22"/>
          <w:szCs w:val="22"/>
          <w:lang w:eastAsia="en-US"/>
        </w:rPr>
        <w:t>《数字航空摄影测量空中三角测量规范》</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30)《新沂市第二轮土地承包到期后再延长30年试点工作方案》</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项目实施过程中，上述标准有更新的，执行最新标准。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（3）主要技术指标要求</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1)坐标系统</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采用 2000 国家大地坐标系（CGCS2000）。</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地图投影采用高斯—克吕格投影， 3 度分带，中央子午线为120°。</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2)高程系统</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采用 1985 国家高程基准。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3)比例尺</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比例尺不低于 1:2000。</w:t>
      </w:r>
    </w:p>
    <w:p>
      <w:pPr>
        <w:adjustRightInd w:val="0"/>
        <w:snapToGrid w:val="0"/>
        <w:spacing w:after="0" w:line="360" w:lineRule="auto"/>
        <w:ind w:firstLine="440" w:firstLineChars="200"/>
        <w:rPr>
          <w:rFonts w:hint="eastAsia" w:ascii="Arial" w:hAnsi="Arial" w:cs="Arial"/>
          <w:color w:val="auto"/>
          <w:sz w:val="22"/>
          <w:szCs w:val="22"/>
          <w:lang w:eastAsia="en-US"/>
        </w:rPr>
      </w:pPr>
      <w:bookmarkStart w:id="17" w:name="_Toc365533747"/>
      <w:bookmarkStart w:id="18" w:name="_Toc365462443"/>
      <w:bookmarkStart w:id="19" w:name="_Toc392608054"/>
      <w:bookmarkStart w:id="20" w:name="_Toc365380148"/>
      <w:r>
        <w:rPr>
          <w:rFonts w:hint="eastAsia" w:ascii="Arial" w:hAnsi="Arial" w:cs="Arial"/>
          <w:color w:val="auto"/>
          <w:sz w:val="22"/>
          <w:szCs w:val="22"/>
          <w:lang w:eastAsia="en-US"/>
        </w:rPr>
        <w:t>4)主要精度指标</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地块分布图上界址点相对于邻近控制点的点位中误差和相邻界址点之间的间距中误差原则上不得超过下表的规定。</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highlight w:val="none"/>
          <w:lang w:eastAsia="en-US"/>
        </w:rPr>
        <w:t>界址点精度指标表</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highlight w:val="none"/>
          <w:lang w:eastAsia="en-US"/>
        </w:rPr>
        <w:t>比例尺</w:t>
      </w: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lang w:eastAsia="en-US"/>
        </w:rPr>
        <w:t>界址点相对于邻近控制点的点位中误差和相邻界址点建的间距中误差</w:t>
      </w:r>
    </w:p>
    <w:p>
      <w:pPr>
        <w:adjustRightInd w:val="0"/>
        <w:snapToGrid w:val="0"/>
        <w:spacing w:after="0"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rPr>
        <w:t>平地、丘陵</w:t>
      </w:r>
      <w:r>
        <w:rPr>
          <w:rFonts w:hint="eastAsia" w:ascii="Arial" w:hAnsi="Arial" w:cs="Arial"/>
          <w:color w:val="auto"/>
          <w:sz w:val="22"/>
          <w:szCs w:val="22"/>
          <w:highlight w:val="none"/>
        </w:rPr>
        <w:tab/>
      </w:r>
      <w:r>
        <w:rPr>
          <w:rFonts w:hint="eastAsia" w:ascii="Arial" w:hAnsi="Arial" w:cs="Arial"/>
          <w:color w:val="auto"/>
          <w:sz w:val="22"/>
          <w:szCs w:val="22"/>
          <w:highlight w:val="none"/>
        </w:rPr>
        <w:t>山地、高山地</w:t>
      </w:r>
    </w:p>
    <w:p>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highlight w:val="none"/>
          <w:lang w:eastAsia="en-US"/>
        </w:rPr>
        <w:t>1:2000</w:t>
      </w: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lang w:eastAsia="en-US"/>
        </w:rPr>
        <w:t>±1.20</w:t>
      </w:r>
      <w:r>
        <w:rPr>
          <w:rFonts w:hint="eastAsia" w:ascii="Arial" w:hAnsi="Arial" w:cs="Arial"/>
          <w:color w:val="auto"/>
          <w:sz w:val="22"/>
          <w:szCs w:val="22"/>
          <w:highlight w:val="none"/>
          <w:lang w:eastAsia="en-US"/>
        </w:rPr>
        <w:tab/>
      </w:r>
      <w:r>
        <w:rPr>
          <w:rFonts w:hint="eastAsia" w:ascii="Arial" w:hAnsi="Arial" w:cs="Arial"/>
          <w:color w:val="auto"/>
          <w:sz w:val="22"/>
          <w:szCs w:val="22"/>
          <w:highlight w:val="none"/>
          <w:lang w:eastAsia="en-US"/>
        </w:rPr>
        <w:t>±1.60</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5）计量单位</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①长度单位采用米（m）,小数点后保留两位有效数字（0.01）。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②面积单位采用平方米（㎡），小数点后保留两位有效数字（0.01）。统计汇总时，面积单位采用公顷（h㎡），小数点后保留两位有效数字（0.01）。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③亩作为辅助面积单位（mu）、小数点后保留两位有效数字（0.01）。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④坐标单位采用米（m），保留3位有效数字（0.001）。</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6）面积计算</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面积计算采用水平投影面积，面积相对误差5%以内。</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7）界址点测量</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以图解法为基础，辅以实地勘测法进行补充调查确定界址点坐标的方法。即利用工作底图到实地核实解译界址点的正确性，对解译界址点与实地不符的，经实地标绘或测量予以纠正。</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8）其他要求</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为满足延包合同签订后自然资源主管部门农村土地承包经营权纳入不动产统一登记工作需要，基于本次项目新沂市提供的土地承包经营权确权基础数据上，对于面积发生变化的地块(包含分户、合户等情形)进行确权时，应按照《地籍调查规程》(GB/T42547-2023)开展测绘(包括修正测绘、补充测绘、新增测绘等)调查工作，形成地籍调查图、界址点坐标等地籍调查成果，用于登记发证。</w:t>
      </w:r>
    </w:p>
    <w:p>
      <w:pPr>
        <w:widowControl w:val="0"/>
        <w:spacing w:line="400" w:lineRule="exact"/>
        <w:ind w:firstLine="482"/>
        <w:rPr>
          <w:rFonts w:hint="eastAsia" w:ascii="宋体" w:hAnsi="宋体" w:cs="宋体"/>
          <w:b/>
          <w:bCs/>
          <w:color w:val="auto"/>
          <w:sz w:val="21"/>
          <w:szCs w:val="21"/>
          <w:lang w:eastAsia="zh-CN"/>
        </w:rPr>
      </w:pPr>
      <w:bookmarkStart w:id="21" w:name="_Toc7718"/>
      <w:bookmarkStart w:id="22" w:name="_Toc4221"/>
      <w:bookmarkStart w:id="23" w:name="_Toc11291"/>
      <w:bookmarkStart w:id="24" w:name="_Toc15626"/>
      <w:r>
        <w:rPr>
          <w:rFonts w:hint="eastAsia" w:ascii="宋体" w:hAnsi="宋体" w:cs="宋体"/>
          <w:b/>
          <w:bCs/>
          <w:color w:val="auto"/>
          <w:sz w:val="24"/>
          <w:szCs w:val="24"/>
          <w:lang w:eastAsia="zh-CN"/>
        </w:rPr>
        <w:t>八、</w:t>
      </w:r>
      <w:r>
        <w:rPr>
          <w:rFonts w:hint="eastAsia" w:ascii="宋体" w:hAnsi="宋体" w:eastAsia="宋体" w:cs="宋体"/>
          <w:b/>
          <w:bCs/>
          <w:color w:val="auto"/>
          <w:sz w:val="21"/>
          <w:szCs w:val="21"/>
          <w:lang w:eastAsia="zh-CN"/>
        </w:rPr>
        <w:t>项目成果要求</w:t>
      </w:r>
      <w:bookmarkEnd w:id="21"/>
      <w:bookmarkEnd w:id="22"/>
      <w:bookmarkEnd w:id="23"/>
      <w:bookmarkEnd w:id="24"/>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 xml:space="preserve">提交的成果包括数据库成果、文字成果、图件成果、表格、视频等成果。 </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1、数据库成果</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农村土地承包经营权延包数据库、测量数据、元数据、调查成果的电子数据。</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2、图件簿册成果</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1)</w:t>
      </w:r>
      <w:r>
        <w:rPr>
          <w:rFonts w:hint="eastAsia" w:ascii="Arial" w:hAnsi="Arial" w:cs="Arial"/>
          <w:color w:val="auto"/>
          <w:sz w:val="22"/>
          <w:szCs w:val="22"/>
          <w:lang w:eastAsia="en-US"/>
        </w:rPr>
        <w:t>工作底图；</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2)</w:t>
      </w:r>
      <w:r>
        <w:rPr>
          <w:rFonts w:hint="eastAsia" w:ascii="Arial" w:hAnsi="Arial" w:cs="Arial"/>
          <w:color w:val="auto"/>
          <w:sz w:val="22"/>
          <w:szCs w:val="22"/>
          <w:lang w:eastAsia="en-US"/>
        </w:rPr>
        <w:t>调查草图；</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3)</w:t>
      </w:r>
      <w:r>
        <w:rPr>
          <w:rFonts w:hint="eastAsia" w:ascii="Arial" w:hAnsi="Arial" w:cs="Arial"/>
          <w:color w:val="auto"/>
          <w:sz w:val="22"/>
          <w:szCs w:val="22"/>
          <w:lang w:eastAsia="en-US"/>
        </w:rPr>
        <w:t>地块分布图；</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4)</w:t>
      </w:r>
      <w:r>
        <w:rPr>
          <w:rFonts w:hint="eastAsia" w:ascii="Arial" w:hAnsi="Arial" w:cs="Arial"/>
          <w:color w:val="auto"/>
          <w:sz w:val="22"/>
          <w:szCs w:val="22"/>
          <w:lang w:eastAsia="en-US"/>
        </w:rPr>
        <w:t>地籍图等图件；</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w:t>
      </w:r>
      <w:r>
        <w:rPr>
          <w:rFonts w:ascii="Arial" w:hAnsi="Arial" w:cs="Arial"/>
          <w:color w:val="auto"/>
          <w:sz w:val="22"/>
          <w:szCs w:val="22"/>
          <w:lang w:eastAsia="en-US"/>
        </w:rPr>
        <w:t>)</w:t>
      </w:r>
      <w:r>
        <w:rPr>
          <w:rFonts w:hint="eastAsia" w:ascii="Arial" w:hAnsi="Arial" w:cs="Arial"/>
          <w:color w:val="auto"/>
          <w:sz w:val="22"/>
          <w:szCs w:val="22"/>
          <w:lang w:eastAsia="en-US"/>
        </w:rPr>
        <w:t>农村土地承包台账；</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w:t>
      </w:r>
      <w:r>
        <w:rPr>
          <w:rFonts w:ascii="Arial" w:hAnsi="Arial" w:cs="Arial"/>
          <w:color w:val="auto"/>
          <w:sz w:val="22"/>
          <w:szCs w:val="22"/>
          <w:lang w:eastAsia="en-US"/>
        </w:rPr>
        <w:t>)</w:t>
      </w:r>
      <w:r>
        <w:rPr>
          <w:rFonts w:hint="eastAsia" w:ascii="Arial" w:hAnsi="Arial" w:cs="Arial"/>
          <w:color w:val="auto"/>
          <w:sz w:val="22"/>
          <w:szCs w:val="22"/>
          <w:lang w:eastAsia="en-US"/>
        </w:rPr>
        <w:t>二轮延包合同；</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w:t>
      </w:r>
      <w:r>
        <w:rPr>
          <w:rFonts w:ascii="Arial" w:hAnsi="Arial" w:cs="Arial"/>
          <w:color w:val="auto"/>
          <w:sz w:val="22"/>
          <w:szCs w:val="22"/>
          <w:lang w:eastAsia="en-US"/>
        </w:rPr>
        <w:t>)</w:t>
      </w:r>
      <w:r>
        <w:rPr>
          <w:rFonts w:hint="eastAsia" w:ascii="Arial" w:hAnsi="Arial" w:cs="Arial"/>
          <w:color w:val="auto"/>
          <w:sz w:val="22"/>
          <w:szCs w:val="22"/>
          <w:lang w:eastAsia="en-US"/>
        </w:rPr>
        <w:t>发包方调查表；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w:t>
      </w:r>
      <w:r>
        <w:rPr>
          <w:rFonts w:ascii="Arial" w:hAnsi="Arial" w:cs="Arial"/>
          <w:color w:val="auto"/>
          <w:sz w:val="22"/>
          <w:szCs w:val="22"/>
          <w:lang w:eastAsia="en-US"/>
        </w:rPr>
        <w:t>)</w:t>
      </w:r>
      <w:r>
        <w:rPr>
          <w:rFonts w:hint="eastAsia" w:ascii="Arial" w:hAnsi="Arial" w:cs="Arial"/>
          <w:color w:val="auto"/>
          <w:sz w:val="22"/>
          <w:szCs w:val="22"/>
          <w:lang w:eastAsia="en-US"/>
        </w:rPr>
        <w:t>承包方调查表；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w:t>
      </w:r>
      <w:r>
        <w:rPr>
          <w:rFonts w:ascii="Arial" w:hAnsi="Arial" w:cs="Arial"/>
          <w:color w:val="auto"/>
          <w:sz w:val="22"/>
          <w:szCs w:val="22"/>
          <w:lang w:eastAsia="en-US"/>
        </w:rPr>
        <w:t>)</w:t>
      </w:r>
      <w:r>
        <w:rPr>
          <w:rFonts w:hint="eastAsia" w:ascii="Arial" w:hAnsi="Arial" w:cs="Arial"/>
          <w:color w:val="auto"/>
          <w:sz w:val="22"/>
          <w:szCs w:val="22"/>
          <w:lang w:eastAsia="en-US"/>
        </w:rPr>
        <w:t>承包地块调查表；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w:t>
      </w:r>
      <w:r>
        <w:rPr>
          <w:rFonts w:ascii="Arial" w:hAnsi="Arial" w:cs="Arial"/>
          <w:color w:val="auto"/>
          <w:sz w:val="22"/>
          <w:szCs w:val="22"/>
          <w:lang w:eastAsia="en-US"/>
        </w:rPr>
        <w:t>)</w:t>
      </w:r>
      <w:r>
        <w:rPr>
          <w:rFonts w:hint="eastAsia" w:ascii="Arial" w:hAnsi="Arial" w:cs="Arial"/>
          <w:color w:val="auto"/>
          <w:sz w:val="22"/>
          <w:szCs w:val="22"/>
          <w:lang w:eastAsia="en-US"/>
        </w:rPr>
        <w:t>农村土地承包经营权调查信息公示表；</w:t>
      </w:r>
    </w:p>
    <w:p>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11</w:t>
      </w:r>
      <w:r>
        <w:rPr>
          <w:rFonts w:ascii="Arial" w:hAnsi="Arial" w:cs="Arial"/>
          <w:color w:val="auto"/>
          <w:sz w:val="22"/>
          <w:szCs w:val="22"/>
          <w:lang w:eastAsia="en-US"/>
        </w:rPr>
        <w:t>)</w:t>
      </w:r>
      <w:r>
        <w:rPr>
          <w:rFonts w:hint="eastAsia" w:ascii="Arial" w:hAnsi="Arial" w:cs="Arial"/>
          <w:color w:val="auto"/>
          <w:sz w:val="22"/>
          <w:szCs w:val="22"/>
          <w:lang w:eastAsia="en-US"/>
        </w:rPr>
        <w:t>农村土地承包经营权公示结果归户表等簿册。</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3、文字报告成果</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1）高流镇</w:t>
      </w:r>
      <w:r>
        <w:rPr>
          <w:rFonts w:hint="eastAsia" w:ascii="Arial" w:hAnsi="Arial" w:cs="Arial"/>
          <w:color w:val="auto"/>
          <w:sz w:val="22"/>
          <w:szCs w:val="22"/>
        </w:rPr>
        <w:t>第二轮土地承包到期后再延长30年试点第三方服务项目</w:t>
      </w:r>
      <w:r>
        <w:rPr>
          <w:rFonts w:hint="eastAsia" w:ascii="Arial" w:hAnsi="Arial" w:cs="Arial"/>
          <w:color w:val="auto"/>
          <w:sz w:val="22"/>
          <w:szCs w:val="22"/>
          <w:lang w:eastAsia="en-US"/>
        </w:rPr>
        <w:t>实施方案；</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2）技术设计书；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3）纠纷调解协议书；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4）检查报告；</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5）申请书；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6）委托书；</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7）决议及会议记录等材料；</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8）高流镇第二轮土地承包到期后再延长30年试点第三方服务项目技术方案；</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9）高流镇第二轮土地承包到期后再延长30年试点第三方服务项目工作报告；</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10）高流镇第二轮土地承包到期后再延长30年试点第三方服务项目技术总结报告。</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4、视频成果</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二轮延包实施过程中的重要细节，成员会议、成员委托等，形成一村一档，以镇为单位形成存储介质。</w:t>
      </w:r>
    </w:p>
    <w:p>
      <w:pPr>
        <w:adjustRightInd w:val="0"/>
        <w:snapToGrid w:val="0"/>
        <w:spacing w:after="0" w:line="360" w:lineRule="auto"/>
        <w:ind w:firstLine="440" w:firstLineChars="200"/>
        <w:rPr>
          <w:rFonts w:hint="eastAsia" w:ascii="Arial" w:hAnsi="Arial" w:cs="Arial"/>
          <w:color w:val="auto"/>
          <w:lang w:val="en-US" w:eastAsia="en-US"/>
        </w:rPr>
      </w:pPr>
      <w:r>
        <w:rPr>
          <w:rFonts w:hint="eastAsia" w:ascii="Arial" w:hAnsi="Arial" w:cs="Arial"/>
          <w:color w:val="auto"/>
          <w:lang w:eastAsia="en-US"/>
        </w:rPr>
        <w:t>5、</w:t>
      </w:r>
      <w:r>
        <w:rPr>
          <w:rFonts w:hint="eastAsia" w:ascii="Arial" w:hAnsi="Arial" w:cs="Arial"/>
          <w:color w:val="auto"/>
          <w:lang w:val="en-US" w:eastAsia="en-US"/>
        </w:rPr>
        <w:t>其他成果</w:t>
      </w:r>
    </w:p>
    <w:p>
      <w:pPr>
        <w:widowControl w:val="0"/>
        <w:adjustRightInd w:val="0"/>
        <w:snapToGrid w:val="0"/>
        <w:spacing w:after="0" w:line="360" w:lineRule="auto"/>
        <w:ind w:firstLine="440" w:firstLineChars="200"/>
        <w:rPr>
          <w:color w:val="auto"/>
        </w:rPr>
      </w:pPr>
      <w:r>
        <w:rPr>
          <w:rFonts w:hint="eastAsia" w:ascii="Arial" w:hAnsi="Arial" w:cs="Arial"/>
          <w:color w:val="auto"/>
          <w:sz w:val="22"/>
          <w:szCs w:val="22"/>
          <w:lang w:eastAsia="en-US"/>
        </w:rPr>
        <w:t>指界通知书存根、法定代表人身份证明书、指界委托书、地籍调查结果公示、政府确认文件、不动产登记委托书、不动产登记核查公告等，纸质1份，电子扫描件各1份，电子版，采用jpg或tif格式。</w:t>
      </w:r>
    </w:p>
    <w:bookmarkEnd w:id="17"/>
    <w:bookmarkEnd w:id="18"/>
    <w:bookmarkEnd w:id="19"/>
    <w:bookmarkEnd w:id="20"/>
    <w:p>
      <w:pPr>
        <w:spacing w:line="400" w:lineRule="exact"/>
        <w:ind w:left="440" w:leftChars="200"/>
        <w:outlineLvl w:val="1"/>
        <w:rPr>
          <w:b/>
          <w:bCs/>
          <w:color w:val="auto"/>
          <w:szCs w:val="24"/>
          <w:lang w:eastAsia="zh-CN"/>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档案整理要求</w:t>
      </w:r>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档案整理内容包括但不限于摸底表、公示表及公示图、归户表、村(组)签章图、承包合同等，最终需符合农业农村部和国家档案局相关要求。</w:t>
      </w:r>
    </w:p>
    <w:p>
      <w:pPr>
        <w:spacing w:line="400" w:lineRule="exact"/>
        <w:ind w:left="440" w:leftChars="200"/>
        <w:outlineLvl w:val="1"/>
        <w:rPr>
          <w:rFonts w:hint="eastAsia" w:ascii="宋体" w:hAnsi="宋体" w:eastAsia="宋体" w:cs="宋体"/>
          <w:b/>
          <w:bCs/>
          <w:color w:val="auto"/>
          <w:sz w:val="21"/>
          <w:szCs w:val="21"/>
          <w:lang w:eastAsia="zh-CN"/>
        </w:rPr>
      </w:pPr>
      <w:bookmarkStart w:id="25" w:name="_Toc15643"/>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保密要求</w:t>
      </w:r>
      <w:bookmarkEnd w:id="25"/>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1、成交单位须在合同中进行责任约定；成交单位在工作期间必须遵守业主方的相关保密制度；</w:t>
      </w:r>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2、工作人员不得以任何形式将各项档案资料带出指定工作现场，不得以任何形式进行泄漏、传播；不得无故查看及讨论档案内容；</w:t>
      </w:r>
    </w:p>
    <w:p>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3、各种档案文件，不得丢失、泄密、损坏。</w:t>
      </w:r>
    </w:p>
    <w:p>
      <w:pPr>
        <w:widowControl/>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人员安排要求</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人员保障到位：1.中标人拟派出的项目负责人、技术负责人等项目组人员必须为投标单位正式在职员工，中标后签订合同前提供近6个月的社保证明。本项目要求项目负责人及核心团队必须全程专职在岗，未经招标人同意不得更换或兼任其他项目职务。因特殊情况确需变更的，须经所在镇同意并报</w:t>
      </w:r>
      <w:r>
        <w:rPr>
          <w:rFonts w:hint="eastAsia" w:cs="Arial"/>
          <w:color w:val="auto"/>
          <w:sz w:val="22"/>
          <w:szCs w:val="22"/>
          <w:lang w:val="en-US" w:eastAsia="zh-CN"/>
        </w:rPr>
        <w:t>市</w:t>
      </w:r>
      <w:r>
        <w:rPr>
          <w:rFonts w:hint="eastAsia" w:ascii="Arial" w:hAnsi="Arial" w:cs="Arial"/>
          <w:color w:val="auto"/>
          <w:sz w:val="22"/>
          <w:szCs w:val="22"/>
          <w:lang w:eastAsia="en-US"/>
        </w:rPr>
        <w:t>农业农村</w:t>
      </w:r>
      <w:r>
        <w:rPr>
          <w:rFonts w:hint="eastAsia" w:cs="Arial"/>
          <w:color w:val="auto"/>
          <w:sz w:val="22"/>
          <w:szCs w:val="22"/>
          <w:lang w:val="en-US" w:eastAsia="zh-CN"/>
        </w:rPr>
        <w:t>局</w:t>
      </w:r>
      <w:r>
        <w:rPr>
          <w:rFonts w:hint="eastAsia" w:ascii="Arial" w:hAnsi="Arial" w:cs="Arial"/>
          <w:color w:val="auto"/>
          <w:sz w:val="22"/>
          <w:szCs w:val="22"/>
          <w:lang w:eastAsia="en-US"/>
        </w:rPr>
        <w:t>确认。变更后的人员须符合招标文件规定的任职条件。</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2、无论因何原因项目负责人易人，发包人有权处罚3万元以内罚金；技术负责人、质量负责人，团队其他成员无论因何原因易人，发包人有权处罚1万元以内罚金。如有特殊情况，须经双方协商。</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3、工作期间，中标单位应打足工作时间，配足工作人员，如果因此延误工作进度，甲方有权扣款处罚。</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4、主要管理人员离开工程所在地应书面请假，并由本人签字。项目负责人离开2天以</w:t>
      </w:r>
      <w:r>
        <w:rPr>
          <w:rFonts w:hint="eastAsia" w:cs="Arial"/>
          <w:color w:val="auto"/>
          <w:sz w:val="22"/>
          <w:szCs w:val="22"/>
          <w:lang w:val="en-US" w:eastAsia="zh-CN"/>
        </w:rPr>
        <w:t>上</w:t>
      </w:r>
      <w:r>
        <w:rPr>
          <w:rFonts w:hint="eastAsia" w:ascii="Arial" w:hAnsi="Arial" w:cs="Arial"/>
          <w:color w:val="auto"/>
          <w:sz w:val="22"/>
          <w:szCs w:val="22"/>
          <w:lang w:eastAsia="en-US"/>
        </w:rPr>
        <w:t>（含2天）</w:t>
      </w:r>
      <w:r>
        <w:rPr>
          <w:rFonts w:hint="eastAsia" w:cs="Arial"/>
          <w:color w:val="auto"/>
          <w:sz w:val="22"/>
          <w:szCs w:val="22"/>
          <w:lang w:val="en-US" w:eastAsia="zh-CN"/>
        </w:rPr>
        <w:t>须</w:t>
      </w:r>
      <w:r>
        <w:rPr>
          <w:rFonts w:hint="eastAsia" w:ascii="Arial" w:hAnsi="Arial" w:cs="Arial"/>
          <w:color w:val="auto"/>
          <w:sz w:val="22"/>
          <w:szCs w:val="22"/>
          <w:lang w:eastAsia="en-US"/>
        </w:rPr>
        <w:t>报</w:t>
      </w:r>
      <w:r>
        <w:rPr>
          <w:rFonts w:hint="eastAsia" w:ascii="Arial" w:hAnsi="Arial" w:cs="Arial"/>
          <w:color w:val="auto"/>
          <w:sz w:val="22"/>
          <w:szCs w:val="22"/>
          <w:highlight w:val="none"/>
          <w:lang w:eastAsia="en-US"/>
        </w:rPr>
        <w:t>乡</w:t>
      </w:r>
      <w:r>
        <w:rPr>
          <w:rFonts w:hint="eastAsia" w:ascii="Arial" w:hAnsi="Arial" w:cs="Arial"/>
          <w:color w:val="auto"/>
          <w:sz w:val="22"/>
          <w:szCs w:val="22"/>
          <w:lang w:eastAsia="en-US"/>
        </w:rPr>
        <w:t xml:space="preserve">镇核备。 </w:t>
      </w:r>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5、需中标单位出席的工作例会等会议，必须按照会议要求的出席人员参会。</w:t>
      </w:r>
    </w:p>
    <w:p>
      <w:pPr>
        <w:widowControl w:val="0"/>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lang w:eastAsia="en-US"/>
        </w:rPr>
        <w:t>6、工作方面：严格按照国家、省市县政策要求执行，按时保质保量通过上级验收。若无法按时保质保量完成的，甲方有权扣款处罚。</w:t>
      </w:r>
    </w:p>
    <w:p>
      <w:pPr>
        <w:widowControl/>
        <w:spacing w:line="400" w:lineRule="exact"/>
        <w:ind w:left="440" w:leftChars="200" w:firstLine="0"/>
        <w:outlineLvl w:val="1"/>
        <w:rPr>
          <w:rFonts w:hint="eastAsia" w:ascii="宋体" w:hAnsi="宋体" w:eastAsia="宋体" w:cs="宋体"/>
          <w:b/>
          <w:bCs/>
          <w:color w:val="auto"/>
          <w:sz w:val="21"/>
          <w:szCs w:val="21"/>
          <w:lang w:eastAsia="zh-CN"/>
        </w:rPr>
      </w:pPr>
      <w:bookmarkStart w:id="26" w:name="_Toc23146"/>
      <w:bookmarkStart w:id="27" w:name="_Toc7379"/>
      <w:bookmarkStart w:id="28" w:name="_Toc19212"/>
      <w:bookmarkStart w:id="29" w:name="_Toc1428"/>
      <w:r>
        <w:rPr>
          <w:rFonts w:hint="eastAsia" w:ascii="宋体" w:hAnsi="宋体" w:eastAsia="宋体" w:cs="宋体"/>
          <w:b/>
          <w:bCs/>
          <w:color w:val="auto"/>
          <w:sz w:val="24"/>
          <w:szCs w:val="24"/>
          <w:lang w:eastAsia="zh-CN"/>
        </w:rPr>
        <w:t>十二、</w:t>
      </w:r>
      <w:r>
        <w:rPr>
          <w:rFonts w:hint="eastAsia" w:ascii="宋体" w:hAnsi="宋体" w:eastAsia="宋体" w:cs="宋体"/>
          <w:b/>
          <w:bCs/>
          <w:color w:val="auto"/>
          <w:sz w:val="21"/>
          <w:szCs w:val="21"/>
          <w:lang w:eastAsia="zh-CN"/>
        </w:rPr>
        <w:t>工作进度安排要求</w:t>
      </w:r>
      <w:bookmarkEnd w:id="26"/>
      <w:bookmarkEnd w:id="27"/>
      <w:bookmarkEnd w:id="28"/>
      <w:bookmarkEnd w:id="29"/>
      <w:bookmarkStart w:id="31" w:name="_GoBack"/>
      <w:bookmarkEnd w:id="31"/>
    </w:p>
    <w:p>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项目截止2026年6月30日完成，服务期限延长至2028年12月底（开始时间以具体签订合同时间为准），具体实施内容及进度根据新沂市农业农村局实际工作进度安排实施。（具体时间以省、市、县三级实际工作进度要求为准）。</w:t>
      </w:r>
    </w:p>
    <w:p>
      <w:pPr>
        <w:widowControl/>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质量要求</w:t>
      </w:r>
    </w:p>
    <w:p>
      <w:pPr>
        <w:adjustRightInd w:val="0"/>
        <w:snapToGrid w:val="0"/>
        <w:spacing w:after="0" w:line="360" w:lineRule="auto"/>
        <w:ind w:firstLine="420" w:firstLineChars="200"/>
        <w:rPr>
          <w:rFonts w:hint="eastAsia" w:ascii="宋体" w:hAnsi="宋体" w:cs="宋体"/>
          <w:color w:val="auto"/>
          <w:sz w:val="21"/>
          <w:szCs w:val="21"/>
          <w:lang w:eastAsia="zh-CN"/>
        </w:rPr>
      </w:pPr>
      <w:r>
        <w:rPr>
          <w:rStyle w:val="20"/>
          <w:rFonts w:hint="eastAsia" w:ascii="宋体" w:hAnsi="宋体" w:cs="宋体"/>
          <w:color w:val="auto"/>
          <w:sz w:val="21"/>
          <w:szCs w:val="21"/>
          <w:lang w:eastAsia="zh-CN"/>
        </w:rPr>
        <w:t>项目成果需符合国家、省、市行业相关标准和农业农村部要求，并根据要求通过采购人组织的验收。</w:t>
      </w:r>
      <w:r>
        <w:rPr>
          <w:rFonts w:hint="eastAsia" w:ascii="宋体" w:hAnsi="宋体" w:cs="宋体"/>
          <w:color w:val="auto"/>
          <w:sz w:val="21"/>
          <w:szCs w:val="21"/>
          <w:lang w:eastAsia="zh-CN"/>
        </w:rPr>
        <w:t>如果在合同履行过程中有新的国家或行业（部）规范和标准出台的，则供应商应确保其合同内容达到并符合新的国家或行业（部）规范和标准。</w:t>
      </w:r>
    </w:p>
    <w:p>
      <w:pPr>
        <w:widowControl/>
        <w:adjustRightInd/>
        <w:snapToGrid/>
        <w:spacing w:after="0" w:line="400" w:lineRule="exact"/>
        <w:ind w:left="440" w:leftChars="200" w:firstLine="0" w:firstLineChars="0"/>
        <w:outlineLvl w:val="1"/>
        <w:rPr>
          <w:rFonts w:hint="eastAsia" w:ascii="宋体" w:hAnsi="宋体" w:eastAsia="宋体" w:cs="宋体"/>
          <w:b/>
          <w:bCs/>
          <w:color w:val="auto"/>
          <w:sz w:val="21"/>
          <w:szCs w:val="21"/>
          <w:lang w:eastAsia="zh-CN"/>
        </w:rPr>
      </w:pPr>
      <w:r>
        <w:rPr>
          <w:rFonts w:hint="eastAsia" w:ascii="宋体" w:hAnsi="宋体" w:eastAsia="宋体" w:cs="宋体"/>
          <w:b/>
          <w:bCs/>
          <w:color w:val="auto"/>
          <w:sz w:val="24"/>
          <w:szCs w:val="24"/>
          <w:lang w:eastAsia="zh-CN"/>
        </w:rPr>
        <w:t>十四、</w:t>
      </w:r>
      <w:r>
        <w:rPr>
          <w:rFonts w:hint="eastAsia" w:ascii="宋体" w:hAnsi="宋体" w:eastAsia="宋体" w:cs="宋体"/>
          <w:b/>
          <w:bCs/>
          <w:color w:val="auto"/>
          <w:sz w:val="21"/>
          <w:szCs w:val="21"/>
          <w:lang w:eastAsia="zh-CN"/>
        </w:rPr>
        <w:t>安全生产要求</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合同履行过程中，供应商</w:t>
      </w:r>
      <w:r>
        <w:rPr>
          <w:rFonts w:hint="eastAsia" w:ascii="宋体" w:hAnsi="宋体" w:cs="宋体"/>
          <w:color w:val="auto"/>
          <w:sz w:val="21"/>
          <w:szCs w:val="21"/>
          <w:lang w:val="en-US" w:eastAsia="zh-CN"/>
        </w:rPr>
        <w:t>须</w:t>
      </w:r>
      <w:r>
        <w:rPr>
          <w:rFonts w:hint="eastAsia" w:ascii="宋体" w:hAnsi="宋体" w:cs="宋体"/>
          <w:strike/>
          <w:color w:val="auto"/>
          <w:sz w:val="21"/>
          <w:szCs w:val="21"/>
          <w:lang w:eastAsia="zh-CN"/>
        </w:rPr>
        <w:t>需</w:t>
      </w:r>
      <w:r>
        <w:rPr>
          <w:rFonts w:hint="eastAsia" w:ascii="宋体" w:hAnsi="宋体" w:cs="宋体"/>
          <w:color w:val="auto"/>
          <w:sz w:val="21"/>
          <w:szCs w:val="21"/>
          <w:lang w:eastAsia="zh-CN"/>
        </w:rPr>
        <w:t>确保新沂市农村土地承包经营权二轮到期延包30年数据的安全和生产人员的人身安全。</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1、数据安全</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ascii="宋体" w:hAnsi="宋体" w:cs="宋体"/>
          <w:color w:val="auto"/>
          <w:sz w:val="21"/>
          <w:szCs w:val="21"/>
          <w:lang w:eastAsia="zh-CN"/>
        </w:rPr>
        <w:t>1)</w:t>
      </w:r>
      <w:r>
        <w:rPr>
          <w:rFonts w:hint="eastAsia" w:ascii="宋体" w:hAnsi="宋体" w:cs="宋体"/>
          <w:color w:val="auto"/>
          <w:sz w:val="21"/>
          <w:szCs w:val="21"/>
          <w:lang w:eastAsia="zh-CN"/>
        </w:rPr>
        <w:t xml:space="preserve"> 供应商在工作期间必须遵守采购人的相关保密制度；</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w:t>
      </w:r>
      <w:r>
        <w:rPr>
          <w:rFonts w:ascii="宋体" w:hAnsi="宋体" w:cs="宋体"/>
          <w:color w:val="auto"/>
          <w:sz w:val="21"/>
          <w:szCs w:val="21"/>
          <w:lang w:eastAsia="zh-CN"/>
        </w:rPr>
        <w:t>)</w:t>
      </w:r>
      <w:r>
        <w:rPr>
          <w:rFonts w:hint="eastAsia" w:ascii="宋体" w:hAnsi="宋体" w:cs="宋体"/>
          <w:color w:val="auto"/>
          <w:sz w:val="21"/>
          <w:szCs w:val="21"/>
          <w:lang w:eastAsia="zh-CN"/>
        </w:rPr>
        <w:t xml:space="preserve"> 工作人员不得以任何形式将各项档案资料带出指定工作现场，不得以任何形式进行泄漏、传播，不得无故查看及讨论档案内容；</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w:t>
      </w:r>
      <w:r>
        <w:rPr>
          <w:rFonts w:ascii="宋体" w:hAnsi="宋体" w:cs="宋体"/>
          <w:color w:val="auto"/>
          <w:sz w:val="21"/>
          <w:szCs w:val="21"/>
          <w:lang w:eastAsia="zh-CN"/>
        </w:rPr>
        <w:t>)</w:t>
      </w:r>
      <w:r>
        <w:rPr>
          <w:rFonts w:hint="eastAsia" w:ascii="宋体" w:hAnsi="宋体" w:cs="宋体"/>
          <w:color w:val="auto"/>
          <w:sz w:val="21"/>
          <w:szCs w:val="21"/>
          <w:lang w:eastAsia="zh-CN"/>
        </w:rPr>
        <w:t xml:space="preserve"> 各种档案文件，不得丢失、泄密、损坏；</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4）项目要求数据建库工作全程在符合保密要求的环境下进行。供应商在实施过程中不能留有承包地块数据、自然资源数据的任何复制产品。</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2、人身安全</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ascii="宋体" w:hAnsi="宋体" w:cs="宋体"/>
          <w:color w:val="auto"/>
          <w:sz w:val="21"/>
          <w:szCs w:val="21"/>
          <w:lang w:eastAsia="zh-CN"/>
        </w:rPr>
        <w:t>1)</w:t>
      </w:r>
      <w:r>
        <w:rPr>
          <w:rFonts w:hint="eastAsia" w:ascii="宋体" w:hAnsi="宋体" w:cs="宋体"/>
          <w:color w:val="auto"/>
          <w:sz w:val="21"/>
          <w:szCs w:val="21"/>
          <w:lang w:eastAsia="zh-CN"/>
        </w:rPr>
        <w:t xml:space="preserve"> 做好安全生产条件评估和人身安全培训，配备相应的个人防护用品；</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2）在工作期间，应避免和农民群众发生冲突，遇到矛盾纠纷及时和延包工作小组联系；</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3）农村土地承包经营权二轮到期延包</w:t>
      </w:r>
      <w:r>
        <w:rPr>
          <w:rFonts w:ascii="宋体" w:hAnsi="宋体" w:cs="宋体"/>
          <w:color w:val="auto"/>
          <w:sz w:val="21"/>
          <w:szCs w:val="21"/>
          <w:lang w:eastAsia="zh-CN"/>
        </w:rPr>
        <w:t>30</w:t>
      </w:r>
      <w:r>
        <w:rPr>
          <w:rFonts w:hint="eastAsia" w:ascii="宋体" w:hAnsi="宋体" w:cs="宋体"/>
          <w:color w:val="auto"/>
          <w:sz w:val="21"/>
          <w:szCs w:val="21"/>
          <w:lang w:eastAsia="zh-CN"/>
        </w:rPr>
        <w:t>年数据具备较高的保密性，要求供应商加强对实施人员安全意识的培养。</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3、网络安全性</w:t>
      </w:r>
    </w:p>
    <w:p>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网络安全包括物理的和逻辑的网络安全。要求供应商在实施的过程中，所使用的终端设备不能连接到外部网络，以免数据被非法修改和复制。</w:t>
      </w:r>
    </w:p>
    <w:p>
      <w:pPr>
        <w:spacing w:line="400" w:lineRule="exact"/>
        <w:ind w:firstLine="420"/>
        <w:rPr>
          <w:rFonts w:hint="eastAsia" w:ascii="宋体" w:hAnsi="宋体" w:cs="Times New Roman"/>
          <w:b/>
          <w:bCs/>
          <w:color w:val="auto"/>
          <w:sz w:val="21"/>
          <w:szCs w:val="21"/>
          <w:lang w:eastAsia="zh-CN"/>
        </w:rPr>
      </w:pPr>
      <w:r>
        <w:rPr>
          <w:rFonts w:hint="eastAsia" w:ascii="宋体" w:hAnsi="宋体" w:cs="Times New Roman"/>
          <w:b/>
          <w:bCs/>
          <w:color w:val="auto"/>
          <w:sz w:val="21"/>
          <w:szCs w:val="21"/>
          <w:lang w:eastAsia="zh-CN"/>
        </w:rPr>
        <w:t>4、其他要求</w:t>
      </w:r>
    </w:p>
    <w:p>
      <w:pPr>
        <w:pStyle w:val="2"/>
        <w:adjustRightInd w:val="0"/>
        <w:snapToGrid w:val="0"/>
        <w:spacing w:before="0" w:after="0" w:line="360" w:lineRule="auto"/>
        <w:ind w:firstLine="422" w:firstLineChars="200"/>
        <w:outlineLvl w:val="9"/>
        <w:rPr>
          <w:rFonts w:hint="eastAsia" w:ascii="宋体" w:hAnsi="宋体" w:cs="宋体"/>
          <w:color w:val="auto"/>
          <w:sz w:val="21"/>
          <w:szCs w:val="21"/>
          <w:lang w:eastAsia="zh-CN"/>
        </w:rPr>
      </w:pPr>
      <w:bookmarkStart w:id="30" w:name="OLE_LINK7"/>
      <w:r>
        <w:rPr>
          <w:rFonts w:hint="eastAsia" w:ascii="宋体" w:hAnsi="宋体" w:cs="宋体"/>
          <w:color w:val="auto"/>
          <w:sz w:val="21"/>
          <w:szCs w:val="21"/>
          <w:lang w:eastAsia="zh-CN"/>
        </w:rPr>
        <w:t>若调查成果经上级质量核查不合格，由中标供应商负责重新调查整改。直至按照部省要求，完成延包数据汇交、档案归档等工作，并协助不动产登记中心登记发证工作。</w:t>
      </w:r>
      <w:bookmarkEnd w:id="30"/>
    </w:p>
    <w:p>
      <w:pPr>
        <w:spacing w:line="400" w:lineRule="exact"/>
        <w:ind w:firstLine="422"/>
        <w:rPr>
          <w:rFonts w:hint="eastAsia" w:ascii="宋体" w:hAnsi="宋体" w:eastAsia="宋体" w:cs="宋体"/>
          <w:b/>
          <w:bCs/>
          <w:color w:val="auto"/>
          <w:sz w:val="21"/>
          <w:szCs w:val="21"/>
          <w:lang w:eastAsia="zh-CN"/>
        </w:rPr>
      </w:pPr>
      <w:r>
        <w:rPr>
          <w:rFonts w:hint="eastAsia" w:ascii="宋体" w:hAnsi="宋体" w:eastAsia="宋体" w:cs="宋体"/>
          <w:b/>
          <w:bCs/>
          <w:color w:val="auto"/>
          <w:sz w:val="24"/>
          <w:szCs w:val="24"/>
          <w:lang w:eastAsia="zh-CN"/>
        </w:rPr>
        <w:t>十五、</w:t>
      </w:r>
      <w:r>
        <w:rPr>
          <w:rFonts w:hint="eastAsia" w:ascii="宋体" w:hAnsi="宋体" w:eastAsia="宋体" w:cs="宋体"/>
          <w:b/>
          <w:bCs/>
          <w:color w:val="auto"/>
          <w:sz w:val="21"/>
          <w:szCs w:val="21"/>
          <w:lang w:eastAsia="zh-CN"/>
        </w:rPr>
        <w:t>保密要求</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1、中标单位须在合同中进行责任约定；中标单位在工作期间必须遵守业主方的相关保密制度；</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2、工作人员不得以任何形式将各项档案资料带出</w:t>
      </w:r>
      <w:r>
        <w:rPr>
          <w:rFonts w:hint="eastAsia" w:ascii="宋体" w:hAnsi="宋体" w:cs="宋体"/>
          <w:color w:val="auto"/>
          <w:sz w:val="21"/>
          <w:szCs w:val="21"/>
          <w:lang w:val="en-US" w:eastAsia="zh-CN"/>
        </w:rPr>
        <w:t>指定</w:t>
      </w:r>
      <w:r>
        <w:rPr>
          <w:rFonts w:hint="eastAsia" w:ascii="宋体" w:hAnsi="宋体" w:cs="宋体"/>
          <w:color w:val="auto"/>
          <w:sz w:val="21"/>
          <w:szCs w:val="21"/>
          <w:lang w:eastAsia="zh-CN"/>
        </w:rPr>
        <w:t>工作场所，不得以任何形式进行泄露、传播；不得无故查看及讨论档案内容。</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3、各种档案文件，不得丢失、泄密、损坏。</w:t>
      </w:r>
    </w:p>
    <w:p>
      <w:pPr>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十六、</w:t>
      </w:r>
      <w:r>
        <w:rPr>
          <w:rFonts w:hint="eastAsia" w:ascii="宋体" w:hAnsi="宋体" w:eastAsia="宋体" w:cs="宋体"/>
          <w:b/>
          <w:bCs/>
          <w:color w:val="auto"/>
          <w:sz w:val="21"/>
          <w:szCs w:val="21"/>
          <w:lang w:eastAsia="zh-CN"/>
        </w:rPr>
        <w:t>服务质量保证及售后服务要求</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供应商需严格按采购人规定的时间完成项目的全部工作内容，如在实施的过程中出现错误、误差，需负责及时更正直至采购人（或监理单位）确认合格，供应商在项目进行过程中产生的任何安全、损坏等责任事故一律由供应商自行承担。</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2、供应商应按照通过最终成果检验的要求进行质量控制，质量保证措施应全面、具体、安全、合理、切实可行、责任明确。</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3、供应商需提供必要的技术支持，协助采购人完成其他需要供应商配合的服务。</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4、供应商应严格遵守服务合约，项目完成以后，如采购人有需要供应商配合的服务，供应商必须予以配合，协助采购人完善项目内容。</w:t>
      </w:r>
    </w:p>
    <w:p>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5、此项目要求提供多样化技术支持服务，处理出现的各种问题，以保证工作的正常运行。二轮延包完成后质保期延长至2028年，质保期内成果存在任何问题或上级部门制定新的成果提交要求，供应商均需按要求对成果进行更新或整改。服务期和质保期内供应商服务响应时间为</w:t>
      </w:r>
      <w:r>
        <w:rPr>
          <w:rFonts w:ascii="宋体" w:hAnsi="宋体" w:cs="宋体"/>
          <w:color w:val="auto"/>
          <w:sz w:val="21"/>
          <w:szCs w:val="21"/>
          <w:lang w:eastAsia="zh-CN"/>
        </w:rPr>
        <w:t>2</w:t>
      </w:r>
      <w:r>
        <w:rPr>
          <w:rFonts w:hint="eastAsia" w:ascii="宋体" w:hAnsi="宋体" w:cs="宋体"/>
          <w:color w:val="auto"/>
          <w:sz w:val="21"/>
          <w:szCs w:val="21"/>
          <w:lang w:eastAsia="zh-CN"/>
        </w:rPr>
        <w:t>小时、一般售后问题时间控制在</w:t>
      </w:r>
      <w:r>
        <w:rPr>
          <w:rFonts w:ascii="宋体" w:hAnsi="宋体" w:cs="宋体"/>
          <w:color w:val="auto"/>
          <w:sz w:val="21"/>
          <w:szCs w:val="21"/>
          <w:lang w:eastAsia="zh-CN"/>
        </w:rPr>
        <w:t>4</w:t>
      </w:r>
      <w:r>
        <w:rPr>
          <w:rFonts w:hint="eastAsia" w:ascii="宋体" w:hAnsi="宋体" w:cs="宋体"/>
          <w:color w:val="auto"/>
          <w:sz w:val="21"/>
          <w:szCs w:val="21"/>
          <w:lang w:eastAsia="zh-CN"/>
        </w:rPr>
        <w:t>小时内、重大售后问题时间控制住</w:t>
      </w:r>
      <w:r>
        <w:rPr>
          <w:rFonts w:ascii="宋体" w:hAnsi="宋体" w:cs="宋体"/>
          <w:color w:val="auto"/>
          <w:sz w:val="21"/>
          <w:szCs w:val="21"/>
          <w:lang w:eastAsia="zh-CN"/>
        </w:rPr>
        <w:t>8</w:t>
      </w:r>
      <w:r>
        <w:rPr>
          <w:rFonts w:hint="eastAsia" w:ascii="宋体" w:hAnsi="宋体" w:cs="宋体"/>
          <w:color w:val="auto"/>
          <w:sz w:val="21"/>
          <w:szCs w:val="21"/>
          <w:lang w:eastAsia="zh-CN"/>
        </w:rPr>
        <w:t>小时内。在客户工作需要技术支持情况下，如需现场解决，到达现场时间不超过</w:t>
      </w:r>
      <w:r>
        <w:rPr>
          <w:rFonts w:ascii="宋体" w:hAnsi="宋体" w:cs="宋体"/>
          <w:color w:val="auto"/>
          <w:sz w:val="21"/>
          <w:szCs w:val="21"/>
          <w:lang w:eastAsia="zh-CN"/>
        </w:rPr>
        <w:t>12</w:t>
      </w:r>
      <w:r>
        <w:rPr>
          <w:rFonts w:hint="eastAsia" w:ascii="宋体" w:hAnsi="宋体" w:cs="宋体"/>
          <w:color w:val="auto"/>
          <w:sz w:val="21"/>
          <w:szCs w:val="21"/>
          <w:lang w:eastAsia="zh-CN"/>
        </w:rPr>
        <w:t>小时，特殊情况下不超过</w:t>
      </w:r>
      <w:r>
        <w:rPr>
          <w:rFonts w:ascii="宋体" w:hAnsi="宋体" w:cs="宋体"/>
          <w:color w:val="auto"/>
          <w:sz w:val="21"/>
          <w:szCs w:val="21"/>
          <w:lang w:eastAsia="zh-CN"/>
        </w:rPr>
        <w:t>24</w:t>
      </w:r>
      <w:r>
        <w:rPr>
          <w:rFonts w:hint="eastAsia" w:ascii="宋体" w:hAnsi="宋体" w:cs="宋体"/>
          <w:color w:val="auto"/>
          <w:sz w:val="21"/>
          <w:szCs w:val="21"/>
          <w:lang w:eastAsia="zh-CN"/>
        </w:rPr>
        <w:t>小时。</w:t>
      </w:r>
    </w:p>
    <w:p>
      <w:pPr>
        <w:pStyle w:val="27"/>
        <w:widowControl w:val="0"/>
        <w:adjustRightInd w:val="0"/>
        <w:snapToGrid w:val="0"/>
        <w:spacing w:line="360" w:lineRule="auto"/>
        <w:ind w:firstLine="473"/>
        <w:rPr>
          <w:color w:val="auto"/>
          <w:sz w:val="21"/>
          <w:szCs w:val="21"/>
          <w:lang w:eastAsia="zh-CN"/>
        </w:rPr>
      </w:pPr>
      <w:r>
        <w:rPr>
          <w:rFonts w:hint="eastAsia" w:ascii="宋体" w:hAnsi="宋体"/>
          <w:b/>
          <w:bCs/>
          <w:color w:val="auto"/>
          <w:sz w:val="21"/>
          <w:szCs w:val="21"/>
          <w:lang w:eastAsia="zh-CN"/>
        </w:rPr>
        <w:t>6、其它要求。</w:t>
      </w:r>
      <w:r>
        <w:rPr>
          <w:rFonts w:hint="eastAsia" w:ascii="宋体" w:hAnsi="宋体" w:cs="宋体"/>
          <w:color w:val="auto"/>
          <w:sz w:val="21"/>
          <w:szCs w:val="21"/>
          <w:lang w:eastAsia="zh-CN" w:bidi="ar"/>
        </w:rPr>
        <w:t>供应商做出的各种方案</w:t>
      </w:r>
      <w:r>
        <w:rPr>
          <w:rFonts w:ascii="宋体" w:hAnsi="宋体" w:cs="宋体"/>
          <w:color w:val="auto"/>
          <w:sz w:val="21"/>
          <w:szCs w:val="21"/>
          <w:lang w:eastAsia="zh-CN" w:bidi="ar"/>
        </w:rPr>
        <w:t>应</w:t>
      </w:r>
      <w:r>
        <w:rPr>
          <w:rFonts w:hint="eastAsia" w:ascii="宋体" w:hAnsi="宋体" w:cs="宋体"/>
          <w:color w:val="auto"/>
          <w:sz w:val="21"/>
          <w:szCs w:val="21"/>
          <w:lang w:eastAsia="zh-CN" w:bidi="ar"/>
        </w:rPr>
        <w:t>细化到具体环节，充分考虑到新沂市二轮延包工作的各个环节，</w:t>
      </w:r>
      <w:r>
        <w:rPr>
          <w:rFonts w:ascii="宋体" w:hAnsi="宋体" w:cs="宋体"/>
          <w:color w:val="auto"/>
          <w:sz w:val="21"/>
          <w:szCs w:val="21"/>
          <w:lang w:eastAsia="zh-CN" w:bidi="ar"/>
        </w:rPr>
        <w:t>包括时间进度、所需的资源和负责实施方案的</w:t>
      </w:r>
      <w:r>
        <w:rPr>
          <w:rFonts w:ascii="宋体" w:hAnsi="宋体" w:cs="宋体"/>
          <w:color w:val="auto"/>
          <w:sz w:val="21"/>
          <w:szCs w:val="21"/>
          <w:highlight w:val="none"/>
          <w:lang w:eastAsia="zh-CN" w:bidi="ar"/>
        </w:rPr>
        <w:t>人员</w:t>
      </w:r>
      <w:r>
        <w:rPr>
          <w:rFonts w:hint="eastAsia" w:ascii="宋体" w:hAnsi="宋体" w:cs="宋体"/>
          <w:color w:val="auto"/>
          <w:sz w:val="21"/>
          <w:szCs w:val="21"/>
          <w:highlight w:val="none"/>
          <w:lang w:eastAsia="zh-CN" w:bidi="ar"/>
        </w:rPr>
        <w:t>，同时</w:t>
      </w:r>
      <w:r>
        <w:rPr>
          <w:rFonts w:hint="eastAsia" w:ascii="宋体" w:hAnsi="宋体" w:cs="宋体"/>
          <w:color w:val="auto"/>
          <w:sz w:val="21"/>
          <w:szCs w:val="21"/>
          <w:highlight w:val="none"/>
          <w:lang w:val="en-US" w:eastAsia="zh-CN" w:bidi="ar"/>
        </w:rPr>
        <w:t>应</w:t>
      </w:r>
      <w:r>
        <w:rPr>
          <w:rFonts w:ascii="宋体" w:hAnsi="宋体" w:cs="宋体"/>
          <w:color w:val="auto"/>
          <w:sz w:val="21"/>
          <w:szCs w:val="21"/>
          <w:highlight w:val="none"/>
          <w:lang w:eastAsia="zh-CN" w:bidi="ar"/>
        </w:rPr>
        <w:t>顾及短期和</w:t>
      </w:r>
      <w:r>
        <w:rPr>
          <w:rFonts w:ascii="宋体" w:hAnsi="宋体" w:cs="宋体"/>
          <w:color w:val="auto"/>
          <w:sz w:val="21"/>
          <w:szCs w:val="21"/>
          <w:lang w:eastAsia="zh-CN" w:bidi="ar"/>
        </w:rPr>
        <w:t>长期的需要</w:t>
      </w:r>
      <w:r>
        <w:rPr>
          <w:rFonts w:hint="eastAsia" w:ascii="宋体" w:hAnsi="宋体" w:cs="宋体"/>
          <w:color w:val="auto"/>
          <w:sz w:val="21"/>
          <w:szCs w:val="21"/>
          <w:lang w:eastAsia="zh-CN" w:bidi="ar"/>
        </w:rPr>
        <w:t>；供应商</w:t>
      </w:r>
      <w:r>
        <w:rPr>
          <w:rFonts w:ascii="宋体" w:hAnsi="宋体" w:cs="宋体"/>
          <w:color w:val="auto"/>
          <w:sz w:val="21"/>
          <w:szCs w:val="21"/>
          <w:lang w:eastAsia="zh-CN" w:bidi="ar"/>
        </w:rPr>
        <w:t>应当根据自身的经济条件，考虑选用适宜的、成本效益高的最佳可行技术。</w:t>
      </w:r>
    </w:p>
    <w:p>
      <w:pPr>
        <w:spacing w:line="400" w:lineRule="exact"/>
        <w:ind w:left="440" w:leftChars="20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十七、</w:t>
      </w:r>
      <w:r>
        <w:rPr>
          <w:rFonts w:hint="eastAsia" w:ascii="宋体" w:hAnsi="宋体" w:eastAsia="宋体" w:cs="宋体"/>
          <w:b/>
          <w:bCs/>
          <w:color w:val="auto"/>
          <w:sz w:val="21"/>
          <w:szCs w:val="21"/>
          <w:lang w:eastAsia="zh-CN"/>
        </w:rPr>
        <w:t>采购标的对应的中小企业划分标准所属行业一览表</w:t>
      </w:r>
    </w:p>
    <w:tbl>
      <w:tblPr>
        <w:tblStyle w:val="19"/>
        <w:tblW w:w="935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267"/>
        <w:gridCol w:w="4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CellSpacing w:w="0" w:type="dxa"/>
          <w:jc w:val="center"/>
        </w:trPr>
        <w:tc>
          <w:tcPr>
            <w:tcW w:w="925" w:type="dxa"/>
            <w:vAlign w:val="center"/>
          </w:tcPr>
          <w:p>
            <w:pPr>
              <w:pStyle w:val="28"/>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序号</w:t>
            </w:r>
          </w:p>
        </w:tc>
        <w:tc>
          <w:tcPr>
            <w:tcW w:w="4267" w:type="dxa"/>
            <w:vAlign w:val="center"/>
          </w:tcPr>
          <w:p>
            <w:pPr>
              <w:pStyle w:val="28"/>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采购标的</w:t>
            </w:r>
          </w:p>
        </w:tc>
        <w:tc>
          <w:tcPr>
            <w:tcW w:w="4163" w:type="dxa"/>
            <w:vAlign w:val="center"/>
          </w:tcPr>
          <w:p>
            <w:pPr>
              <w:pStyle w:val="28"/>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对应中小企业划分标准所属行业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blCellSpacing w:w="0" w:type="dxa"/>
          <w:jc w:val="center"/>
        </w:trPr>
        <w:tc>
          <w:tcPr>
            <w:tcW w:w="925" w:type="dxa"/>
            <w:vAlign w:val="center"/>
          </w:tcPr>
          <w:p>
            <w:pPr>
              <w:pStyle w:val="28"/>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1</w:t>
            </w:r>
          </w:p>
        </w:tc>
        <w:tc>
          <w:tcPr>
            <w:tcW w:w="4267" w:type="dxa"/>
            <w:vAlign w:val="center"/>
          </w:tcPr>
          <w:p>
            <w:pPr>
              <w:pStyle w:val="28"/>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新沂市高流镇2025年第二轮土地承包到期后再延长30年试点项目</w:t>
            </w:r>
          </w:p>
        </w:tc>
        <w:tc>
          <w:tcPr>
            <w:tcW w:w="4163" w:type="dxa"/>
            <w:vAlign w:val="center"/>
          </w:tcPr>
          <w:p>
            <w:pPr>
              <w:pStyle w:val="28"/>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olor w:val="auto"/>
                <w:sz w:val="21"/>
                <w:szCs w:val="21"/>
                <w:lang w:eastAsia="zh-CN"/>
              </w:rPr>
              <w:t>其他未列明行业</w:t>
            </w:r>
          </w:p>
        </w:tc>
      </w:tr>
    </w:tbl>
    <w:p>
      <w:pPr>
        <w:spacing w:line="360" w:lineRule="auto"/>
        <w:jc w:val="center"/>
        <w:outlineLvl w:val="0"/>
        <w:rPr>
          <w:rFonts w:hint="eastAsia" w:ascii="宋体" w:hAnsi="宋体" w:cs="新宋体"/>
          <w:b/>
          <w:color w:val="auto"/>
          <w:sz w:val="32"/>
          <w:szCs w:val="32"/>
          <w:lang w:eastAsia="zh-CN"/>
        </w:rPr>
      </w:pPr>
    </w:p>
    <w:p>
      <w:pPr>
        <w:spacing w:line="360" w:lineRule="auto"/>
        <w:jc w:val="center"/>
        <w:outlineLvl w:val="0"/>
        <w:rPr>
          <w:rFonts w:hint="eastAsia" w:ascii="宋体" w:hAnsi="宋体" w:cs="新宋体"/>
          <w:b/>
          <w:color w:val="auto"/>
          <w:sz w:val="32"/>
          <w:szCs w:val="32"/>
          <w:lang w:eastAsia="zh-CN"/>
        </w:rPr>
      </w:pPr>
    </w:p>
    <w:p>
      <w:pPr>
        <w:rPr>
          <w:color w:val="auto"/>
        </w:rPr>
      </w:pPr>
    </w:p>
    <w:p>
      <w:pPr>
        <w:rPr>
          <w:color w:val="auto"/>
        </w:rPr>
      </w:pPr>
    </w:p>
    <w:sectPr>
      <w:footerReference r:id="rId6" w:type="default"/>
      <w:pgSz w:w="11906" w:h="16838"/>
      <w:pgMar w:top="1417" w:right="1417" w:bottom="1417"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3"/>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1974965D"/>
    <w:multiLevelType w:val="singleLevel"/>
    <w:tmpl w:val="1974965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MWE4OGNmOGI1MTNkMzBiYTFhM2YzMWExOGEzOTEifQ=="/>
  </w:docVars>
  <w:rsids>
    <w:rsidRoot w:val="11054266"/>
    <w:rsid w:val="00353EFF"/>
    <w:rsid w:val="003C26A5"/>
    <w:rsid w:val="00B13460"/>
    <w:rsid w:val="00DA3E5E"/>
    <w:rsid w:val="0374019C"/>
    <w:rsid w:val="059D1142"/>
    <w:rsid w:val="0C90592A"/>
    <w:rsid w:val="11054266"/>
    <w:rsid w:val="15AD217F"/>
    <w:rsid w:val="16A42449"/>
    <w:rsid w:val="1C6639F3"/>
    <w:rsid w:val="217562BF"/>
    <w:rsid w:val="28AD5CD0"/>
    <w:rsid w:val="2EDB2A8D"/>
    <w:rsid w:val="31EC5663"/>
    <w:rsid w:val="34A730C0"/>
    <w:rsid w:val="355C2FF1"/>
    <w:rsid w:val="3EA6303D"/>
    <w:rsid w:val="48A24F81"/>
    <w:rsid w:val="53205058"/>
    <w:rsid w:val="533A4E9A"/>
    <w:rsid w:val="5F801F47"/>
    <w:rsid w:val="62C639BF"/>
    <w:rsid w:val="63B16E91"/>
    <w:rsid w:val="6E1B220B"/>
    <w:rsid w:val="719A273D"/>
    <w:rsid w:val="7A545D6B"/>
    <w:rsid w:val="7C3C5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Arial" w:hAnsi="Arial" w:eastAsia="宋体" w:cs="Arial"/>
      <w:sz w:val="22"/>
      <w:szCs w:val="22"/>
      <w:lang w:val="en-US" w:eastAsia="en-US"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41"/>
    <w:basedOn w:val="1"/>
    <w:next w:val="3"/>
    <w:qFormat/>
    <w:uiPriority w:val="0"/>
    <w:pPr>
      <w:keepNext/>
      <w:keepLines/>
      <w:spacing w:before="280" w:after="290" w:line="376" w:lineRule="auto"/>
      <w:outlineLvl w:val="3"/>
    </w:pPr>
    <w:rPr>
      <w:rFonts w:eastAsia="黑体"/>
      <w:b/>
      <w:bCs/>
      <w:sz w:val="28"/>
      <w:szCs w:val="28"/>
    </w:rPr>
  </w:style>
  <w:style w:type="paragraph" w:customStyle="1" w:styleId="3">
    <w:name w:val="正文缩进1"/>
    <w:basedOn w:val="1"/>
    <w:next w:val="1"/>
    <w:qFormat/>
    <w:uiPriority w:val="0"/>
    <w:pPr>
      <w:ind w:firstLine="420"/>
    </w:pPr>
    <w:rPr>
      <w:szCs w:val="21"/>
    </w:rPr>
  </w:style>
  <w:style w:type="paragraph" w:styleId="4">
    <w:name w:val="annotation text"/>
    <w:basedOn w:val="1"/>
    <w:link w:val="30"/>
    <w:qFormat/>
    <w:uiPriority w:val="0"/>
  </w:style>
  <w:style w:type="paragraph" w:styleId="5">
    <w:name w:val="Body Text"/>
    <w:basedOn w:val="1"/>
    <w:next w:val="6"/>
    <w:qFormat/>
    <w:uiPriority w:val="0"/>
    <w:rPr>
      <w:rFonts w:ascii="楷体_GB2312" w:hAnsi="Arial" w:eastAsia="楷体_GB2312"/>
      <w:sz w:val="28"/>
      <w:szCs w:val="28"/>
    </w:rPr>
  </w:style>
  <w:style w:type="paragraph" w:customStyle="1" w:styleId="6">
    <w:name w:val="一级条标题"/>
    <w:basedOn w:val="7"/>
    <w:next w:val="1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7">
    <w:name w:val="章标题"/>
    <w:next w:val="8"/>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8">
    <w:name w:val="正文1"/>
    <w:basedOn w:val="9"/>
    <w:next w:val="11"/>
    <w:qFormat/>
    <w:uiPriority w:val="0"/>
    <w:pPr>
      <w:spacing w:line="360" w:lineRule="atLeast"/>
      <w:jc w:val="left"/>
    </w:pPr>
    <w:rPr>
      <w:rFonts w:ascii="宋体"/>
      <w:sz w:val="24"/>
      <w:szCs w:val="20"/>
    </w:rPr>
  </w:style>
  <w:style w:type="paragraph" w:customStyle="1" w:styleId="9">
    <w:name w:val="正文111"/>
    <w:next w:val="10"/>
    <w:link w:val="3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0">
    <w:name w:val="正文文本缩进11"/>
    <w:basedOn w:val="9"/>
    <w:qFormat/>
    <w:uiPriority w:val="0"/>
    <w:pPr>
      <w:spacing w:after="120"/>
      <w:ind w:left="420"/>
    </w:pPr>
  </w:style>
  <w:style w:type="paragraph" w:customStyle="1" w:styleId="11">
    <w:name w:val="正文文本1"/>
    <w:basedOn w:val="12"/>
    <w:next w:val="6"/>
    <w:qFormat/>
    <w:uiPriority w:val="0"/>
    <w:rPr>
      <w:rFonts w:ascii="楷体_GB2312" w:hAnsi="Arial" w:eastAsia="楷体_GB2312"/>
      <w:sz w:val="28"/>
      <w:szCs w:val="28"/>
    </w:rPr>
  </w:style>
  <w:style w:type="paragraph" w:customStyle="1" w:styleId="12">
    <w:name w:val="正文11"/>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标题 21"/>
    <w:basedOn w:val="12"/>
    <w:next w:val="12"/>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14">
    <w:name w:val="段"/>
    <w:basedOn w:val="8"/>
    <w:next w:val="8"/>
    <w:qFormat/>
    <w:uiPriority w:val="0"/>
    <w:pPr>
      <w:widowControl/>
      <w:ind w:firstLine="200"/>
    </w:pPr>
    <w:rPr>
      <w:rFonts w:ascii="宋体"/>
      <w:sz w:val="20"/>
      <w:szCs w:val="20"/>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itle"/>
    <w:basedOn w:val="1"/>
    <w:next w:val="1"/>
    <w:qFormat/>
    <w:uiPriority w:val="0"/>
    <w:pPr>
      <w:spacing w:before="300" w:after="200"/>
      <w:contextualSpacing/>
    </w:pPr>
    <w:rPr>
      <w:sz w:val="48"/>
      <w:szCs w:val="48"/>
    </w:rPr>
  </w:style>
  <w:style w:type="paragraph" w:styleId="18">
    <w:name w:val="annotation subject"/>
    <w:basedOn w:val="4"/>
    <w:next w:val="4"/>
    <w:link w:val="31"/>
    <w:qFormat/>
    <w:uiPriority w:val="0"/>
    <w:rPr>
      <w:b/>
      <w:bCs/>
    </w:rPr>
  </w:style>
  <w:style w:type="character" w:styleId="21">
    <w:name w:val="annotation reference"/>
    <w:basedOn w:val="20"/>
    <w:qFormat/>
    <w:uiPriority w:val="0"/>
    <w:rPr>
      <w:sz w:val="21"/>
      <w:szCs w:val="21"/>
    </w:rPr>
  </w:style>
  <w:style w:type="paragraph" w:customStyle="1" w:styleId="22">
    <w:name w:val="Body Text First Indent 2"/>
    <w:basedOn w:val="23"/>
    <w:next w:val="1"/>
    <w:qFormat/>
    <w:uiPriority w:val="0"/>
    <w:pPr>
      <w:spacing w:line="360" w:lineRule="auto"/>
      <w:ind w:firstLine="200" w:firstLineChars="200"/>
    </w:pPr>
    <w:rPr>
      <w:rFonts w:ascii="宋体"/>
      <w:szCs w:val="20"/>
    </w:rPr>
  </w:style>
  <w:style w:type="paragraph" w:customStyle="1" w:styleId="23">
    <w:name w:val="Body Text Indent"/>
    <w:basedOn w:val="1"/>
    <w:next w:val="24"/>
    <w:qFormat/>
    <w:uiPriority w:val="0"/>
    <w:pPr>
      <w:spacing w:after="120" w:afterLines="0"/>
      <w:ind w:left="200" w:leftChars="200"/>
    </w:pPr>
  </w:style>
  <w:style w:type="paragraph" w:customStyle="1" w:styleId="24">
    <w:name w:val="envelope return"/>
    <w:basedOn w:val="1"/>
    <w:next w:val="17"/>
    <w:qFormat/>
    <w:uiPriority w:val="0"/>
    <w:pPr>
      <w:snapToGrid w:val="0"/>
    </w:pPr>
    <w:rPr>
      <w:rFonts w:ascii="Arial" w:hAnsi="Arial"/>
    </w:rPr>
  </w:style>
  <w:style w:type="character" w:customStyle="1" w:styleId="25">
    <w:name w:val="NormalCharacter1"/>
    <w:semiHidden/>
    <w:qFormat/>
    <w:uiPriority w:val="0"/>
    <w:rPr>
      <w:rFonts w:hint="default" w:ascii="Arial" w:hAnsi="Arial" w:eastAsia="宋体" w:cs="Arial"/>
      <w:sz w:val="22"/>
      <w:szCs w:val="22"/>
      <w:lang w:val="en-US" w:eastAsia="en-US" w:bidi="ar-SA"/>
    </w:rPr>
  </w:style>
  <w:style w:type="paragraph" w:customStyle="1" w:styleId="26">
    <w:name w:val="Default"/>
    <w:qFormat/>
    <w:uiPriority w:val="0"/>
    <w:pPr>
      <w:widowControl w:val="0"/>
    </w:pPr>
    <w:rPr>
      <w:rFonts w:ascii="宋体" w:hAnsi="Times New Roman" w:eastAsia="宋体" w:cs="Times New Roman"/>
      <w:color w:val="000000"/>
      <w:sz w:val="24"/>
      <w:szCs w:val="24"/>
      <w:lang w:val="en-US" w:eastAsia="zh-CN" w:bidi="ar-SA"/>
    </w:rPr>
  </w:style>
  <w:style w:type="paragraph" w:customStyle="1" w:styleId="27">
    <w:name w:val="列出段落1"/>
    <w:basedOn w:val="1"/>
    <w:qFormat/>
    <w:uiPriority w:val="34"/>
    <w:pPr>
      <w:ind w:firstLine="420"/>
    </w:pPr>
    <w:rPr>
      <w:rFonts w:cs="Times New Roman"/>
    </w:rPr>
  </w:style>
  <w:style w:type="paragraph" w:customStyle="1" w:styleId="28">
    <w:name w:val="普通(网站)11"/>
    <w:basedOn w:val="1"/>
    <w:qFormat/>
    <w:uiPriority w:val="0"/>
    <w:pPr>
      <w:spacing w:beforeAutospacing="1" w:afterAutospacing="1"/>
    </w:pPr>
    <w:rPr>
      <w:sz w:val="24"/>
    </w:rPr>
  </w:style>
  <w:style w:type="paragraph" w:customStyle="1" w:styleId="29">
    <w:name w:val="Revision"/>
    <w:hidden/>
    <w:unhideWhenUsed/>
    <w:qFormat/>
    <w:uiPriority w:val="99"/>
    <w:rPr>
      <w:rFonts w:ascii="Arial" w:hAnsi="Arial" w:eastAsia="宋体" w:cs="Arial"/>
      <w:sz w:val="22"/>
      <w:szCs w:val="22"/>
      <w:lang w:val="en-US" w:eastAsia="en-US" w:bidi="ar-SA"/>
    </w:rPr>
  </w:style>
  <w:style w:type="character" w:customStyle="1" w:styleId="30">
    <w:name w:val="批注文字 字符"/>
    <w:basedOn w:val="20"/>
    <w:link w:val="4"/>
    <w:qFormat/>
    <w:uiPriority w:val="0"/>
    <w:rPr>
      <w:rFonts w:ascii="Arial" w:hAnsi="Arial" w:eastAsia="宋体" w:cs="Arial"/>
      <w:sz w:val="22"/>
      <w:szCs w:val="22"/>
      <w:lang w:eastAsia="en-US"/>
    </w:rPr>
  </w:style>
  <w:style w:type="character" w:customStyle="1" w:styleId="31">
    <w:name w:val="批注主题 字符"/>
    <w:basedOn w:val="30"/>
    <w:link w:val="18"/>
    <w:qFormat/>
    <w:uiPriority w:val="0"/>
    <w:rPr>
      <w:rFonts w:ascii="Arial" w:hAnsi="Arial" w:eastAsia="宋体" w:cs="Arial"/>
      <w:b/>
      <w:bCs/>
      <w:sz w:val="22"/>
      <w:szCs w:val="22"/>
      <w:lang w:eastAsia="en-US"/>
    </w:rPr>
  </w:style>
  <w:style w:type="character" w:customStyle="1" w:styleId="32">
    <w:name w:val="默认段落字体1"/>
    <w:link w:val="9"/>
    <w:semiHidden/>
    <w:qFormat/>
    <w:uiPriority w:val="0"/>
    <w:rPr>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8514</Words>
  <Characters>9144</Characters>
  <Lines>68</Lines>
  <Paragraphs>19</Paragraphs>
  <TotalTime>1</TotalTime>
  <ScaleCrop>false</ScaleCrop>
  <LinksUpToDate>false</LinksUpToDate>
  <CharactersWithSpaces>9202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2025-12-03T03:05:00Z</dcterms:created>
  <dc:creator>之乎者</dc:creator>
  <cp:lastModifiedBy>南京南大尚诚软件科技有限公司</cp:lastModifiedBy>
  <cp:lastPrinted>2025-12-24T10:02:00Z</cp:lastPrinted>
  <dcterms:modified xsi:type="dcterms:W3CDTF">2025-12-25T07:52:21Z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14E0A5B3BF6B4481BA0DCF0B9677121A_13</vt:lpwstr>
  </property>
  <property fmtid="{D5CDD505-2E9C-101B-9397-08002B2CF9AE}" pid="4" name="KSOTemplateDocerSaveRecord">
    <vt:lpwstr>eyJoZGlkIjoiMWUxY2NmNDgzMjFlYWMwZWJhODYwOTZjZTQyMjg4NDUiLCJ1c2VySWQiOiIxMjE1Mzc1MzE5In0=</vt:lpwstr>
  </property>
</Properties>
</file>