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CC42">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r>
        <w:rPr>
          <w:rFonts w:hint="eastAsia" w:ascii="宋体" w:hAnsi="宋体" w:eastAsia="宋体" w:cs="宋体"/>
          <w:kern w:val="0"/>
          <w:sz w:val="24"/>
          <w:szCs w:val="24"/>
        </w:rPr>
        <w:t>如有建议或意见，请以书面形式并加盖公章、注明联系人、联系方式，于202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日17:00之前送至我单位，逾期不受理（如邮寄，202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日17:00之后到达本公司的邮件将不再受理）。</w:t>
      </w:r>
    </w:p>
    <w:p w14:paraId="4536E2F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28BF35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1200EB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44BD2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D874BA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B9C51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97440C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C07FC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A82D34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860B09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27B8B3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C302B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CDDB57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404FE1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A4D2C5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2B6232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32FECD0">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AC1130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7170B5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50BE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31AF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D53E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6FACFE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91407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2CA956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491D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B5C655D">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F47D8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39A3BA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657EBCD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AE02E6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9FD76F0">
      <w:pPr>
        <w:keepNext w:val="0"/>
        <w:keepLines w:val="0"/>
        <w:pageBreakBefore w:val="0"/>
        <w:widowControl w:val="0"/>
        <w:kinsoku/>
        <w:wordWrap/>
        <w:overflowPunct/>
        <w:topLinePunct w:val="0"/>
        <w:autoSpaceDE/>
        <w:autoSpaceDN/>
        <w:bidi w:val="0"/>
        <w:spacing w:line="4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采购需求征求意见公示</w:t>
      </w:r>
    </w:p>
    <w:p w14:paraId="79C897B2">
      <w:pPr>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lang w:eastAsia="zh-CN"/>
        </w:rPr>
        <w:t>云龙区城东环状公园一期绿化养护</w:t>
      </w:r>
    </w:p>
    <w:p w14:paraId="1CB6A1F5">
      <w:pPr>
        <w:numPr>
          <w:ilvl w:val="0"/>
          <w:numId w:val="0"/>
        </w:numP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highlight w:val="none"/>
          <w:lang w:eastAsia="zh-CN"/>
        </w:rPr>
        <w:t>二、</w:t>
      </w:r>
      <w:r>
        <w:rPr>
          <w:rFonts w:hint="eastAsia" w:ascii="宋体" w:hAnsi="宋体" w:eastAsia="宋体" w:cs="宋体"/>
          <w:b/>
          <w:bCs/>
          <w:color w:val="auto"/>
          <w:sz w:val="24"/>
          <w:szCs w:val="24"/>
          <w:highlight w:val="none"/>
        </w:rPr>
        <w:t>本项目不接受超过</w:t>
      </w:r>
      <w:r>
        <w:rPr>
          <w:rFonts w:hint="eastAsia" w:ascii="宋体" w:hAnsi="宋体" w:cs="宋体"/>
          <w:b/>
          <w:bCs/>
          <w:color w:val="auto"/>
          <w:sz w:val="24"/>
          <w:szCs w:val="24"/>
          <w:highlight w:val="none"/>
          <w:lang w:val="en-US" w:eastAsia="zh-CN"/>
        </w:rPr>
        <w:t>68万元（34万元/年）</w:t>
      </w:r>
      <w:r>
        <w:rPr>
          <w:rFonts w:hint="eastAsia" w:ascii="宋体" w:hAnsi="宋体" w:eastAsia="宋体" w:cs="宋体"/>
          <w:b/>
          <w:bCs/>
          <w:color w:val="auto"/>
          <w:sz w:val="24"/>
          <w:szCs w:val="24"/>
          <w:highlight w:val="none"/>
        </w:rPr>
        <w:t>（采购项目预算金额）的</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报价</w:t>
      </w:r>
      <w:r>
        <w:rPr>
          <w:rFonts w:hint="eastAsia" w:ascii="宋体" w:hAnsi="宋体" w:eastAsia="宋体" w:cs="宋体"/>
          <w:b/>
          <w:bCs/>
          <w:color w:val="auto"/>
          <w:sz w:val="24"/>
          <w:szCs w:val="24"/>
          <w:highlight w:val="none"/>
          <w:lang w:eastAsia="zh-CN"/>
        </w:rPr>
        <w:t>（首次报价和最后报价）。报价包含项目完成所需全部费用，采购人不再支付报价以外的任何费用。</w:t>
      </w:r>
    </w:p>
    <w:p w14:paraId="00B8C3F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b w:val="0"/>
          <w:bCs w:val="0"/>
          <w:color w:val="auto"/>
          <w:sz w:val="24"/>
          <w:szCs w:val="24"/>
          <w:highlight w:val="none"/>
          <w:lang w:val="en-US" w:eastAsia="zh-CN"/>
        </w:rPr>
        <w:t>养护管理期限为</w:t>
      </w:r>
      <w:r>
        <w:rPr>
          <w:rFonts w:hint="eastAsia" w:ascii="宋体" w:hAnsi="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年</w:t>
      </w:r>
    </w:p>
    <w:p w14:paraId="79EFBF13">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服务内容：</w:t>
      </w:r>
      <w:r>
        <w:rPr>
          <w:rFonts w:hint="eastAsia" w:ascii="宋体" w:hAnsi="宋体" w:cs="宋体"/>
          <w:color w:val="auto"/>
          <w:sz w:val="24"/>
          <w:szCs w:val="24"/>
          <w:highlight w:val="none"/>
          <w:lang w:val="en-US" w:eastAsia="zh-CN"/>
        </w:rPr>
        <w:t>云龙区城东环状公园养护：68000平方米；服务范围内所有绿地的养护管理,包括园艺养护（修剪、除草、施肥等）、卫生保洁、秩序管理、设施设备维修保养、病虫害防治、厕所管理、垃圾清理清运等。</w:t>
      </w:r>
    </w:p>
    <w:p w14:paraId="54FAC928">
      <w:pPr>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项目要求：</w:t>
      </w:r>
    </w:p>
    <w:p w14:paraId="51DA2F5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（一）园艺部分</w:t>
      </w:r>
    </w:p>
    <w:p w14:paraId="0A2FEE6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1、树木</w:t>
      </w:r>
    </w:p>
    <w:p w14:paraId="669BBE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1.1生长旺盛，树干挺直，倾斜度不超过10度，树冠圆整，主侧枝分枝均匀，内膛通风透光；行道树分枝点统一、整齐；花灌木修剪及时合理。</w:t>
      </w:r>
    </w:p>
    <w:p w14:paraId="78B34B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1.2叶色正常，无卷叶、黄叶（生长季节），无病虫害；枝干健壮，无枯死枝，无蛀干害虫危害。</w:t>
      </w:r>
    </w:p>
    <w:p w14:paraId="41D647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1.3无死树枯枝，缺株率在2%以下（含2%）。</w:t>
      </w:r>
    </w:p>
    <w:p w14:paraId="361707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1.4树干伤口及时处理，树洞及时修补。</w:t>
      </w:r>
    </w:p>
    <w:p w14:paraId="1F24C0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1.5树池规格一致，池缘整齐，完好无损。</w:t>
      </w:r>
    </w:p>
    <w:p w14:paraId="1ED97EA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1.6涂白均匀，上口平齐，距地面1.2米。</w:t>
      </w:r>
    </w:p>
    <w:p w14:paraId="0E2CF2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1.7苗木扶正，要求对道路及绿地内歪斜苗木进行及时扶正。</w:t>
      </w:r>
    </w:p>
    <w:p w14:paraId="6D4213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1.8生长季节连续20天无降雨需及时浇水或喷雾除尘，喷雾除尘时需结合使用植物清洗剂，提高植物鲜洁度。</w:t>
      </w:r>
    </w:p>
    <w:p w14:paraId="602BB8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1.9、5-10月每月修剪（或剥芽）二次，冬天整形修剪一次。</w:t>
      </w:r>
    </w:p>
    <w:p w14:paraId="60A496E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每年施厩肥一次。</w:t>
      </w:r>
    </w:p>
    <w:p w14:paraId="72788E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2、草坪、地被</w:t>
      </w:r>
    </w:p>
    <w:p w14:paraId="18AD545E">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2.1生长旺盛，色泽正常，覆盖率不低于95%，单块空秃面积不超过0.1平方米（0.3m*0.3m）。草坪绿色期：冷季型草坪不得少于300天，暖季型草坪不得少于210天。</w:t>
      </w:r>
    </w:p>
    <w:p w14:paraId="72B8DDF8">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2.2、5-10月每半月清除杂草一遍，冬季前再清除一遍，确保绿地内基本无杂草，杂草率不超过10%</w:t>
      </w:r>
      <w:r>
        <w:rPr>
          <w:rFonts w:hint="eastAsia" w:ascii="宋体" w:hAnsi="宋体" w:eastAsia="宋体" w:cs="宋体"/>
          <w:color w:val="auto"/>
          <w:sz w:val="24"/>
          <w:szCs w:val="24"/>
          <w:highlight w:val="none"/>
          <w:lang w:eastAsia="zh-CN"/>
        </w:rPr>
        <w:t>。</w:t>
      </w:r>
    </w:p>
    <w:p w14:paraId="280569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修剪及时，4月修剪一次，5-10月份冷季型草坪一月修剪两次，暖季型一个月一次，11月上旬一次。修剪高度符合要求，净高度冷季型草坪冬季不超过8cm，夏季不超过10cm，暖季型草坪夏季不超过8cm，冬季尽量低剪。</w:t>
      </w:r>
    </w:p>
    <w:p w14:paraId="0AC9D9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2.4、地形平整，无坑，不积水。</w:t>
      </w:r>
    </w:p>
    <w:p w14:paraId="2D9AD9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2.5、草坪与模纹及苗木树穴之间界限清晰，切边线条流畅。</w:t>
      </w:r>
    </w:p>
    <w:p w14:paraId="7A3D68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2.6、生长季节连续15天无降雨需及时浇水，确保无旱情；进入冬季前全面灌冬水一遍。</w:t>
      </w:r>
    </w:p>
    <w:p w14:paraId="35235AB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2.7、每年施尿素、复合肥等4次以上，确保长势良好。</w:t>
      </w:r>
    </w:p>
    <w:p w14:paraId="557F46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3、绿篱色块及球类</w:t>
      </w:r>
    </w:p>
    <w:p w14:paraId="41365A4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3.1生长旺盛，枝条茂密，色泽正常。</w:t>
      </w:r>
    </w:p>
    <w:p w14:paraId="268FCA7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3.2、“五一”前全面修剪一次，5—1 0月生长旺季随时修剪，新生萌蘖枝条不得高于2cm；修剪线条整齐划一，按设计要求严格控制高度，同一地段球类的形状、规格一致。</w:t>
      </w:r>
    </w:p>
    <w:p w14:paraId="4FE62AB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3.3、完整无缺，缺株空秃应及时补齐。</w:t>
      </w:r>
    </w:p>
    <w:p w14:paraId="7ADD2A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3.4、生长季节连续1 5天无降雨需及时浇水，并结合使用植物清洗剂，冲刷除尘一次，确保植物无旱情并保持清洁度；进入冬季前全面灌冬水一遍。</w:t>
      </w:r>
    </w:p>
    <w:p w14:paraId="1AE837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3.5、冬、春季及时清理越冬杂草，5—1 0月杂草生长旺季，随时清除，确保无明显杂草；冬季前再彻底清除一遍。</w:t>
      </w:r>
    </w:p>
    <w:p w14:paraId="596E9C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3.6、生长季节每月叶面施肥一次；绿篱、色块、球类每年施厩肥二次，确保生长旺盛。</w:t>
      </w:r>
    </w:p>
    <w:p w14:paraId="41D9632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(二)病虫害防治部分</w:t>
      </w:r>
    </w:p>
    <w:p w14:paraId="73FA3A0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病虫害控制在不影响观赏效果的程度内，防治费用由乙方承担。</w:t>
      </w:r>
    </w:p>
    <w:p w14:paraId="7CF2081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1、树木基本无明显的病虫害危害迹象，危害率在8％以下。</w:t>
      </w:r>
    </w:p>
    <w:p w14:paraId="2A2FDD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2、草坪、地被类地上地下无明显病虫危害迹象，危害率8％以下。</w:t>
      </w:r>
    </w:p>
    <w:p w14:paraId="1E35E9D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3、花坛内无严重地上地下无明显病虫危害现象，危害率8％以下。</w:t>
      </w:r>
    </w:p>
    <w:p w14:paraId="56F9DFF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4、绿篱色块及球类基本无明显病虫危害迹象，危害率5％以下。</w:t>
      </w:r>
    </w:p>
    <w:p w14:paraId="6A90859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p>
    <w:p w14:paraId="2D6358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1、园林设施完好无损，</w:t>
      </w:r>
      <w:r>
        <w:rPr>
          <w:rFonts w:hint="eastAsia" w:ascii="宋体" w:hAnsi="宋体" w:eastAsia="宋体" w:cs="宋体"/>
          <w:color w:val="auto"/>
          <w:sz w:val="24"/>
          <w:szCs w:val="24"/>
          <w:highlight w:val="none"/>
          <w:lang w:eastAsia="zh-CN"/>
        </w:rPr>
        <w:t>广场、体育设施、卫生间等完好，</w:t>
      </w:r>
      <w:r>
        <w:rPr>
          <w:rFonts w:hint="eastAsia" w:ascii="宋体" w:hAnsi="宋体" w:eastAsia="宋体" w:cs="宋体"/>
          <w:color w:val="auto"/>
          <w:sz w:val="24"/>
          <w:szCs w:val="24"/>
          <w:highlight w:val="none"/>
        </w:rPr>
        <w:t>无乱贴乱画现象。</w:t>
      </w:r>
    </w:p>
    <w:p w14:paraId="159E66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2、绿化生产垃圾能及时清运。</w:t>
      </w:r>
    </w:p>
    <w:p w14:paraId="6832D50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3、秩序管理绿地内无设摊摆卖，无拴挂，无践踏绿地和其他破坏绿化的行为。</w:t>
      </w:r>
    </w:p>
    <w:p w14:paraId="4613F18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4、台账记录详细如实。</w:t>
      </w:r>
    </w:p>
    <w:p w14:paraId="5B73F1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5、确保甲方在上级各种检查以及各类创建评比活动中不失分，做到批评投诉少。</w:t>
      </w:r>
    </w:p>
    <w:p w14:paraId="62C225E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6、履行合同承诺，每分区绿地内有固定养护人员进行日常养护。</w:t>
      </w:r>
    </w:p>
    <w:p w14:paraId="264637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7、养护单位须配备必要的种植、运输工具，负责养护范围内的树木修补、种植、迁移工作。</w:t>
      </w:r>
    </w:p>
    <w:p w14:paraId="56F1F3A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8、负责养护范围内的盆花、盆景及水生植物的修剪、施肥、除草、浇水等日常养护工作。</w:t>
      </w:r>
    </w:p>
    <w:p w14:paraId="2C2E4C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9、按要求每月将苗木生长情况及日常养护计划，人员安排计划上报</w:t>
      </w:r>
      <w:r>
        <w:rPr>
          <w:rFonts w:hint="eastAsia" w:ascii="宋体" w:hAnsi="宋体" w:eastAsia="宋体" w:cs="宋体"/>
          <w:color w:val="auto"/>
          <w:sz w:val="24"/>
          <w:szCs w:val="24"/>
          <w:highlight w:val="none"/>
          <w:lang w:eastAsia="zh-CN"/>
        </w:rPr>
        <w:t>业主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5E16B94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0、遭遇市政工程、重大活动时，乙方应派人员做好绿地的维护管理工作，保证绿化及设施完好。</w:t>
      </w:r>
    </w:p>
    <w:p w14:paraId="2BC7D4A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11、及时缴纳水费电费，</w:t>
      </w:r>
      <w:r>
        <w:rPr>
          <w:rFonts w:hint="eastAsia" w:ascii="宋体" w:hAnsi="宋体" w:eastAsia="宋体" w:cs="宋体"/>
          <w:color w:val="auto"/>
          <w:sz w:val="24"/>
          <w:szCs w:val="24"/>
          <w:highlight w:val="none"/>
          <w:lang w:eastAsia="zh-CN"/>
        </w:rPr>
        <w:t>及时修复各类设备设施。</w:t>
      </w:r>
    </w:p>
    <w:p w14:paraId="0620A33C">
      <w:pPr>
        <w:numPr>
          <w:ilvl w:val="0"/>
          <w:numId w:val="0"/>
        </w:num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五、工作人员配备要求（本条为实质性响应指标，如不满足，</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bCs/>
          <w:color w:val="auto"/>
          <w:sz w:val="24"/>
          <w:szCs w:val="24"/>
          <w:highlight w:val="none"/>
          <w:lang w:eastAsia="zh-CN"/>
        </w:rPr>
        <w:t>）</w:t>
      </w:r>
    </w:p>
    <w:p w14:paraId="6AE2DE6C">
      <w:pPr>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1、人数要求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4"/>
        <w:gridCol w:w="4474"/>
      </w:tblGrid>
      <w:tr w14:paraId="356C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578" w:type="pct"/>
            <w:noWrap w:val="0"/>
            <w:vAlign w:val="center"/>
          </w:tcPr>
          <w:p w14:paraId="2B2B12B3">
            <w:pPr>
              <w:ind w:firstLine="48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最低工作人员配备要求（人）</w:t>
            </w:r>
          </w:p>
        </w:tc>
        <w:tc>
          <w:tcPr>
            <w:tcW w:w="2421" w:type="pct"/>
            <w:vMerge w:val="restart"/>
            <w:noWrap w:val="0"/>
            <w:vAlign w:val="center"/>
          </w:tcPr>
          <w:p w14:paraId="4785F2C5">
            <w:pPr>
              <w:ind w:firstLine="48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现场养护管理工人最低配备</w:t>
            </w:r>
            <w:r>
              <w:rPr>
                <w:rFonts w:hint="eastAsia" w:ascii="宋体" w:hAnsi="宋体" w:eastAsia="宋体" w:cs="宋体"/>
                <w:bCs/>
                <w:color w:val="auto"/>
                <w:sz w:val="24"/>
                <w:szCs w:val="24"/>
                <w:highlight w:val="none"/>
                <w:lang w:eastAsia="zh-CN"/>
              </w:rPr>
              <w:t>（人）</w:t>
            </w:r>
          </w:p>
        </w:tc>
      </w:tr>
      <w:tr w14:paraId="2E12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578" w:type="pct"/>
            <w:noWrap w:val="0"/>
            <w:vAlign w:val="center"/>
          </w:tcPr>
          <w:p w14:paraId="7A7C8EAC">
            <w:pPr>
              <w:ind w:firstLine="1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项目负责人（人）</w:t>
            </w:r>
          </w:p>
        </w:tc>
        <w:tc>
          <w:tcPr>
            <w:tcW w:w="2421" w:type="pct"/>
            <w:vMerge w:val="continue"/>
            <w:noWrap w:val="0"/>
            <w:vAlign w:val="center"/>
          </w:tcPr>
          <w:p w14:paraId="277B77F0">
            <w:pPr>
              <w:ind w:firstLine="480"/>
              <w:jc w:val="center"/>
              <w:rPr>
                <w:rFonts w:hint="eastAsia" w:ascii="宋体" w:hAnsi="宋体" w:eastAsia="宋体" w:cs="宋体"/>
                <w:bCs/>
                <w:color w:val="auto"/>
                <w:sz w:val="24"/>
                <w:szCs w:val="24"/>
                <w:highlight w:val="none"/>
              </w:rPr>
            </w:pPr>
          </w:p>
        </w:tc>
      </w:tr>
      <w:tr w14:paraId="75CC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2578" w:type="pct"/>
            <w:noWrap w:val="0"/>
            <w:vAlign w:val="center"/>
          </w:tcPr>
          <w:p w14:paraId="69697CE9">
            <w:pPr>
              <w:ind w:firstLine="216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p>
        </w:tc>
        <w:tc>
          <w:tcPr>
            <w:tcW w:w="2421" w:type="pct"/>
            <w:noWrap w:val="0"/>
            <w:vAlign w:val="center"/>
          </w:tcPr>
          <w:p w14:paraId="08ED1BB4">
            <w:pPr>
              <w:ind w:firstLine="48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r>
    </w:tbl>
    <w:p w14:paraId="787F24EB">
      <w:pPr>
        <w:rPr>
          <w:rFonts w:hint="eastAsia" w:ascii="宋体" w:hAnsi="宋体" w:eastAsia="宋体" w:cs="宋体"/>
          <w:b/>
          <w:color w:val="auto"/>
          <w:sz w:val="24"/>
          <w:szCs w:val="24"/>
          <w:highlight w:val="none"/>
        </w:rPr>
      </w:pPr>
    </w:p>
    <w:p w14:paraId="4C8A8A27">
      <w:pPr>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2、负责本项目的项目负责人常驻现场并不得同时兼任其他同类项目的项目负责人。</w:t>
      </w:r>
    </w:p>
    <w:p w14:paraId="4C028ADE">
      <w:pPr>
        <w:numPr>
          <w:ilvl w:val="0"/>
          <w:numId w:val="0"/>
        </w:num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六、管理设备配置要求</w:t>
      </w:r>
    </w:p>
    <w:tbl>
      <w:tblPr>
        <w:tblStyle w:val="21"/>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188"/>
        <w:gridCol w:w="875"/>
        <w:gridCol w:w="1443"/>
        <w:gridCol w:w="1944"/>
      </w:tblGrid>
      <w:tr w14:paraId="71C4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1332" w:type="pct"/>
            <w:noWrap w:val="0"/>
            <w:vAlign w:val="center"/>
          </w:tcPr>
          <w:p w14:paraId="3321D057">
            <w:pPr>
              <w:ind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吊车货车等常用车</w:t>
            </w:r>
          </w:p>
        </w:tc>
        <w:tc>
          <w:tcPr>
            <w:tcW w:w="1244" w:type="pct"/>
            <w:noWrap w:val="0"/>
            <w:vAlign w:val="center"/>
          </w:tcPr>
          <w:p w14:paraId="75C12914">
            <w:pPr>
              <w:ind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打药、喷药设备</w:t>
            </w:r>
          </w:p>
        </w:tc>
        <w:tc>
          <w:tcPr>
            <w:tcW w:w="497" w:type="pct"/>
            <w:noWrap w:val="0"/>
            <w:vAlign w:val="center"/>
          </w:tcPr>
          <w:p w14:paraId="15ED318E">
            <w:pPr>
              <w:ind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水泵</w:t>
            </w:r>
          </w:p>
        </w:tc>
        <w:tc>
          <w:tcPr>
            <w:tcW w:w="820" w:type="pct"/>
            <w:noWrap w:val="0"/>
            <w:vAlign w:val="center"/>
          </w:tcPr>
          <w:p w14:paraId="1E6D2D6C">
            <w:pPr>
              <w:ind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绿篱修剪机</w:t>
            </w:r>
          </w:p>
        </w:tc>
        <w:tc>
          <w:tcPr>
            <w:tcW w:w="1105" w:type="pct"/>
            <w:noWrap w:val="0"/>
            <w:vAlign w:val="center"/>
          </w:tcPr>
          <w:p w14:paraId="465B4BE6">
            <w:pPr>
              <w:ind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草坪修剪机</w:t>
            </w:r>
          </w:p>
        </w:tc>
      </w:tr>
      <w:tr w14:paraId="16F3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332" w:type="pct"/>
            <w:noWrap w:val="0"/>
            <w:vAlign w:val="center"/>
          </w:tcPr>
          <w:p w14:paraId="351F8CF0">
            <w:pPr>
              <w:ind w:left="0" w:firstLine="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辆</w:t>
            </w:r>
          </w:p>
        </w:tc>
        <w:tc>
          <w:tcPr>
            <w:tcW w:w="1244" w:type="pct"/>
            <w:noWrap w:val="0"/>
            <w:vAlign w:val="center"/>
          </w:tcPr>
          <w:p w14:paraId="54ED25C3">
            <w:pPr>
              <w:ind w:left="0" w:firstLine="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台</w:t>
            </w:r>
          </w:p>
        </w:tc>
        <w:tc>
          <w:tcPr>
            <w:tcW w:w="497" w:type="pct"/>
            <w:noWrap w:val="0"/>
            <w:vAlign w:val="center"/>
          </w:tcPr>
          <w:p w14:paraId="7ACE6C8A">
            <w:pPr>
              <w:ind w:left="0" w:firstLine="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台</w:t>
            </w:r>
          </w:p>
        </w:tc>
        <w:tc>
          <w:tcPr>
            <w:tcW w:w="820" w:type="pct"/>
            <w:noWrap w:val="0"/>
            <w:vAlign w:val="center"/>
          </w:tcPr>
          <w:p w14:paraId="5BBE6FEE">
            <w:pPr>
              <w:ind w:left="0" w:firstLine="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台</w:t>
            </w:r>
          </w:p>
        </w:tc>
        <w:tc>
          <w:tcPr>
            <w:tcW w:w="1105" w:type="pct"/>
            <w:noWrap w:val="0"/>
            <w:vAlign w:val="center"/>
          </w:tcPr>
          <w:p w14:paraId="143CDE1E">
            <w:pPr>
              <w:ind w:left="0" w:firstLine="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台</w:t>
            </w:r>
          </w:p>
        </w:tc>
      </w:tr>
    </w:tbl>
    <w:p w14:paraId="3E5B06F5">
      <w:pPr>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七、项目概况</w:t>
      </w:r>
    </w:p>
    <w:p w14:paraId="002FED3F">
      <w:pPr>
        <w:numPr>
          <w:ilvl w:val="0"/>
          <w:numId w:val="0"/>
        </w:num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养护地点：徐州市云龙区</w:t>
      </w:r>
      <w:r>
        <w:rPr>
          <w:rFonts w:hint="eastAsia" w:ascii="宋体" w:hAnsi="宋体" w:cs="宋体"/>
          <w:b/>
          <w:bCs/>
          <w:color w:val="auto"/>
          <w:sz w:val="24"/>
          <w:highlight w:val="none"/>
          <w:lang w:eastAsia="zh-CN"/>
        </w:rPr>
        <w:t>城东环状公园</w:t>
      </w:r>
      <w:r>
        <w:rPr>
          <w:rFonts w:hint="eastAsia" w:ascii="宋体" w:hAnsi="宋体" w:eastAsia="宋体" w:cs="宋体"/>
          <w:b/>
          <w:bCs/>
          <w:color w:val="auto"/>
          <w:sz w:val="24"/>
          <w:szCs w:val="24"/>
          <w:highlight w:val="none"/>
          <w:lang w:val="en-US" w:eastAsia="zh-CN"/>
        </w:rPr>
        <w:t xml:space="preserve"> </w:t>
      </w:r>
    </w:p>
    <w:p w14:paraId="25E2C372">
      <w:pPr>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养护标准：二级乙类</w:t>
      </w:r>
    </w:p>
    <w:p w14:paraId="1B906E90">
      <w:pPr>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养护面积：约</w:t>
      </w:r>
      <w:r>
        <w:rPr>
          <w:rFonts w:hint="eastAsia" w:ascii="宋体" w:hAnsi="宋体" w:cs="宋体"/>
          <w:b/>
          <w:bCs/>
          <w:color w:val="auto"/>
          <w:sz w:val="24"/>
          <w:szCs w:val="24"/>
          <w:highlight w:val="none"/>
          <w:lang w:val="en-US" w:eastAsia="zh-CN"/>
        </w:rPr>
        <w:t xml:space="preserve"> 68000 </w:t>
      </w:r>
      <w:r>
        <w:rPr>
          <w:rFonts w:hint="eastAsia" w:ascii="宋体" w:hAnsi="宋体" w:eastAsia="宋体" w:cs="宋体"/>
          <w:b/>
          <w:bCs/>
          <w:color w:val="auto"/>
          <w:sz w:val="24"/>
          <w:szCs w:val="24"/>
          <w:highlight w:val="none"/>
          <w:lang w:val="en-US" w:eastAsia="zh-CN"/>
        </w:rPr>
        <w:t>平方米，实际养护面积以现场移交为准。</w:t>
      </w:r>
    </w:p>
    <w:p w14:paraId="7D65F4F3">
      <w:pPr>
        <w:numPr>
          <w:ilvl w:val="0"/>
          <w:numId w:val="0"/>
        </w:numPr>
        <w:rPr>
          <w:rFonts w:hint="default" w:ascii="宋体" w:hAnsi="宋体" w:eastAsia="宋体" w:cs="宋体"/>
          <w:color w:val="auto"/>
          <w:sz w:val="24"/>
          <w:szCs w:val="18"/>
          <w:highlight w:val="none"/>
          <w:lang w:val="en-US" w:eastAsia="zh-CN"/>
        </w:rPr>
      </w:pPr>
      <w:r>
        <w:rPr>
          <w:rFonts w:hint="eastAsia" w:ascii="宋体" w:hAnsi="宋体" w:cs="宋体"/>
          <w:b/>
          <w:bCs/>
          <w:color w:val="auto"/>
          <w:sz w:val="24"/>
          <w:szCs w:val="24"/>
          <w:highlight w:val="none"/>
          <w:lang w:val="en-US" w:eastAsia="zh-CN"/>
        </w:rPr>
        <w:t>养护期</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2年</w:t>
      </w:r>
    </w:p>
    <w:p w14:paraId="4FFC6A37">
      <w:pPr>
        <w:pStyle w:val="24"/>
        <w:widowControl w:val="0"/>
        <w:spacing w:line="360" w:lineRule="auto"/>
        <w:ind w:left="0" w:firstLine="0"/>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八</w:t>
      </w:r>
      <w:r>
        <w:rPr>
          <w:rFonts w:hint="eastAsia" w:ascii="宋体" w:hAnsi="宋体" w:eastAsia="宋体" w:cs="宋体"/>
          <w:b/>
          <w:bCs/>
          <w:color w:val="auto"/>
          <w:sz w:val="24"/>
          <w:szCs w:val="18"/>
          <w:highlight w:val="none"/>
        </w:rPr>
        <w:t>、其他要求：</w:t>
      </w:r>
      <w:r>
        <w:rPr>
          <w:rFonts w:hint="eastAsia" w:ascii="宋体" w:hAnsi="宋体" w:eastAsia="宋体" w:cs="宋体"/>
          <w:b/>
          <w:bCs/>
          <w:color w:val="auto"/>
          <w:sz w:val="24"/>
          <w:highlight w:val="none"/>
        </w:rPr>
        <w:t>见《磋商文件》附件：</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、《合同草案条款》。</w:t>
      </w:r>
    </w:p>
    <w:p w14:paraId="44371FF6">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b w:val="0"/>
          <w:bCs/>
          <w:sz w:val="24"/>
          <w:szCs w:val="24"/>
          <w:lang w:val="en-US" w:eastAsia="zh-CN"/>
        </w:rPr>
      </w:pP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RjOGU5NTNiYTUyZWQ4ZjliMDNhMzE4YWQyNTQifQ=="/>
  </w:docVars>
  <w:rsids>
    <w:rsidRoot w:val="00172A27"/>
    <w:rsid w:val="001C048E"/>
    <w:rsid w:val="05F96277"/>
    <w:rsid w:val="0AE60FC0"/>
    <w:rsid w:val="0F1F701F"/>
    <w:rsid w:val="16374B33"/>
    <w:rsid w:val="1EFB34B3"/>
    <w:rsid w:val="1FFC1515"/>
    <w:rsid w:val="22E57C9A"/>
    <w:rsid w:val="26040008"/>
    <w:rsid w:val="28E17951"/>
    <w:rsid w:val="344A48C2"/>
    <w:rsid w:val="348256A2"/>
    <w:rsid w:val="3C763C19"/>
    <w:rsid w:val="43A7797F"/>
    <w:rsid w:val="4BA02817"/>
    <w:rsid w:val="4E7912FE"/>
    <w:rsid w:val="50210776"/>
    <w:rsid w:val="53A56FC8"/>
    <w:rsid w:val="5AED59BE"/>
    <w:rsid w:val="60D4713E"/>
    <w:rsid w:val="6DA60F95"/>
    <w:rsid w:val="725F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spacing w:after="0" w:line="360" w:lineRule="auto"/>
      <w:ind w:left="0" w:firstLine="420"/>
    </w:pPr>
    <w:rPr>
      <w:rFonts w:ascii="宋体" w:hAnsi="宋体"/>
      <w:sz w:val="20"/>
      <w:szCs w:val="20"/>
    </w:rPr>
  </w:style>
  <w:style w:type="paragraph" w:customStyle="1" w:styleId="3">
    <w:name w:val="正文文本缩进11"/>
    <w:basedOn w:val="4"/>
    <w:qFormat/>
    <w:uiPriority w:val="0"/>
    <w:pPr>
      <w:spacing w:after="120"/>
      <w:ind w:left="420"/>
    </w:pPr>
  </w:style>
  <w:style w:type="paragraph" w:customStyle="1" w:styleId="4">
    <w:name w:val="正文112"/>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basedOn w:val="6"/>
    <w:next w:val="17"/>
    <w:qFormat/>
    <w:uiPriority w:val="0"/>
    <w:pPr>
      <w:spacing w:line="360" w:lineRule="auto"/>
      <w:ind w:firstLine="200"/>
    </w:pPr>
    <w:rPr>
      <w:rFonts w:ascii="仿宋_GB2312" w:eastAsia="仿宋_GB2312"/>
      <w:sz w:val="30"/>
      <w:szCs w:val="30"/>
    </w:rPr>
  </w:style>
  <w:style w:type="paragraph" w:styleId="6">
    <w:name w:val="Body Text"/>
    <w:basedOn w:val="1"/>
    <w:next w:val="7"/>
    <w:qFormat/>
    <w:uiPriority w:val="0"/>
    <w:pPr>
      <w:spacing w:after="120"/>
    </w:p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9">
    <w:name w:val="段"/>
    <w:basedOn w:val="10"/>
    <w:next w:val="1"/>
    <w:qFormat/>
    <w:uiPriority w:val="0"/>
    <w:pPr>
      <w:widowControl/>
      <w:ind w:firstLine="200"/>
    </w:pPr>
    <w:rPr>
      <w:rFonts w:ascii="宋体"/>
      <w:sz w:val="20"/>
      <w:szCs w:val="20"/>
    </w:rPr>
  </w:style>
  <w:style w:type="paragraph" w:customStyle="1" w:styleId="10">
    <w:name w:val="正文1"/>
    <w:basedOn w:val="11"/>
    <w:next w:val="16"/>
    <w:qFormat/>
    <w:uiPriority w:val="0"/>
    <w:pPr>
      <w:spacing w:line="360" w:lineRule="atLeast"/>
      <w:jc w:val="left"/>
    </w:pPr>
    <w:rPr>
      <w:rFonts w:ascii="宋体"/>
      <w:sz w:val="24"/>
      <w:szCs w:val="20"/>
    </w:r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目录 11"/>
    <w:basedOn w:val="13"/>
    <w:next w:val="11"/>
    <w:qFormat/>
    <w:uiPriority w:val="0"/>
    <w:pPr>
      <w:spacing w:before="120" w:after="120"/>
      <w:jc w:val="left"/>
    </w:pPr>
    <w:rPr>
      <w:rFonts w:ascii="Calibri" w:hAnsi="Calibri"/>
      <w:b/>
      <w:bCs/>
      <w:caps/>
      <w:sz w:val="20"/>
      <w:szCs w:val="20"/>
    </w:rPr>
  </w:style>
  <w:style w:type="paragraph" w:customStyle="1" w:styleId="13">
    <w:name w:val="正文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脚注文本1"/>
    <w:basedOn w:val="10"/>
    <w:next w:val="15"/>
    <w:qFormat/>
    <w:uiPriority w:val="0"/>
    <w:pPr>
      <w:jc w:val="left"/>
    </w:pPr>
    <w:rPr>
      <w:rFonts w:ascii="宋体" w:eastAsia="Times New Roman"/>
      <w:sz w:val="18"/>
      <w:szCs w:val="18"/>
    </w:rPr>
  </w:style>
  <w:style w:type="paragraph" w:customStyle="1" w:styleId="15">
    <w:name w:val="索引 51"/>
    <w:basedOn w:val="10"/>
    <w:next w:val="10"/>
    <w:qFormat/>
    <w:uiPriority w:val="0"/>
    <w:pPr>
      <w:ind w:left="798"/>
      <w:jc w:val="left"/>
    </w:pPr>
    <w:rPr>
      <w:rFonts w:ascii="Calibri" w:hAnsi="Calibri"/>
    </w:rPr>
  </w:style>
  <w:style w:type="paragraph" w:customStyle="1" w:styleId="16">
    <w:name w:val="正文文本1"/>
    <w:basedOn w:val="10"/>
    <w:next w:val="10"/>
    <w:qFormat/>
    <w:uiPriority w:val="0"/>
    <w:pPr>
      <w:spacing w:after="120"/>
    </w:pPr>
    <w:rPr>
      <w:lang w:val="en-US" w:eastAsia="en-US"/>
    </w:rPr>
  </w:style>
  <w:style w:type="paragraph" w:customStyle="1" w:styleId="17">
    <w:name w:val="正文首行缩进 211"/>
    <w:basedOn w:val="3"/>
    <w:next w:val="4"/>
    <w:qFormat/>
    <w:uiPriority w:val="0"/>
    <w:pPr>
      <w:ind w:firstLine="420"/>
    </w:pPr>
    <w:rPr>
      <w:rFonts w:ascii="Times New Roman" w:hAnsi="Times New Roman"/>
    </w:rPr>
  </w:style>
  <w:style w:type="paragraph" w:styleId="18">
    <w:name w:val="Normal Indent"/>
    <w:basedOn w:val="1"/>
    <w:next w:val="1"/>
    <w:qFormat/>
    <w:uiPriority w:val="0"/>
    <w:pPr>
      <w:ind w:firstLine="420"/>
    </w:pPr>
    <w:rPr>
      <w:szCs w:val="24"/>
    </w:rPr>
  </w:style>
  <w:style w:type="paragraph" w:styleId="19">
    <w:name w:val="Block Text"/>
    <w:basedOn w:val="1"/>
    <w:next w:val="1"/>
    <w:qFormat/>
    <w:uiPriority w:val="0"/>
    <w:pPr>
      <w:autoSpaceDE w:val="0"/>
      <w:autoSpaceDN w:val="0"/>
      <w:adjustRightInd w:val="0"/>
      <w:spacing w:line="240" w:lineRule="auto"/>
      <w:ind w:left="256" w:right="6" w:firstLine="624"/>
    </w:pPr>
    <w:rPr>
      <w:rFonts w:ascii="Times New Roman" w:hAnsi="Times New Roman"/>
      <w:kern w:val="0"/>
      <w:sz w:val="28"/>
      <w:szCs w:val="20"/>
    </w:rPr>
  </w:style>
  <w:style w:type="paragraph" w:styleId="20">
    <w:name w:val="Body Text First Indent"/>
    <w:basedOn w:val="6"/>
    <w:qFormat/>
    <w:uiPriority w:val="0"/>
    <w:pPr>
      <w:spacing w:after="0"/>
      <w:ind w:firstLine="420"/>
    </w:pPr>
    <w:rPr>
      <w:sz w:val="28"/>
      <w:szCs w:val="28"/>
    </w:rPr>
  </w:style>
  <w:style w:type="paragraph" w:customStyle="1" w:styleId="23">
    <w:name w:val="文本块11"/>
    <w:basedOn w:val="13"/>
    <w:unhideWhenUsed/>
    <w:qFormat/>
    <w:uiPriority w:val="0"/>
    <w:pPr>
      <w:spacing w:after="120"/>
      <w:ind w:left="1440" w:right="1440"/>
    </w:pPr>
    <w:rPr>
      <w:rFonts w:ascii="Calibri" w:hAnsi="Calibri"/>
    </w:rPr>
  </w:style>
  <w:style w:type="paragraph" w:customStyle="1" w:styleId="24">
    <w:name w:val="文本块1"/>
    <w:basedOn w:val="11"/>
    <w:next w:val="25"/>
    <w:qFormat/>
    <w:uiPriority w:val="0"/>
    <w:pPr>
      <w:ind w:left="256" w:right="6" w:firstLine="624"/>
    </w:pPr>
    <w:rPr>
      <w:rFonts w:eastAsia="仿宋_GB2312"/>
      <w:sz w:val="28"/>
      <w:szCs w:val="20"/>
    </w:rPr>
  </w:style>
  <w:style w:type="paragraph" w:customStyle="1" w:styleId="25">
    <w:name w:val="标题 41"/>
    <w:basedOn w:val="26"/>
    <w:next w:val="11"/>
    <w:qFormat/>
    <w:uiPriority w:val="0"/>
    <w:pPr>
      <w:keepNext/>
      <w:keepLines/>
      <w:spacing w:before="280" w:after="290" w:line="376" w:lineRule="auto"/>
      <w:outlineLvl w:val="3"/>
    </w:pPr>
    <w:rPr>
      <w:rFonts w:ascii="Cambria" w:hAnsi="Cambria"/>
      <w:b/>
      <w:bCs/>
      <w:sz w:val="28"/>
      <w:szCs w:val="28"/>
    </w:rPr>
  </w:style>
  <w:style w:type="paragraph" w:customStyle="1" w:styleId="26">
    <w:name w:val="标题1"/>
    <w:basedOn w:val="13"/>
    <w:next w:val="4"/>
    <w:qFormat/>
    <w:uiPriority w:val="0"/>
    <w:pPr>
      <w:jc w:val="center"/>
    </w:pPr>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2054</Words>
  <Characters>2178</Characters>
  <Lines>0</Lines>
  <Paragraphs>0</Paragraphs>
  <TotalTime>0</TotalTime>
  <ScaleCrop>false</ScaleCrop>
  <LinksUpToDate>false</LinksUpToDate>
  <CharactersWithSpaces>2184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十月</cp:lastModifiedBy>
  <dcterms:modified xsi:type="dcterms:W3CDTF">2025-12-11T03:12:54Z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FCC47925707F43D1862D5E9ECDD91D3F_12</vt:lpwstr>
  </property>
  <property fmtid="{D5CDD505-2E9C-101B-9397-08002B2CF9AE}" pid="4" name="KSOTemplateDocerSaveRecord">
    <vt:lpwstr>eyJoZGlkIjoiNDAwMDNiMGMwMGFlZjdmYjIxZjFmY2M0NjgxZTQzYzQiLCJ1c2VySWQiOiI1Nzk3Mjk3OTAifQ==</vt:lpwstr>
  </property>
</Properties>
</file>