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A2AD7">
      <w:pPr>
        <w:pStyle w:val="5"/>
        <w:shd w:val="clear" w:color="auto" w:fill="FFFFFF"/>
        <w:jc w:val="center"/>
        <w:rPr>
          <w:rFonts w:ascii="宋体" w:hAnsi="宋体" w:eastAsia="宋体" w:cs="宋体"/>
          <w:color w:val="auto"/>
          <w:kern w:val="0"/>
          <w:highlight w:val="none"/>
        </w:rPr>
      </w:pPr>
      <w:bookmarkStart w:id="0" w:name="_GoBack"/>
      <w:bookmarkEnd w:id="0"/>
      <w:r>
        <w:rPr>
          <w:rFonts w:hint="eastAsia" w:ascii="宋体" w:hAnsi="宋体" w:eastAsia="宋体" w:cs="宋体"/>
          <w:color w:val="auto"/>
          <w:highlight w:val="none"/>
        </w:rPr>
        <w:t>采购需求</w:t>
      </w:r>
    </w:p>
    <w:p w14:paraId="63A5483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一、项目概况</w:t>
      </w:r>
    </w:p>
    <w:p w14:paraId="44BE2D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1、招标人：</w:t>
      </w:r>
      <w:r>
        <w:rPr>
          <w:rFonts w:hint="eastAsia" w:ascii="宋体" w:hAnsi="宋体" w:eastAsia="宋体" w:cs="宋体"/>
          <w:color w:val="auto"/>
          <w:kern w:val="0"/>
          <w:sz w:val="24"/>
          <w:szCs w:val="24"/>
          <w:highlight w:val="none"/>
          <w:lang w:val="en-US" w:eastAsia="zh-CN" w:bidi="ar"/>
        </w:rPr>
        <w:t>徐州市铜山区郑集镇人民政府</w:t>
      </w:r>
    </w:p>
    <w:p w14:paraId="4BAE2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2、项目名称：铜山区郑集镇环卫保洁一体化及生活垃圾分类运营服务项目</w:t>
      </w:r>
    </w:p>
    <w:p w14:paraId="09D4ED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3、片区划分：郑集镇10个行政村，66个自然村范围内主次干道清扫保洁、公共道路及各自然村道路清扫保洁、绿化带保洁、河道保洁、生活垃圾收集、分类和转运；</w:t>
      </w:r>
      <w:r>
        <w:rPr>
          <w:rFonts w:hint="default" w:ascii="宋体" w:hAnsi="宋体" w:eastAsia="宋体" w:cs="宋体"/>
          <w:b w:val="0"/>
          <w:bCs/>
          <w:color w:val="auto"/>
          <w:kern w:val="2"/>
          <w:sz w:val="24"/>
          <w:szCs w:val="24"/>
          <w:highlight w:val="none"/>
          <w:lang w:eastAsia="zh-CN" w:bidi="ar-SA"/>
        </w:rPr>
        <w:t>郑集镇10个行政村，66个自然村内除镇区主街道范围内的其他所有</w:t>
      </w:r>
      <w:r>
        <w:rPr>
          <w:rFonts w:hint="eastAsia" w:ascii="宋体" w:hAnsi="宋体" w:eastAsia="宋体" w:cs="宋体"/>
          <w:b w:val="0"/>
          <w:bCs/>
          <w:color w:val="auto"/>
          <w:kern w:val="2"/>
          <w:sz w:val="24"/>
          <w:szCs w:val="24"/>
          <w:highlight w:val="none"/>
          <w:lang w:val="en-US" w:eastAsia="zh-CN" w:bidi="ar-SA"/>
        </w:rPr>
        <w:t>公厕保洁；</w:t>
      </w:r>
      <w:r>
        <w:rPr>
          <w:rFonts w:hint="eastAsia" w:ascii="宋体" w:hAnsi="宋体" w:eastAsia="宋体" w:cs="宋体"/>
          <w:b w:val="0"/>
          <w:bCs/>
          <w:color w:val="auto"/>
          <w:kern w:val="2"/>
          <w:sz w:val="24"/>
          <w:szCs w:val="24"/>
          <w:highlight w:val="none"/>
          <w:lang w:val="en-US" w:eastAsia="zh-CN" w:bidi="ar-SA"/>
        </w:rPr>
        <w:t>环卫设备添置，生活垃圾直送垃圾焚化厂。保洁作业覆盖率 100%。</w:t>
      </w:r>
    </w:p>
    <w:p w14:paraId="3BE55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4.项目地点：徐州市铜山区郑集镇镇区</w:t>
      </w:r>
    </w:p>
    <w:p w14:paraId="71B46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5、项目预算：本项目不接受超过2090.88万元人民币（采购项目预算金额）的投标报价；</w:t>
      </w:r>
    </w:p>
    <w:p w14:paraId="505815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6、承包时间：3年（承包开始时间须待招标结束后，以采购单位与中标人签订的合同约定为准）。</w:t>
      </w:r>
    </w:p>
    <w:p w14:paraId="5A980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7、承包方式：固定价格包干。</w:t>
      </w:r>
    </w:p>
    <w:p w14:paraId="73AE66C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二、项目内容和考核标准：</w:t>
      </w:r>
      <w:r>
        <w:rPr>
          <w:rFonts w:hint="eastAsia" w:ascii="宋体" w:hAnsi="宋体" w:eastAsia="宋体" w:cs="宋体"/>
          <w:color w:val="auto"/>
          <w:kern w:val="2"/>
          <w:sz w:val="24"/>
          <w:szCs w:val="24"/>
          <w:highlight w:val="none"/>
          <w:lang w:val="en-US" w:eastAsia="zh-CN" w:bidi="ar-SA"/>
        </w:rPr>
        <w:tab/>
      </w:r>
    </w:p>
    <w:p w14:paraId="7D12C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（一）项目地点：</w:t>
      </w:r>
    </w:p>
    <w:p w14:paraId="7160D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郑集镇10个行政村，66个自然村</w:t>
      </w:r>
    </w:p>
    <w:p w14:paraId="754D5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w:t>
      </w:r>
    </w:p>
    <w:p w14:paraId="1A90BBB6">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color w:val="auto"/>
          <w:kern w:val="2"/>
          <w:sz w:val="24"/>
          <w:szCs w:val="24"/>
          <w:highlight w:val="none"/>
          <w:lang w:val="en-US" w:eastAsia="zh-CN" w:bidi="ar-SA"/>
        </w:rPr>
        <w:t>郑集镇10个行政村，66个自然村</w:t>
      </w:r>
      <w:r>
        <w:rPr>
          <w:rFonts w:hint="eastAsia" w:ascii="宋体" w:hAnsi="宋体" w:eastAsia="宋体" w:cs="宋体"/>
          <w:sz w:val="24"/>
          <w:szCs w:val="24"/>
          <w:highlight w:val="none"/>
        </w:rPr>
        <w:t>内除镇区主街道范围内的其他所有公厕</w:t>
      </w:r>
      <w:r>
        <w:rPr>
          <w:rFonts w:hint="eastAsia" w:ascii="宋体" w:hAnsi="宋体" w:eastAsia="宋体" w:cs="宋体"/>
          <w:sz w:val="24"/>
          <w:szCs w:val="24"/>
          <w:highlight w:val="none"/>
        </w:rPr>
        <w:t>卫生保洁管护，墙体广告的清理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垃圾收集容器、垃圾收集转运车辆等环卫设施设备的添置等。</w:t>
      </w:r>
    </w:p>
    <w:p w14:paraId="7561FBD2">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郑集镇10个行政村，66个自然村</w:t>
      </w:r>
      <w:r>
        <w:rPr>
          <w:rFonts w:hint="eastAsia" w:ascii="宋体" w:hAnsi="宋体" w:eastAsia="宋体" w:cs="宋体"/>
          <w:b w:val="0"/>
          <w:bCs w:val="0"/>
          <w:color w:val="auto"/>
          <w:kern w:val="2"/>
          <w:sz w:val="24"/>
          <w:szCs w:val="24"/>
          <w:highlight w:val="none"/>
          <w:lang w:val="en-US" w:eastAsia="zh-CN" w:bidi="ar-SA"/>
        </w:rPr>
        <w:t>范围内除镇区主街道范围内的其他所有公厕</w:t>
      </w:r>
      <w:r>
        <w:rPr>
          <w:rFonts w:hint="eastAsia" w:ascii="宋体" w:hAnsi="宋体" w:eastAsia="宋体" w:cs="宋体"/>
          <w:b w:val="0"/>
          <w:bCs w:val="0"/>
          <w:color w:val="auto"/>
          <w:kern w:val="2"/>
          <w:sz w:val="24"/>
          <w:szCs w:val="24"/>
          <w:highlight w:val="none"/>
          <w:lang w:val="en-US" w:eastAsia="zh-CN" w:bidi="ar-SA"/>
        </w:rPr>
        <w:t>主次道路、背街小巷、广场、绿地、公厕的清扫保洁，保洁范围“墙到墙”，无建筑物的，延伸至可视范围内；保洁范围内清运及垃圾桶周边卫生清理；垃圾桶维护、擦拭。</w:t>
      </w:r>
    </w:p>
    <w:p w14:paraId="7E671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（三）服务期：3年。</w:t>
      </w:r>
    </w:p>
    <w:p w14:paraId="5F810F0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（四）作业标准要求：</w:t>
      </w:r>
    </w:p>
    <w:p w14:paraId="4CD454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镇区作业标准：镇区主次干道、绿化带、路牙石至单位院墙或建筑物间区域路面普扫、垃圾捡拾，路牙石边及人行道铺装路面杂草清除，保洁工对所分区域进行全天巡回保洁；垃圾桶维护、擦拭及时，并摆放有序；可视范围内的纸质宣传张贴单及野广告清除；对垃圾桶进行除臭灭蝇等药物消杀。</w:t>
      </w:r>
    </w:p>
    <w:p w14:paraId="6002F4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生活垃圾密闭运输，做到日产日清，车走地净；车容整洁，车体外无污物、灰垢，标识清晰，密闭运输，无洒、漏、抛现象。</w:t>
      </w:r>
    </w:p>
    <w:p w14:paraId="187342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村庄作业标准：村庄内大街小巷路面一日一次普扫，村庄内外全天巡回保洁，及时将垃圾桶外垃圾清理入桶，保证垃圾桶无满溢现象；路面及道路两侧（绿化带内）、坑塘、排水沟无塑料袋、纸屑等垃圾；墙体上无粘贴小广告及喷涂野广告；生活垃圾收集清理并运送至指定垃圾中转站或垃圾厂处理，运送途中实行密闭无撒漏。</w:t>
      </w:r>
    </w:p>
    <w:p w14:paraId="02F550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公厕管理标准：每天对公厕进行巡回保洁，保持公厕指示牌设置明显规范，且完好、整洁；公厕保持通风良好；公厕内达到四壁无尘，无乱写乱画，乱贴乱挂，门窗玻璃洁净明亮；公厕达到八无：无纸片、无烟蒂、无痰迹、无积灰、无臭味、无蝇蛆、无蛛网、无污物；公厕排水畅通，厕内无渍水，厕外无漫流，化粪池密封紧盖，无粪便满溢；公厕外门前5米范围内卫生要保持干净，无白色污染，无垃圾污物，无残枝落叶；定期对公厕化粪池进行清理，保证化粪池无满溢情况。</w:t>
      </w:r>
    </w:p>
    <w:p w14:paraId="65F6A6D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4.所有镇区、村庄根据实际情况使用垃圾桶、垃圾箱，垃圾收集点用压缩车、转运车清运；</w:t>
      </w:r>
    </w:p>
    <w:p w14:paraId="3C3867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、垃圾转运标准：垃圾统一由保洁公司运送到</w:t>
      </w:r>
      <w:r>
        <w:rPr>
          <w:rFonts w:hint="eastAsia" w:ascii="宋体" w:hAnsi="宋体" w:eastAsia="宋体" w:cs="宋体"/>
          <w:sz w:val="24"/>
          <w:szCs w:val="24"/>
          <w:highlight w:val="none"/>
          <w:lang w:val="en-US" w:eastAsia="zh-CN"/>
        </w:rPr>
        <w:t>指定生活垃圾焚化厂</w:t>
      </w:r>
      <w:r>
        <w:rPr>
          <w:rFonts w:hint="eastAsia" w:ascii="宋体" w:hAnsi="宋体" w:eastAsia="宋体" w:cs="宋体"/>
          <w:sz w:val="24"/>
          <w:szCs w:val="24"/>
          <w:highlight w:val="none"/>
        </w:rPr>
        <w:t>。清运车辆必须按规定封闭运输，途中不得有抛洒滴漏现象，保持车体外观干净整洁</w:t>
      </w:r>
      <w:r>
        <w:rPr>
          <w:rFonts w:hint="eastAsia" w:ascii="宋体" w:hAnsi="宋体" w:eastAsia="宋体" w:cs="宋体"/>
          <w:sz w:val="24"/>
          <w:szCs w:val="24"/>
          <w:highlight w:val="none"/>
          <w:lang w:eastAsia="zh-CN"/>
        </w:rPr>
        <w:t>。</w:t>
      </w:r>
    </w:p>
    <w:p w14:paraId="390A6BE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6.如遇重大活动及上级检查，按工作要求进行实时保洁；</w:t>
      </w:r>
    </w:p>
    <w:p w14:paraId="33F675D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7.配合各级环境卫生管理、监理部门做好检查考核工作；</w:t>
      </w:r>
    </w:p>
    <w:p w14:paraId="600F42A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8.积极协助甲方及上级环境卫生管理部门对个人和单位违反市容环境卫生行为的取证工作；</w:t>
      </w:r>
    </w:p>
    <w:p w14:paraId="62CA203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9.做好紧急、突发事件的处理预案，如停电、冬季除雪等保障处理预案。按甲方规定的时间和要求做好保洁及清运工作；</w:t>
      </w:r>
    </w:p>
    <w:p w14:paraId="446CD78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郑</w:t>
      </w:r>
      <w:r>
        <w:rPr>
          <w:rFonts w:hint="eastAsia" w:ascii="宋体" w:hAnsi="宋体" w:eastAsia="宋体" w:cs="宋体"/>
          <w:sz w:val="24"/>
          <w:szCs w:val="24"/>
          <w:highlight w:val="none"/>
        </w:rPr>
        <w:t>集镇人民政府交办的临时任务无条件执行（不再增加费用）。</w:t>
      </w:r>
    </w:p>
    <w:p w14:paraId="2D1868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.定时对垃圾桶进行擦洗，确保垃圾桶外观整洁、摆放整齐，无垃圾外溢现象，垃圾桶周围无散落垃圾。4-10月份期间，对服务项目范围内的垃圾桶进行药物消杀。</w:t>
      </w:r>
    </w:p>
    <w:p w14:paraId="33C436F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（五）人员及设备配备要求：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本项不允许负偏离，否则按废标处理</w:t>
      </w:r>
      <w:r>
        <w:rPr>
          <w:rFonts w:hint="eastAsia" w:ascii="宋体" w:hAnsi="宋体" w:eastAsia="宋体" w:cs="宋体"/>
          <w:b/>
          <w:bCs/>
          <w:color w:val="auto"/>
          <w:sz w:val="24"/>
          <w:szCs w:val="24"/>
          <w:highlight w:val="none"/>
          <w:lang w:eastAsia="zh-CN"/>
        </w:rPr>
        <w:t>）</w:t>
      </w:r>
    </w:p>
    <w:p w14:paraId="3D9BC50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最低</w:t>
      </w:r>
      <w:r>
        <w:rPr>
          <w:rFonts w:hint="eastAsia" w:ascii="宋体" w:hAnsi="宋体" w:eastAsia="宋体" w:cs="宋体"/>
          <w:color w:val="auto"/>
          <w:sz w:val="24"/>
          <w:szCs w:val="24"/>
          <w:highlight w:val="none"/>
        </w:rPr>
        <w:t>配备要求</w:t>
      </w:r>
    </w:p>
    <w:tbl>
      <w:tblPr>
        <w:tblStyle w:val="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90"/>
        <w:gridCol w:w="1080"/>
        <w:gridCol w:w="1020"/>
        <w:gridCol w:w="1005"/>
        <w:gridCol w:w="1065"/>
        <w:gridCol w:w="1230"/>
        <w:gridCol w:w="1215"/>
      </w:tblGrid>
      <w:tr w14:paraId="3191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071E858">
            <w:pPr>
              <w:pStyle w:val="13"/>
              <w:widowControl w:val="0"/>
              <w:jc w:val="center"/>
              <w:rPr>
                <w:rFonts w:hint="eastAsia" w:ascii="宋体" w:hAnsi="宋体" w:eastAsia="宋体" w:cs="宋体"/>
                <w:sz w:val="24"/>
                <w:szCs w:val="24"/>
                <w:highlight w:val="none"/>
                <w:lang w:eastAsia="zh-CN"/>
              </w:rPr>
            </w:pPr>
          </w:p>
        </w:tc>
        <w:tc>
          <w:tcPr>
            <w:tcW w:w="990" w:type="dxa"/>
            <w:vAlign w:val="center"/>
          </w:tcPr>
          <w:p w14:paraId="0824AFB7">
            <w:pPr>
              <w:pStyle w:val="13"/>
              <w:widowControl w:val="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项目负责人</w:t>
            </w:r>
          </w:p>
        </w:tc>
        <w:tc>
          <w:tcPr>
            <w:tcW w:w="1080" w:type="dxa"/>
            <w:vAlign w:val="center"/>
          </w:tcPr>
          <w:p w14:paraId="1F851CB8">
            <w:pPr>
              <w:pStyle w:val="13"/>
              <w:widowControl w:val="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主管</w:t>
            </w:r>
          </w:p>
        </w:tc>
        <w:tc>
          <w:tcPr>
            <w:tcW w:w="1020" w:type="dxa"/>
            <w:vAlign w:val="center"/>
          </w:tcPr>
          <w:p w14:paraId="11D364BD">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班长</w:t>
            </w:r>
          </w:p>
        </w:tc>
        <w:tc>
          <w:tcPr>
            <w:tcW w:w="1005" w:type="dxa"/>
            <w:vAlign w:val="center"/>
          </w:tcPr>
          <w:p w14:paraId="53051EA6">
            <w:pPr>
              <w:pStyle w:val="13"/>
              <w:widowControl w:val="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驾驶员</w:t>
            </w:r>
          </w:p>
        </w:tc>
        <w:tc>
          <w:tcPr>
            <w:tcW w:w="1065" w:type="dxa"/>
            <w:vAlign w:val="center"/>
          </w:tcPr>
          <w:p w14:paraId="79E7D9BD">
            <w:pPr>
              <w:pStyle w:val="13"/>
              <w:widowControl w:val="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保洁人员</w:t>
            </w:r>
          </w:p>
        </w:tc>
        <w:tc>
          <w:tcPr>
            <w:tcW w:w="1230" w:type="dxa"/>
            <w:vAlign w:val="center"/>
          </w:tcPr>
          <w:p w14:paraId="4973F5FC">
            <w:pPr>
              <w:pStyle w:val="13"/>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lang w:val="en-US" w:eastAsia="zh-CN"/>
              </w:rPr>
              <w:t>三轮高压冲洗车驾驶员</w:t>
            </w:r>
          </w:p>
        </w:tc>
        <w:tc>
          <w:tcPr>
            <w:tcW w:w="1215" w:type="dxa"/>
            <w:vAlign w:val="center"/>
          </w:tcPr>
          <w:p w14:paraId="1AF9FE6E">
            <w:pPr>
              <w:pStyle w:val="13"/>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垃圾车辅工</w:t>
            </w:r>
          </w:p>
        </w:tc>
      </w:tr>
      <w:tr w14:paraId="1E43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055C7C5">
            <w:pPr>
              <w:pStyle w:val="13"/>
              <w:widowControl w:val="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数量（人）</w:t>
            </w:r>
          </w:p>
        </w:tc>
        <w:tc>
          <w:tcPr>
            <w:tcW w:w="990" w:type="dxa"/>
            <w:vAlign w:val="center"/>
          </w:tcPr>
          <w:p w14:paraId="7865D84B">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080" w:type="dxa"/>
            <w:vAlign w:val="center"/>
          </w:tcPr>
          <w:p w14:paraId="0D7CD366">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020" w:type="dxa"/>
            <w:vAlign w:val="center"/>
          </w:tcPr>
          <w:p w14:paraId="7C0D8588">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005" w:type="dxa"/>
            <w:vAlign w:val="center"/>
          </w:tcPr>
          <w:p w14:paraId="5E451E75">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065" w:type="dxa"/>
            <w:vAlign w:val="center"/>
          </w:tcPr>
          <w:p w14:paraId="23593B9C">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140</w:t>
            </w:r>
          </w:p>
        </w:tc>
        <w:tc>
          <w:tcPr>
            <w:tcW w:w="1230" w:type="dxa"/>
            <w:vAlign w:val="center"/>
          </w:tcPr>
          <w:p w14:paraId="4BA2D900">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215" w:type="dxa"/>
            <w:vAlign w:val="center"/>
          </w:tcPr>
          <w:p w14:paraId="259D8696">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r>
      <w:tr w14:paraId="0ECE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E1D1DA6">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7605" w:type="dxa"/>
            <w:gridSpan w:val="7"/>
            <w:vAlign w:val="center"/>
          </w:tcPr>
          <w:p w14:paraId="497FF715">
            <w:pPr>
              <w:pStyle w:val="13"/>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159人</w:t>
            </w:r>
          </w:p>
        </w:tc>
      </w:tr>
    </w:tbl>
    <w:p w14:paraId="70818E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SA"/>
        </w:rPr>
        <w:t>说明：</w:t>
      </w:r>
    </w:p>
    <w:p w14:paraId="4C0A09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1、保洁人员应有保洁相关经验，身体健康，有吃苦耐劳的精神，遵守管理规定，年龄</w:t>
      </w:r>
      <w:r>
        <w:rPr>
          <w:rFonts w:hint="eastAsia" w:ascii="宋体" w:hAnsi="宋体" w:eastAsia="宋体" w:cs="宋体"/>
          <w:sz w:val="24"/>
          <w:szCs w:val="24"/>
          <w:highlight w:val="none"/>
          <w:lang w:val="en-US" w:eastAsia="zh-CN"/>
        </w:rPr>
        <w:t>范围</w:t>
      </w:r>
      <w:r>
        <w:rPr>
          <w:rFonts w:hint="eastAsia" w:ascii="宋体" w:hAnsi="宋体" w:eastAsia="宋体" w:cs="宋体"/>
          <w:sz w:val="24"/>
          <w:szCs w:val="24"/>
          <w:highlight w:val="none"/>
        </w:rPr>
        <w:t xml:space="preserve"> 18 周岁</w:t>
      </w:r>
      <w:r>
        <w:rPr>
          <w:rFonts w:hint="eastAsia" w:ascii="宋体" w:hAnsi="宋体" w:eastAsia="宋体" w:cs="宋体"/>
          <w:sz w:val="24"/>
          <w:szCs w:val="24"/>
          <w:highlight w:val="none"/>
          <w:lang w:val="en-US" w:eastAsia="zh-CN"/>
        </w:rPr>
        <w:t>~60周岁</w:t>
      </w:r>
      <w:r>
        <w:rPr>
          <w:rFonts w:hint="eastAsia" w:ascii="宋体" w:hAnsi="宋体" w:eastAsia="宋体" w:cs="宋体"/>
          <w:sz w:val="24"/>
          <w:szCs w:val="24"/>
          <w:highlight w:val="none"/>
        </w:rPr>
        <w:t xml:space="preserve">。 </w:t>
      </w:r>
    </w:p>
    <w:p w14:paraId="4E3594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项目经理（或项目负责人）不得兼任其他项目的项目经理（或项目负责人），项目经理（或项目负责人）都必须具有“全国物业管理从业人员岗位证书”，投标文件中必须提供证书复印件，复印件投标时须提供原件核查后方为有效。以上所有对项目经理的要求为实质性响应指标，不允许负偏离</w:t>
      </w:r>
      <w:r>
        <w:rPr>
          <w:rFonts w:hint="eastAsia" w:ascii="宋体" w:hAnsi="宋体" w:eastAsia="宋体" w:cs="宋体"/>
          <w:sz w:val="24"/>
          <w:szCs w:val="24"/>
          <w:highlight w:val="none"/>
        </w:rPr>
        <w:t xml:space="preserve">。 </w:t>
      </w:r>
    </w:p>
    <w:p w14:paraId="104639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3、日常管理人员应知法，懂法，守法，依法办事，必须严格遵守从业规范及安全管理规定。 </w:t>
      </w:r>
    </w:p>
    <w:p w14:paraId="0D765D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工作人员应有吃苦耐劳的精神和高度的责任感，受过专门的岗前培训，收悉业主的管理规定、工作标准，要知法守法，严格遵守从业规范及安全管理规定。管理人员应严格岗位职责，善于发现各类问题，具备一定的管理经验和处理突发事件的能力。 </w:t>
      </w:r>
    </w:p>
    <w:p w14:paraId="3D27A97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5、投标人应在投标文件中提供人员配备要求的承诺文件，格式见招标文件。</w:t>
      </w:r>
      <w:r>
        <w:rPr>
          <w:rFonts w:hint="eastAsia" w:ascii="宋体" w:hAnsi="宋体" w:eastAsia="宋体" w:cs="宋体"/>
          <w:color w:val="auto"/>
          <w:sz w:val="24"/>
          <w:szCs w:val="24"/>
          <w:highlight w:val="none"/>
          <w:lang w:val="en-US" w:eastAsia="zh-CN"/>
        </w:rPr>
        <w:t>作业机械、工具和材料配备要求：</w:t>
      </w:r>
    </w:p>
    <w:tbl>
      <w:tblPr>
        <w:tblStyle w:val="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455"/>
        <w:gridCol w:w="1470"/>
        <w:gridCol w:w="1327"/>
        <w:gridCol w:w="1365"/>
        <w:gridCol w:w="1410"/>
        <w:gridCol w:w="1410"/>
      </w:tblGrid>
      <w:tr w14:paraId="2381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14:paraId="4A648C79">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车辆类型</w:t>
            </w:r>
          </w:p>
        </w:tc>
        <w:tc>
          <w:tcPr>
            <w:tcW w:w="1455" w:type="dxa"/>
            <w:vAlign w:val="center"/>
          </w:tcPr>
          <w:p w14:paraId="7C1621AE">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8吨</w:t>
            </w:r>
            <w:r>
              <w:rPr>
                <w:rFonts w:hint="eastAsia" w:ascii="宋体" w:hAnsi="宋体" w:eastAsia="宋体" w:cs="宋体"/>
                <w:sz w:val="24"/>
                <w:szCs w:val="24"/>
                <w:highlight w:val="none"/>
                <w:lang w:eastAsia="zh-CN"/>
              </w:rPr>
              <w:t>新能源清洗车（台）</w:t>
            </w:r>
          </w:p>
        </w:tc>
        <w:tc>
          <w:tcPr>
            <w:tcW w:w="1470" w:type="dxa"/>
            <w:vAlign w:val="center"/>
          </w:tcPr>
          <w:p w14:paraId="59129E0B">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3吨</w:t>
            </w:r>
            <w:r>
              <w:rPr>
                <w:rFonts w:hint="eastAsia" w:ascii="宋体" w:hAnsi="宋体" w:eastAsia="宋体" w:cs="宋体"/>
                <w:sz w:val="24"/>
                <w:szCs w:val="24"/>
                <w:highlight w:val="none"/>
                <w:lang w:eastAsia="zh-CN"/>
              </w:rPr>
              <w:t>新能源洗扫车（台）</w:t>
            </w:r>
          </w:p>
        </w:tc>
        <w:tc>
          <w:tcPr>
            <w:tcW w:w="1327" w:type="dxa"/>
            <w:vAlign w:val="center"/>
          </w:tcPr>
          <w:p w14:paraId="3B50DD78">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5吨新能源</w:t>
            </w:r>
            <w:r>
              <w:rPr>
                <w:rFonts w:hint="eastAsia" w:ascii="宋体" w:hAnsi="宋体" w:eastAsia="宋体" w:cs="宋体"/>
                <w:sz w:val="24"/>
                <w:szCs w:val="24"/>
                <w:highlight w:val="none"/>
                <w:lang w:eastAsia="zh-CN"/>
              </w:rPr>
              <w:t>垃圾清运车（台）</w:t>
            </w:r>
          </w:p>
        </w:tc>
        <w:tc>
          <w:tcPr>
            <w:tcW w:w="1365" w:type="dxa"/>
            <w:vAlign w:val="center"/>
          </w:tcPr>
          <w:p w14:paraId="710358AF">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5吨垃圾压缩车</w:t>
            </w:r>
            <w:r>
              <w:rPr>
                <w:rFonts w:hint="eastAsia" w:ascii="宋体" w:hAnsi="宋体" w:eastAsia="宋体" w:cs="宋体"/>
                <w:sz w:val="24"/>
                <w:szCs w:val="24"/>
                <w:highlight w:val="none"/>
                <w:lang w:eastAsia="zh-CN"/>
              </w:rPr>
              <w:t>（台）</w:t>
            </w:r>
          </w:p>
        </w:tc>
        <w:tc>
          <w:tcPr>
            <w:tcW w:w="1410" w:type="dxa"/>
            <w:shd w:val="clear" w:color="auto" w:fill="auto"/>
            <w:vAlign w:val="center"/>
          </w:tcPr>
          <w:p w14:paraId="44C65AFC">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三轮高压冲洗车</w:t>
            </w:r>
          </w:p>
        </w:tc>
        <w:tc>
          <w:tcPr>
            <w:tcW w:w="1410" w:type="dxa"/>
            <w:shd w:val="clear" w:color="auto" w:fill="auto"/>
            <w:vAlign w:val="center"/>
          </w:tcPr>
          <w:p w14:paraId="1557DFCC">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240L 垃圾桶（个）</w:t>
            </w:r>
          </w:p>
        </w:tc>
      </w:tr>
      <w:tr w14:paraId="42AC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14:paraId="133AD70C">
            <w:pPr>
              <w:pStyle w:val="13"/>
              <w:widowControl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数量</w:t>
            </w:r>
          </w:p>
        </w:tc>
        <w:tc>
          <w:tcPr>
            <w:tcW w:w="1455" w:type="dxa"/>
            <w:vAlign w:val="center"/>
          </w:tcPr>
          <w:p w14:paraId="023E5C86">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70" w:type="dxa"/>
            <w:vAlign w:val="center"/>
          </w:tcPr>
          <w:p w14:paraId="20595D5C">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27" w:type="dxa"/>
            <w:vAlign w:val="center"/>
          </w:tcPr>
          <w:p w14:paraId="4B0B4559">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65" w:type="dxa"/>
            <w:vAlign w:val="center"/>
          </w:tcPr>
          <w:p w14:paraId="13EAEC75">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410" w:type="dxa"/>
            <w:shd w:val="clear" w:color="auto" w:fill="auto"/>
            <w:vAlign w:val="center"/>
          </w:tcPr>
          <w:p w14:paraId="163B9238">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10" w:type="dxa"/>
            <w:shd w:val="clear" w:color="auto" w:fill="auto"/>
            <w:vAlign w:val="center"/>
          </w:tcPr>
          <w:p w14:paraId="67BB73E0">
            <w:pPr>
              <w:pStyle w:val="13"/>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1510</w:t>
            </w:r>
          </w:p>
        </w:tc>
      </w:tr>
    </w:tbl>
    <w:p w14:paraId="53FFC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说明：投标人应在投标文件中提供设施、设备配备要求的承诺文件，并附证明文件复印件，格式见</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。中标人需在合同签订后 30 日内配备到位，并提供设施、设备</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核查，如未能及时配备到位，甲方有权终止合同。</w:t>
      </w:r>
    </w:p>
    <w:p w14:paraId="17A1A048">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eastAsia="zh-CN"/>
        </w:rPr>
        <w:t>3吨新能源洗扫车</w:t>
      </w:r>
      <w:r>
        <w:rPr>
          <w:rFonts w:hint="eastAsia" w:asciiTheme="minorEastAsia" w:hAnsiTheme="minorEastAsia" w:eastAsiaTheme="minorEastAsia"/>
          <w:b/>
          <w:bCs/>
          <w:sz w:val="24"/>
          <w:szCs w:val="24"/>
          <w:highlight w:val="none"/>
        </w:rPr>
        <w:t>主要技术参数</w:t>
      </w:r>
    </w:p>
    <w:tbl>
      <w:tblPr>
        <w:tblStyle w:val="6"/>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3710"/>
        <w:gridCol w:w="2890"/>
      </w:tblGrid>
      <w:tr w14:paraId="5862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690" w:type="dxa"/>
            <w:gridSpan w:val="2"/>
            <w:tcBorders>
              <w:top w:val="single" w:color="000000" w:sz="4" w:space="0"/>
              <w:left w:val="single" w:color="000000" w:sz="4" w:space="0"/>
              <w:bottom w:val="single" w:color="000000" w:sz="4" w:space="0"/>
              <w:right w:val="single" w:color="000000" w:sz="4" w:space="0"/>
            </w:tcBorders>
            <w:vAlign w:val="center"/>
          </w:tcPr>
          <w:p w14:paraId="07B215F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bCs/>
                <w:sz w:val="21"/>
                <w:szCs w:val="21"/>
                <w:highlight w:val="none"/>
              </w:rPr>
            </w:pPr>
            <w:r>
              <w:rPr>
                <w:rStyle w:val="14"/>
                <w:rFonts w:hint="eastAsia" w:ascii="宋体" w:hAnsi="宋体" w:eastAsia="宋体" w:cs="宋体"/>
                <w:b/>
                <w:bCs/>
                <w:sz w:val="21"/>
                <w:szCs w:val="21"/>
                <w:highlight w:val="none"/>
              </w:rPr>
              <w:t>项目</w:t>
            </w:r>
          </w:p>
        </w:tc>
        <w:tc>
          <w:tcPr>
            <w:tcW w:w="2890" w:type="dxa"/>
            <w:tcBorders>
              <w:top w:val="single" w:color="000000" w:sz="4" w:space="0"/>
              <w:left w:val="single" w:color="000000" w:sz="4" w:space="0"/>
              <w:bottom w:val="single" w:color="000000" w:sz="4" w:space="0"/>
              <w:right w:val="single" w:color="000000" w:sz="4" w:space="0"/>
            </w:tcBorders>
            <w:vAlign w:val="center"/>
          </w:tcPr>
          <w:p w14:paraId="28EE204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bCs/>
                <w:sz w:val="21"/>
                <w:szCs w:val="21"/>
                <w:highlight w:val="none"/>
              </w:rPr>
            </w:pPr>
            <w:r>
              <w:rPr>
                <w:rStyle w:val="14"/>
                <w:rFonts w:hint="eastAsia" w:ascii="宋体" w:hAnsi="宋体" w:eastAsia="宋体" w:cs="宋体"/>
                <w:b/>
                <w:bCs/>
                <w:sz w:val="21"/>
                <w:szCs w:val="21"/>
                <w:highlight w:val="none"/>
              </w:rPr>
              <w:t>数据</w:t>
            </w:r>
          </w:p>
        </w:tc>
      </w:tr>
      <w:tr w14:paraId="4AED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02DAB10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尺寸参数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20B86B8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外形尺寸（长×宽×高）mm</w:t>
            </w:r>
          </w:p>
        </w:tc>
        <w:tc>
          <w:tcPr>
            <w:tcW w:w="2890" w:type="dxa"/>
            <w:tcBorders>
              <w:top w:val="single" w:color="000000" w:sz="4" w:space="0"/>
              <w:left w:val="single" w:color="000000" w:sz="4" w:space="0"/>
              <w:bottom w:val="single" w:color="000000" w:sz="4" w:space="0"/>
              <w:right w:val="single" w:color="000000" w:sz="4" w:space="0"/>
            </w:tcBorders>
            <w:vAlign w:val="center"/>
          </w:tcPr>
          <w:p w14:paraId="02DEA5A8">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cs="宋体"/>
                <w:b w:val="0"/>
                <w:bCs w:val="0"/>
                <w:sz w:val="21"/>
                <w:szCs w:val="21"/>
                <w:highlight w:val="none"/>
                <w:lang w:val="en-US" w:eastAsia="zh-CN"/>
              </w:rPr>
              <w:t>≥6990×2200×2800</w:t>
            </w:r>
          </w:p>
        </w:tc>
      </w:tr>
      <w:tr w14:paraId="5F15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467B2AAB">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4461B958">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cs="宋体"/>
                <w:b w:val="0"/>
                <w:bCs w:val="0"/>
                <w:sz w:val="21"/>
                <w:szCs w:val="21"/>
                <w:highlight w:val="none"/>
                <w:lang w:val="en-US" w:eastAsia="zh-CN"/>
              </w:rPr>
              <w:t>轴距</w:t>
            </w:r>
            <w:r>
              <w:rPr>
                <w:rStyle w:val="14"/>
                <w:rFonts w:hint="eastAsia" w:ascii="宋体" w:hAnsi="宋体" w:eastAsia="宋体" w:cs="宋体"/>
                <w:b w:val="0"/>
                <w:bCs w:val="0"/>
                <w:sz w:val="21"/>
                <w:szCs w:val="21"/>
                <w:highlight w:val="none"/>
              </w:rPr>
              <w:t>（mm）</w:t>
            </w:r>
          </w:p>
        </w:tc>
        <w:tc>
          <w:tcPr>
            <w:tcW w:w="2890" w:type="dxa"/>
            <w:tcBorders>
              <w:top w:val="single" w:color="000000" w:sz="4" w:space="0"/>
              <w:left w:val="single" w:color="000000" w:sz="4" w:space="0"/>
              <w:bottom w:val="single" w:color="000000" w:sz="4" w:space="0"/>
              <w:right w:val="single" w:color="000000" w:sz="4" w:space="0"/>
            </w:tcBorders>
            <w:vAlign w:val="center"/>
          </w:tcPr>
          <w:p w14:paraId="5E6073DE">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cs="宋体"/>
                <w:b w:val="0"/>
                <w:bCs w:val="0"/>
                <w:sz w:val="21"/>
                <w:szCs w:val="21"/>
                <w:highlight w:val="none"/>
                <w:lang w:val="en-US" w:eastAsia="zh-CN"/>
              </w:rPr>
              <w:t>≥3850</w:t>
            </w:r>
          </w:p>
        </w:tc>
      </w:tr>
      <w:tr w14:paraId="1660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537F54A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质量参数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58158B2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整备质量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70B8A767">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7300</w:t>
            </w:r>
          </w:p>
        </w:tc>
      </w:tr>
      <w:tr w14:paraId="34FD7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1CAE63EE">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10C832F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额定载质量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0336E3B9">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1000</w:t>
            </w:r>
          </w:p>
        </w:tc>
      </w:tr>
      <w:tr w14:paraId="3CEA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9"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3FFFF894">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4AE33053">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最大总质量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3A87CC1E">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8000</w:t>
            </w:r>
          </w:p>
        </w:tc>
      </w:tr>
      <w:tr w14:paraId="3BD4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15A343AF">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性能参数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64B52CB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垃圾箱</w:t>
            </w:r>
            <w:r>
              <w:rPr>
                <w:rStyle w:val="14"/>
                <w:rFonts w:hint="eastAsia" w:ascii="宋体" w:hAnsi="宋体" w:eastAsia="宋体" w:cs="宋体"/>
                <w:b w:val="0"/>
                <w:bCs w:val="0"/>
                <w:sz w:val="21"/>
                <w:szCs w:val="21"/>
                <w:highlight w:val="none"/>
              </w:rPr>
              <w:t>容积</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m³</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1D2DB0B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3</w:t>
            </w:r>
          </w:p>
        </w:tc>
      </w:tr>
      <w:tr w14:paraId="19DA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4F7EF5F1">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1D7FFE8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eastAsia="宋体" w:cs="宋体"/>
                <w:b w:val="0"/>
                <w:bCs w:val="0"/>
                <w:sz w:val="21"/>
                <w:szCs w:val="21"/>
                <w:highlight w:val="none"/>
              </w:rPr>
              <w:t>清水箱容积</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m³</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1AA68450">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4</w:t>
            </w:r>
          </w:p>
        </w:tc>
      </w:tr>
      <w:tr w14:paraId="70E9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8" w:hRule="atLeast"/>
          <w:jc w:val="center"/>
        </w:trPr>
        <w:tc>
          <w:tcPr>
            <w:tcW w:w="1980" w:type="dxa"/>
            <w:vMerge w:val="restart"/>
            <w:tcBorders>
              <w:top w:val="single" w:color="000000" w:sz="4" w:space="0"/>
              <w:left w:val="single" w:color="000000" w:sz="4" w:space="0"/>
              <w:right w:val="single" w:color="000000" w:sz="4" w:space="0"/>
            </w:tcBorders>
            <w:vAlign w:val="center"/>
          </w:tcPr>
          <w:p w14:paraId="17EB190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电池</w:t>
            </w:r>
          </w:p>
        </w:tc>
        <w:tc>
          <w:tcPr>
            <w:tcW w:w="3710" w:type="dxa"/>
            <w:tcBorders>
              <w:top w:val="single" w:color="000000" w:sz="4" w:space="0"/>
              <w:left w:val="single" w:color="000000" w:sz="4" w:space="0"/>
              <w:bottom w:val="single" w:color="000000" w:sz="4" w:space="0"/>
              <w:right w:val="single" w:color="000000" w:sz="4" w:space="0"/>
            </w:tcBorders>
            <w:vAlign w:val="center"/>
          </w:tcPr>
          <w:p w14:paraId="0FAD259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电量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KWh</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1BD1D404">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160</w:t>
            </w:r>
          </w:p>
        </w:tc>
      </w:tr>
      <w:tr w14:paraId="032C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8" w:hRule="atLeast"/>
          <w:jc w:val="center"/>
        </w:trPr>
        <w:tc>
          <w:tcPr>
            <w:tcW w:w="1980" w:type="dxa"/>
            <w:vMerge w:val="continue"/>
            <w:tcBorders>
              <w:left w:val="single" w:color="000000" w:sz="4" w:space="0"/>
              <w:bottom w:val="single" w:color="000000" w:sz="4" w:space="0"/>
              <w:right w:val="single" w:color="000000" w:sz="4" w:space="0"/>
            </w:tcBorders>
            <w:vAlign w:val="center"/>
          </w:tcPr>
          <w:p w14:paraId="63AA84F4">
            <w:pPr>
              <w:keepNext w:val="0"/>
              <w:keepLines w:val="0"/>
              <w:pageBreakBefore w:val="0"/>
              <w:kinsoku/>
              <w:wordWrap/>
              <w:overflowPunct/>
              <w:topLinePunct w:val="0"/>
              <w:bidi w:val="0"/>
              <w:spacing w:line="360" w:lineRule="auto"/>
              <w:jc w:val="center"/>
              <w:textAlignment w:val="auto"/>
              <w:rPr>
                <w:rStyle w:val="14"/>
                <w:rFonts w:hint="eastAsia" w:ascii="宋体" w:hAnsi="宋体" w:cs="宋体"/>
                <w:b w:val="0"/>
                <w:bCs w:val="0"/>
                <w:sz w:val="21"/>
                <w:szCs w:val="21"/>
                <w:highlight w:val="none"/>
                <w:lang w:val="en-US" w:eastAsia="zh-CN"/>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0DF053AB">
            <w:pPr>
              <w:keepNext w:val="0"/>
              <w:keepLines w:val="0"/>
              <w:pageBreakBefore w:val="0"/>
              <w:kinsoku/>
              <w:wordWrap/>
              <w:overflowPunct/>
              <w:topLinePunct w:val="0"/>
              <w:bidi w:val="0"/>
              <w:spacing w:line="360" w:lineRule="auto"/>
              <w:jc w:val="center"/>
              <w:textAlignment w:val="auto"/>
              <w:rPr>
                <w:rStyle w:val="14"/>
                <w:rFonts w:hint="eastAsia" w:ascii="宋体" w:hAnsi="宋体" w:cs="宋体"/>
                <w:b w:val="0"/>
                <w:bCs w:val="0"/>
                <w:sz w:val="21"/>
                <w:szCs w:val="21"/>
                <w:highlight w:val="none"/>
                <w:lang w:val="en-US" w:eastAsia="zh-CN"/>
              </w:rPr>
            </w:pPr>
            <w:r>
              <w:rPr>
                <w:rFonts w:hint="eastAsia" w:ascii="Times New Roman" w:hAnsi="Times New Roman"/>
                <w:szCs w:val="21"/>
                <w:highlight w:val="none"/>
              </w:rPr>
              <w:t>充电方式</w:t>
            </w:r>
          </w:p>
        </w:tc>
        <w:tc>
          <w:tcPr>
            <w:tcW w:w="2890" w:type="dxa"/>
            <w:tcBorders>
              <w:top w:val="single" w:color="000000" w:sz="4" w:space="0"/>
              <w:left w:val="single" w:color="000000" w:sz="4" w:space="0"/>
              <w:bottom w:val="single" w:color="000000" w:sz="4" w:space="0"/>
              <w:right w:val="single" w:color="000000" w:sz="4" w:space="0"/>
            </w:tcBorders>
            <w:vAlign w:val="center"/>
          </w:tcPr>
          <w:p w14:paraId="796ED5D9">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val="en-US" w:eastAsia="zh-CN"/>
              </w:rPr>
            </w:pPr>
            <w:r>
              <w:rPr>
                <w:rStyle w:val="14"/>
                <w:rFonts w:hint="eastAsia" w:ascii="宋体" w:hAnsi="宋体" w:cs="宋体"/>
                <w:b w:val="0"/>
                <w:bCs w:val="0"/>
                <w:sz w:val="21"/>
                <w:szCs w:val="21"/>
                <w:highlight w:val="none"/>
                <w:lang w:val="en-US" w:eastAsia="zh-CN"/>
              </w:rPr>
              <w:t>直流快充</w:t>
            </w:r>
          </w:p>
        </w:tc>
      </w:tr>
    </w:tbl>
    <w:p w14:paraId="7BC1DC3F">
      <w:pPr>
        <w:keepNext w:val="0"/>
        <w:keepLines w:val="0"/>
        <w:pageBreakBefore w:val="0"/>
        <w:kinsoku/>
        <w:wordWrap/>
        <w:overflowPunct/>
        <w:topLinePunct w:val="0"/>
        <w:bidi w:val="0"/>
        <w:snapToGrid w:val="0"/>
        <w:spacing w:line="360" w:lineRule="auto"/>
        <w:textAlignment w:val="auto"/>
        <w:rPr>
          <w:rStyle w:val="14"/>
          <w:rFonts w:asciiTheme="minorEastAsia" w:hAnsiTheme="minorEastAsia" w:eastAsiaTheme="minorEastAsia"/>
          <w:b/>
          <w:sz w:val="24"/>
          <w:szCs w:val="24"/>
          <w:highlight w:val="none"/>
        </w:rPr>
      </w:pPr>
    </w:p>
    <w:p w14:paraId="48EDA267">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eastAsia="zh-CN"/>
        </w:rPr>
        <w:t>8吨新能源冲洗车</w:t>
      </w:r>
      <w:r>
        <w:rPr>
          <w:rFonts w:hint="eastAsia" w:asciiTheme="minorEastAsia" w:hAnsiTheme="minorEastAsia" w:eastAsiaTheme="minorEastAsia"/>
          <w:b/>
          <w:bCs/>
          <w:sz w:val="24"/>
          <w:szCs w:val="24"/>
          <w:highlight w:val="none"/>
        </w:rPr>
        <w:t>主要技术参数</w:t>
      </w:r>
    </w:p>
    <w:tbl>
      <w:tblPr>
        <w:tblStyle w:val="6"/>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3710"/>
        <w:gridCol w:w="2890"/>
      </w:tblGrid>
      <w:tr w14:paraId="7E4B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690" w:type="dxa"/>
            <w:gridSpan w:val="2"/>
            <w:tcBorders>
              <w:top w:val="single" w:color="000000" w:sz="4" w:space="0"/>
              <w:left w:val="single" w:color="000000" w:sz="4" w:space="0"/>
              <w:bottom w:val="single" w:color="000000" w:sz="4" w:space="0"/>
              <w:right w:val="single" w:color="000000" w:sz="4" w:space="0"/>
            </w:tcBorders>
            <w:vAlign w:val="center"/>
          </w:tcPr>
          <w:p w14:paraId="542F6AD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bCs/>
                <w:sz w:val="21"/>
                <w:szCs w:val="21"/>
                <w:highlight w:val="none"/>
              </w:rPr>
            </w:pPr>
            <w:r>
              <w:rPr>
                <w:rStyle w:val="14"/>
                <w:rFonts w:hint="eastAsia" w:ascii="宋体" w:hAnsi="宋体" w:eastAsia="宋体" w:cs="宋体"/>
                <w:b/>
                <w:bCs/>
                <w:sz w:val="21"/>
                <w:szCs w:val="21"/>
                <w:highlight w:val="none"/>
              </w:rPr>
              <w:t>项目</w:t>
            </w:r>
          </w:p>
        </w:tc>
        <w:tc>
          <w:tcPr>
            <w:tcW w:w="2890" w:type="dxa"/>
            <w:tcBorders>
              <w:top w:val="single" w:color="000000" w:sz="4" w:space="0"/>
              <w:left w:val="single" w:color="000000" w:sz="4" w:space="0"/>
              <w:bottom w:val="single" w:color="000000" w:sz="4" w:space="0"/>
              <w:right w:val="single" w:color="000000" w:sz="4" w:space="0"/>
            </w:tcBorders>
            <w:vAlign w:val="center"/>
          </w:tcPr>
          <w:p w14:paraId="52C050F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bCs/>
                <w:sz w:val="21"/>
                <w:szCs w:val="21"/>
                <w:highlight w:val="none"/>
              </w:rPr>
            </w:pPr>
            <w:r>
              <w:rPr>
                <w:rStyle w:val="14"/>
                <w:rFonts w:hint="eastAsia" w:ascii="宋体" w:hAnsi="宋体" w:eastAsia="宋体" w:cs="宋体"/>
                <w:b/>
                <w:bCs/>
                <w:sz w:val="21"/>
                <w:szCs w:val="21"/>
                <w:highlight w:val="none"/>
              </w:rPr>
              <w:t>数据</w:t>
            </w:r>
          </w:p>
        </w:tc>
      </w:tr>
      <w:tr w14:paraId="3E85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652C9F58">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尺寸参数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332CF427">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外形尺寸（长×宽×高）mm</w:t>
            </w:r>
          </w:p>
        </w:tc>
        <w:tc>
          <w:tcPr>
            <w:tcW w:w="2890" w:type="dxa"/>
            <w:tcBorders>
              <w:top w:val="single" w:color="000000" w:sz="4" w:space="0"/>
              <w:left w:val="single" w:color="000000" w:sz="4" w:space="0"/>
              <w:bottom w:val="single" w:color="000000" w:sz="4" w:space="0"/>
              <w:right w:val="single" w:color="000000" w:sz="4" w:space="0"/>
            </w:tcBorders>
            <w:vAlign w:val="center"/>
          </w:tcPr>
          <w:p w14:paraId="74ADF876">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rPr>
            </w:pPr>
            <w:r>
              <w:rPr>
                <w:rStyle w:val="14"/>
                <w:rFonts w:hint="eastAsia" w:ascii="宋体" w:hAnsi="宋体" w:cs="宋体"/>
                <w:b w:val="0"/>
                <w:bCs w:val="0"/>
                <w:color w:val="auto"/>
                <w:sz w:val="21"/>
                <w:szCs w:val="21"/>
                <w:highlight w:val="none"/>
                <w:lang w:val="en-US" w:eastAsia="zh-CN"/>
              </w:rPr>
              <w:t>≥8900×250</w:t>
            </w:r>
            <w:r>
              <w:rPr>
                <w:rStyle w:val="14"/>
                <w:rFonts w:hint="eastAsia" w:ascii="宋体" w:hAnsi="宋体" w:cs="宋体"/>
                <w:b w:val="0"/>
                <w:bCs w:val="0"/>
                <w:sz w:val="21"/>
                <w:szCs w:val="21"/>
                <w:highlight w:val="none"/>
                <w:lang w:val="en-US" w:eastAsia="zh-CN"/>
              </w:rPr>
              <w:t>0×3000</w:t>
            </w:r>
          </w:p>
        </w:tc>
      </w:tr>
      <w:tr w14:paraId="3752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0AAAB4AA">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1C6F18C4">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cs="宋体"/>
                <w:b w:val="0"/>
                <w:bCs w:val="0"/>
                <w:sz w:val="21"/>
                <w:szCs w:val="21"/>
                <w:highlight w:val="none"/>
                <w:lang w:val="en-US" w:eastAsia="zh-CN"/>
              </w:rPr>
              <w:t>轴距</w:t>
            </w:r>
            <w:r>
              <w:rPr>
                <w:rStyle w:val="14"/>
                <w:rFonts w:hint="eastAsia" w:ascii="宋体" w:hAnsi="宋体" w:eastAsia="宋体" w:cs="宋体"/>
                <w:b w:val="0"/>
                <w:bCs w:val="0"/>
                <w:sz w:val="21"/>
                <w:szCs w:val="21"/>
                <w:highlight w:val="none"/>
              </w:rPr>
              <w:t>（mm）</w:t>
            </w:r>
          </w:p>
        </w:tc>
        <w:tc>
          <w:tcPr>
            <w:tcW w:w="2890" w:type="dxa"/>
            <w:tcBorders>
              <w:top w:val="single" w:color="000000" w:sz="4" w:space="0"/>
              <w:left w:val="single" w:color="000000" w:sz="4" w:space="0"/>
              <w:bottom w:val="single" w:color="000000" w:sz="4" w:space="0"/>
              <w:right w:val="single" w:color="000000" w:sz="4" w:space="0"/>
            </w:tcBorders>
            <w:vAlign w:val="center"/>
          </w:tcPr>
          <w:p w14:paraId="5B10DD58">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cs="宋体"/>
                <w:b w:val="0"/>
                <w:bCs w:val="0"/>
                <w:sz w:val="21"/>
                <w:szCs w:val="21"/>
                <w:highlight w:val="none"/>
                <w:lang w:val="en-US" w:eastAsia="zh-CN"/>
              </w:rPr>
              <w:t>≥4500</w:t>
            </w:r>
          </w:p>
        </w:tc>
      </w:tr>
      <w:tr w14:paraId="5535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6B0A4367">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质量参数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40F2EB5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整备质量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0887AEC8">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9100</w:t>
            </w:r>
          </w:p>
        </w:tc>
      </w:tr>
      <w:tr w14:paraId="00D1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1126A697">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751110C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额定载质量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0E33C2C5">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8700</w:t>
            </w:r>
          </w:p>
        </w:tc>
      </w:tr>
      <w:tr w14:paraId="0041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9"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212EE485">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2A9826F9">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最大总质量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kg</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37527504">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18000</w:t>
            </w:r>
          </w:p>
        </w:tc>
      </w:tr>
      <w:tr w14:paraId="4C93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0881AA76">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rPr>
            </w:pPr>
            <w:r>
              <w:rPr>
                <w:rStyle w:val="14"/>
                <w:rFonts w:hint="eastAsia" w:ascii="宋体" w:hAnsi="宋体" w:eastAsia="宋体" w:cs="宋体"/>
                <w:b w:val="0"/>
                <w:bCs w:val="0"/>
                <w:sz w:val="21"/>
                <w:szCs w:val="21"/>
                <w:highlight w:val="none"/>
              </w:rPr>
              <w:t>性能参数</w:t>
            </w:r>
          </w:p>
        </w:tc>
        <w:tc>
          <w:tcPr>
            <w:tcW w:w="3710" w:type="dxa"/>
            <w:tcBorders>
              <w:top w:val="single" w:color="000000" w:sz="4" w:space="0"/>
              <w:left w:val="single" w:color="000000" w:sz="4" w:space="0"/>
              <w:bottom w:val="single" w:color="000000" w:sz="4" w:space="0"/>
              <w:right w:val="single" w:color="000000" w:sz="4" w:space="0"/>
            </w:tcBorders>
            <w:vAlign w:val="center"/>
          </w:tcPr>
          <w:p w14:paraId="6B4C97B7">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罐体公告</w:t>
            </w:r>
            <w:r>
              <w:rPr>
                <w:rStyle w:val="14"/>
                <w:rFonts w:hint="eastAsia" w:ascii="宋体" w:hAnsi="宋体" w:eastAsia="宋体" w:cs="宋体"/>
                <w:b w:val="0"/>
                <w:bCs w:val="0"/>
                <w:sz w:val="21"/>
                <w:szCs w:val="21"/>
                <w:highlight w:val="none"/>
              </w:rPr>
              <w:t>容积</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m³</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61049EA9">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9</w:t>
            </w:r>
          </w:p>
        </w:tc>
      </w:tr>
      <w:tr w14:paraId="3344D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6213248B">
            <w:pPr>
              <w:keepNext w:val="0"/>
              <w:keepLines w:val="0"/>
              <w:pageBreakBefore w:val="0"/>
              <w:widowControl/>
              <w:kinsoku/>
              <w:wordWrap/>
              <w:overflowPunct/>
              <w:topLinePunct w:val="0"/>
              <w:bidi w:val="0"/>
              <w:spacing w:line="360" w:lineRule="auto"/>
              <w:jc w:val="left"/>
              <w:textAlignment w:val="auto"/>
              <w:rPr>
                <w:rStyle w:val="14"/>
                <w:rFonts w:hint="eastAsia" w:ascii="宋体" w:hAnsi="宋体" w:eastAsia="宋体" w:cs="宋体"/>
                <w:b w:val="0"/>
                <w:bCs w:val="0"/>
                <w:sz w:val="21"/>
                <w:szCs w:val="21"/>
                <w:highlight w:val="none"/>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7DD8B38B">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前喷水架清洗额定压力</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Mpa</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7344A430">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10</w:t>
            </w:r>
          </w:p>
        </w:tc>
      </w:tr>
      <w:tr w14:paraId="7368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8" w:hRule="atLeast"/>
          <w:jc w:val="center"/>
        </w:trPr>
        <w:tc>
          <w:tcPr>
            <w:tcW w:w="1980" w:type="dxa"/>
            <w:vMerge w:val="restart"/>
            <w:tcBorders>
              <w:top w:val="single" w:color="000000" w:sz="4" w:space="0"/>
              <w:left w:val="single" w:color="000000" w:sz="4" w:space="0"/>
              <w:right w:val="single" w:color="000000" w:sz="4" w:space="0"/>
            </w:tcBorders>
            <w:vAlign w:val="center"/>
          </w:tcPr>
          <w:p w14:paraId="5D0F2B91">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电池</w:t>
            </w:r>
          </w:p>
        </w:tc>
        <w:tc>
          <w:tcPr>
            <w:tcW w:w="3710" w:type="dxa"/>
            <w:tcBorders>
              <w:top w:val="single" w:color="000000" w:sz="4" w:space="0"/>
              <w:left w:val="single" w:color="000000" w:sz="4" w:space="0"/>
              <w:bottom w:val="single" w:color="000000" w:sz="4" w:space="0"/>
              <w:right w:val="single" w:color="000000" w:sz="4" w:space="0"/>
            </w:tcBorders>
            <w:vAlign w:val="center"/>
          </w:tcPr>
          <w:p w14:paraId="013DFF36">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eastAsia="zh-CN"/>
              </w:rPr>
            </w:pPr>
            <w:r>
              <w:rPr>
                <w:rStyle w:val="14"/>
                <w:rFonts w:hint="eastAsia" w:ascii="宋体" w:hAnsi="宋体" w:cs="宋体"/>
                <w:b w:val="0"/>
                <w:bCs w:val="0"/>
                <w:sz w:val="21"/>
                <w:szCs w:val="21"/>
                <w:highlight w:val="none"/>
                <w:lang w:val="en-US" w:eastAsia="zh-CN"/>
              </w:rPr>
              <w:t>电量</w:t>
            </w:r>
            <w:r>
              <w:rPr>
                <w:rStyle w:val="14"/>
                <w:rFonts w:hint="eastAsia" w:ascii="宋体" w:hAnsi="宋体" w:cs="宋体"/>
                <w:b w:val="0"/>
                <w:bCs w:val="0"/>
                <w:sz w:val="21"/>
                <w:szCs w:val="21"/>
                <w:highlight w:val="none"/>
                <w:lang w:eastAsia="zh-CN"/>
              </w:rPr>
              <w:t>（</w:t>
            </w:r>
            <w:r>
              <w:rPr>
                <w:rStyle w:val="14"/>
                <w:rFonts w:hint="eastAsia" w:ascii="宋体" w:hAnsi="宋体" w:cs="宋体"/>
                <w:b w:val="0"/>
                <w:bCs w:val="0"/>
                <w:sz w:val="21"/>
                <w:szCs w:val="21"/>
                <w:highlight w:val="none"/>
                <w:lang w:val="en-US" w:eastAsia="zh-CN"/>
              </w:rPr>
              <w:t>KWh</w:t>
            </w:r>
            <w:r>
              <w:rPr>
                <w:rStyle w:val="14"/>
                <w:rFonts w:hint="eastAsia" w:ascii="宋体" w:hAnsi="宋体" w:cs="宋体"/>
                <w:b w:val="0"/>
                <w:bCs w:val="0"/>
                <w:sz w:val="21"/>
                <w:szCs w:val="21"/>
                <w:highlight w:val="none"/>
                <w:lang w:eastAsia="zh-CN"/>
              </w:rPr>
              <w:t>）</w:t>
            </w:r>
          </w:p>
        </w:tc>
        <w:tc>
          <w:tcPr>
            <w:tcW w:w="2890" w:type="dxa"/>
            <w:tcBorders>
              <w:top w:val="single" w:color="000000" w:sz="4" w:space="0"/>
              <w:left w:val="single" w:color="000000" w:sz="4" w:space="0"/>
              <w:bottom w:val="single" w:color="000000" w:sz="4" w:space="0"/>
              <w:right w:val="single" w:color="000000" w:sz="4" w:space="0"/>
            </w:tcBorders>
            <w:vAlign w:val="center"/>
          </w:tcPr>
          <w:p w14:paraId="68D02B5C">
            <w:pPr>
              <w:keepNext w:val="0"/>
              <w:keepLines w:val="0"/>
              <w:pageBreakBefore w:val="0"/>
              <w:kinsoku/>
              <w:wordWrap/>
              <w:overflowPunct/>
              <w:topLinePunct w:val="0"/>
              <w:bidi w:val="0"/>
              <w:spacing w:line="360" w:lineRule="auto"/>
              <w:jc w:val="center"/>
              <w:textAlignment w:val="auto"/>
              <w:rPr>
                <w:rStyle w:val="14"/>
                <w:rFonts w:hint="default" w:ascii="宋体" w:hAnsi="宋体" w:eastAsia="宋体" w:cs="宋体"/>
                <w:b w:val="0"/>
                <w:bCs w:val="0"/>
                <w:sz w:val="21"/>
                <w:szCs w:val="21"/>
                <w:highlight w:val="none"/>
                <w:lang w:val="en-US" w:eastAsia="zh-CN"/>
              </w:rPr>
            </w:pPr>
            <w:r>
              <w:rPr>
                <w:rStyle w:val="14"/>
                <w:rFonts w:hint="eastAsia" w:ascii="宋体" w:hAnsi="宋体" w:eastAsia="宋体" w:cs="宋体"/>
                <w:b w:val="0"/>
                <w:bCs w:val="0"/>
                <w:sz w:val="21"/>
                <w:szCs w:val="21"/>
                <w:highlight w:val="none"/>
              </w:rPr>
              <w:t>≥</w:t>
            </w:r>
            <w:r>
              <w:rPr>
                <w:rStyle w:val="14"/>
                <w:rFonts w:hint="eastAsia" w:ascii="宋体" w:hAnsi="宋体" w:cs="宋体"/>
                <w:b w:val="0"/>
                <w:bCs w:val="0"/>
                <w:sz w:val="21"/>
                <w:szCs w:val="21"/>
                <w:highlight w:val="none"/>
                <w:lang w:val="en-US" w:eastAsia="zh-CN"/>
              </w:rPr>
              <w:t>210</w:t>
            </w:r>
          </w:p>
        </w:tc>
      </w:tr>
      <w:tr w14:paraId="657AD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8" w:hRule="atLeast"/>
          <w:jc w:val="center"/>
        </w:trPr>
        <w:tc>
          <w:tcPr>
            <w:tcW w:w="1980" w:type="dxa"/>
            <w:vMerge w:val="continue"/>
            <w:tcBorders>
              <w:left w:val="single" w:color="000000" w:sz="4" w:space="0"/>
              <w:bottom w:val="single" w:color="000000" w:sz="4" w:space="0"/>
              <w:right w:val="single" w:color="000000" w:sz="4" w:space="0"/>
            </w:tcBorders>
            <w:vAlign w:val="center"/>
          </w:tcPr>
          <w:p w14:paraId="7AA63279">
            <w:pPr>
              <w:keepNext w:val="0"/>
              <w:keepLines w:val="0"/>
              <w:pageBreakBefore w:val="0"/>
              <w:kinsoku/>
              <w:wordWrap/>
              <w:overflowPunct/>
              <w:topLinePunct w:val="0"/>
              <w:bidi w:val="0"/>
              <w:spacing w:line="360" w:lineRule="auto"/>
              <w:jc w:val="center"/>
              <w:textAlignment w:val="auto"/>
              <w:rPr>
                <w:rStyle w:val="14"/>
                <w:rFonts w:hint="eastAsia" w:ascii="宋体" w:hAnsi="宋体" w:cs="宋体"/>
                <w:b w:val="0"/>
                <w:bCs w:val="0"/>
                <w:sz w:val="21"/>
                <w:szCs w:val="21"/>
                <w:highlight w:val="none"/>
                <w:lang w:val="en-US" w:eastAsia="zh-CN"/>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737529B1">
            <w:pPr>
              <w:keepNext w:val="0"/>
              <w:keepLines w:val="0"/>
              <w:pageBreakBefore w:val="0"/>
              <w:kinsoku/>
              <w:wordWrap/>
              <w:overflowPunct/>
              <w:topLinePunct w:val="0"/>
              <w:bidi w:val="0"/>
              <w:spacing w:line="360" w:lineRule="auto"/>
              <w:jc w:val="center"/>
              <w:textAlignment w:val="auto"/>
              <w:rPr>
                <w:rStyle w:val="14"/>
                <w:rFonts w:hint="eastAsia" w:ascii="宋体" w:hAnsi="宋体" w:cs="宋体"/>
                <w:b w:val="0"/>
                <w:bCs w:val="0"/>
                <w:sz w:val="21"/>
                <w:szCs w:val="21"/>
                <w:highlight w:val="none"/>
                <w:lang w:val="en-US" w:eastAsia="zh-CN"/>
              </w:rPr>
            </w:pPr>
            <w:r>
              <w:rPr>
                <w:rFonts w:hint="eastAsia" w:ascii="Times New Roman" w:hAnsi="Times New Roman"/>
                <w:szCs w:val="21"/>
                <w:highlight w:val="none"/>
              </w:rPr>
              <w:t>充电方式</w:t>
            </w:r>
          </w:p>
        </w:tc>
        <w:tc>
          <w:tcPr>
            <w:tcW w:w="2890" w:type="dxa"/>
            <w:tcBorders>
              <w:top w:val="single" w:color="000000" w:sz="4" w:space="0"/>
              <w:left w:val="single" w:color="000000" w:sz="4" w:space="0"/>
              <w:bottom w:val="single" w:color="000000" w:sz="4" w:space="0"/>
              <w:right w:val="single" w:color="000000" w:sz="4" w:space="0"/>
            </w:tcBorders>
            <w:vAlign w:val="center"/>
          </w:tcPr>
          <w:p w14:paraId="124A43AA">
            <w:pPr>
              <w:keepNext w:val="0"/>
              <w:keepLines w:val="0"/>
              <w:pageBreakBefore w:val="0"/>
              <w:kinsoku/>
              <w:wordWrap/>
              <w:overflowPunct/>
              <w:topLinePunct w:val="0"/>
              <w:bidi w:val="0"/>
              <w:spacing w:line="360" w:lineRule="auto"/>
              <w:jc w:val="center"/>
              <w:textAlignment w:val="auto"/>
              <w:rPr>
                <w:rStyle w:val="14"/>
                <w:rFonts w:hint="eastAsia" w:ascii="宋体" w:hAnsi="宋体" w:eastAsia="宋体" w:cs="宋体"/>
                <w:b w:val="0"/>
                <w:bCs w:val="0"/>
                <w:sz w:val="21"/>
                <w:szCs w:val="21"/>
                <w:highlight w:val="none"/>
                <w:lang w:val="en-US" w:eastAsia="zh-CN"/>
              </w:rPr>
            </w:pPr>
            <w:r>
              <w:rPr>
                <w:rStyle w:val="14"/>
                <w:rFonts w:hint="eastAsia" w:ascii="宋体" w:hAnsi="宋体" w:cs="宋体"/>
                <w:b w:val="0"/>
                <w:bCs w:val="0"/>
                <w:sz w:val="21"/>
                <w:szCs w:val="21"/>
                <w:highlight w:val="none"/>
                <w:lang w:val="en-US" w:eastAsia="zh-CN"/>
              </w:rPr>
              <w:t>直流快充</w:t>
            </w:r>
          </w:p>
        </w:tc>
      </w:tr>
    </w:tbl>
    <w:p w14:paraId="679F92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lang w:val="en-US" w:eastAsia="zh-CN"/>
        </w:rPr>
        <w:t>其他要求</w:t>
      </w:r>
    </w:p>
    <w:p w14:paraId="37B86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1.见招标文件《合同主要条款》及《合同附件》。</w:t>
      </w:r>
    </w:p>
    <w:p w14:paraId="0A4FD9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必须遵守劳动法，依法规范用工，全员签订劳动合同，符合条件的须参加基本社会养老保险，人员工资应不低于最新公布的徐州市铜山区最低工资标准的110%,高温津贴、特岗津贴、加班费用等按法律、法规及文件规定执行。</w:t>
      </w:r>
    </w:p>
    <w:p w14:paraId="5E38E0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3.按招标人要求在每月25日前向招标人提供相关运行资料，包括但不限于人员信息、工资和加班费发放、人员保险购买凭证，物资发放清单、设备（车辆）信息、垃圾清运量等，并确保资料信息的真实性。</w:t>
      </w:r>
    </w:p>
    <w:p w14:paraId="73EAAF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须在投标文件中提供详细的分项报价表，明确人员设备投入数量，工资福利标准，人员工具、公厕工具配备等分项报价，如中标人未按承诺履行，招标方有权按照分项报价表扣除未履行部分产生的费用。</w:t>
      </w:r>
    </w:p>
    <w:p w14:paraId="340D2B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5.投标人需在投标文件中承诺，如确定中标后于合同签订前在项目所在地设立办公场所，能够满足办公、仓储等要求。</w:t>
      </w:r>
    </w:p>
    <w:p w14:paraId="356085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说明：投标文件中必须提供 “中标后于合同签订前在项目所在地设立办公场所，能够满足办公、仓储等要求”的承诺文件。否则按照无效投标处理。</w:t>
      </w:r>
    </w:p>
    <w:p w14:paraId="11041A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1CD1D7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4D6094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77516DA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0C45186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02EAAB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7F950B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57BC80F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6EEDA4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51D726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5FB9ED22">
      <w:pPr>
        <w:pStyle w:val="2"/>
        <w:rPr>
          <w:rFonts w:hint="eastAsia" w:ascii="宋体" w:hAnsi="宋体" w:eastAsia="宋体" w:cs="宋体"/>
          <w:b/>
          <w:bCs/>
          <w:color w:val="auto"/>
          <w:sz w:val="24"/>
          <w:szCs w:val="24"/>
          <w:highlight w:val="none"/>
          <w:lang w:val="en-US" w:eastAsia="zh-CN"/>
        </w:rPr>
      </w:pPr>
    </w:p>
    <w:p w14:paraId="765A257B">
      <w:pPr>
        <w:pStyle w:val="2"/>
        <w:rPr>
          <w:rFonts w:hint="eastAsia" w:ascii="宋体" w:hAnsi="宋体" w:eastAsia="宋体" w:cs="宋体"/>
          <w:b/>
          <w:bCs/>
          <w:color w:val="auto"/>
          <w:sz w:val="24"/>
          <w:szCs w:val="24"/>
          <w:highlight w:val="none"/>
          <w:lang w:val="en-US" w:eastAsia="zh-CN"/>
        </w:rPr>
      </w:pPr>
    </w:p>
    <w:p w14:paraId="13895442">
      <w:pPr>
        <w:pStyle w:val="2"/>
        <w:rPr>
          <w:rFonts w:hint="eastAsia" w:ascii="宋体" w:hAnsi="宋体" w:eastAsia="宋体" w:cs="宋体"/>
          <w:b/>
          <w:bCs/>
          <w:color w:val="auto"/>
          <w:sz w:val="24"/>
          <w:szCs w:val="24"/>
          <w:highlight w:val="none"/>
          <w:lang w:val="en-US" w:eastAsia="zh-CN"/>
        </w:rPr>
      </w:pPr>
    </w:p>
    <w:p w14:paraId="59F559D8">
      <w:pPr>
        <w:pStyle w:val="2"/>
        <w:rPr>
          <w:rFonts w:hint="eastAsia" w:ascii="宋体" w:hAnsi="宋体" w:eastAsia="宋体" w:cs="宋体"/>
          <w:b/>
          <w:bCs/>
          <w:color w:val="auto"/>
          <w:sz w:val="24"/>
          <w:szCs w:val="24"/>
          <w:highlight w:val="none"/>
          <w:lang w:val="en-US" w:eastAsia="zh-CN"/>
        </w:rPr>
      </w:pPr>
    </w:p>
    <w:p w14:paraId="442472D8">
      <w:pPr>
        <w:pStyle w:val="2"/>
        <w:rPr>
          <w:rFonts w:hint="eastAsia" w:ascii="宋体" w:hAnsi="宋体" w:eastAsia="宋体" w:cs="宋体"/>
          <w:b/>
          <w:bCs/>
          <w:color w:val="auto"/>
          <w:sz w:val="24"/>
          <w:szCs w:val="24"/>
          <w:highlight w:val="none"/>
          <w:lang w:val="en-US" w:eastAsia="zh-CN"/>
        </w:rPr>
      </w:pPr>
    </w:p>
    <w:p w14:paraId="5CD3ED80">
      <w:pPr>
        <w:pStyle w:val="2"/>
        <w:rPr>
          <w:rFonts w:hint="eastAsia" w:ascii="宋体" w:hAnsi="宋体" w:eastAsia="宋体" w:cs="宋体"/>
          <w:b/>
          <w:bCs/>
          <w:color w:val="auto"/>
          <w:sz w:val="24"/>
          <w:szCs w:val="24"/>
          <w:highlight w:val="none"/>
          <w:lang w:val="en-US" w:eastAsia="zh-CN"/>
        </w:rPr>
      </w:pPr>
    </w:p>
    <w:p w14:paraId="2641B389">
      <w:pPr>
        <w:pStyle w:val="2"/>
        <w:rPr>
          <w:rFonts w:hint="eastAsia" w:ascii="宋体" w:hAnsi="宋体" w:eastAsia="宋体" w:cs="宋体"/>
          <w:b/>
          <w:bCs/>
          <w:color w:val="auto"/>
          <w:sz w:val="24"/>
          <w:szCs w:val="24"/>
          <w:highlight w:val="none"/>
          <w:lang w:val="en-US" w:eastAsia="zh-CN"/>
        </w:rPr>
      </w:pPr>
    </w:p>
    <w:p w14:paraId="00FE06F2">
      <w:pPr>
        <w:pStyle w:val="2"/>
        <w:rPr>
          <w:rFonts w:hint="eastAsia" w:ascii="宋体" w:hAnsi="宋体" w:eastAsia="宋体" w:cs="宋体"/>
          <w:b/>
          <w:bCs/>
          <w:color w:val="auto"/>
          <w:sz w:val="24"/>
          <w:szCs w:val="24"/>
          <w:highlight w:val="none"/>
          <w:lang w:val="en-US" w:eastAsia="zh-CN"/>
        </w:rPr>
      </w:pPr>
    </w:p>
    <w:p w14:paraId="3F75A17F">
      <w:pPr>
        <w:pStyle w:val="2"/>
        <w:rPr>
          <w:rFonts w:hint="eastAsia" w:ascii="宋体" w:hAnsi="宋体" w:eastAsia="宋体" w:cs="宋体"/>
          <w:b/>
          <w:bCs/>
          <w:color w:val="auto"/>
          <w:sz w:val="24"/>
          <w:szCs w:val="24"/>
          <w:highlight w:val="none"/>
          <w:lang w:val="en-US" w:eastAsia="zh-CN"/>
        </w:rPr>
      </w:pPr>
    </w:p>
    <w:p w14:paraId="7DC441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140009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61666F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p>
    <w:p w14:paraId="25F666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w:t>
      </w:r>
    </w:p>
    <w:p w14:paraId="597B42ED">
      <w:pPr>
        <w:spacing w:line="36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（一）铜山区镇区市场化保洁考核评分细则</w:t>
      </w:r>
    </w:p>
    <w:tbl>
      <w:tblPr>
        <w:tblStyle w:val="6"/>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320"/>
        <w:gridCol w:w="3695"/>
        <w:gridCol w:w="2790"/>
        <w:gridCol w:w="870"/>
      </w:tblGrid>
      <w:tr w14:paraId="6850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1D9777A3">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color w:val="auto"/>
                <w:kern w:val="0"/>
                <w:sz w:val="21"/>
                <w:szCs w:val="21"/>
                <w:highlight w:val="none"/>
                <w:lang w:bidi="ar"/>
              </w:rPr>
              <w:t>序号</w:t>
            </w:r>
          </w:p>
        </w:tc>
        <w:tc>
          <w:tcPr>
            <w:tcW w:w="1320" w:type="dxa"/>
            <w:noWrap w:val="0"/>
            <w:vAlign w:val="center"/>
          </w:tcPr>
          <w:p w14:paraId="20717A3F">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color w:val="auto"/>
                <w:kern w:val="0"/>
                <w:sz w:val="21"/>
                <w:szCs w:val="21"/>
                <w:highlight w:val="none"/>
                <w:lang w:bidi="ar"/>
              </w:rPr>
              <w:t>考核项目</w:t>
            </w:r>
          </w:p>
        </w:tc>
        <w:tc>
          <w:tcPr>
            <w:tcW w:w="3695" w:type="dxa"/>
            <w:noWrap w:val="0"/>
            <w:vAlign w:val="center"/>
          </w:tcPr>
          <w:p w14:paraId="040492B0">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color w:val="auto"/>
                <w:kern w:val="0"/>
                <w:sz w:val="21"/>
                <w:szCs w:val="21"/>
                <w:highlight w:val="none"/>
                <w:lang w:bidi="ar"/>
              </w:rPr>
              <w:t>评分标准</w:t>
            </w:r>
          </w:p>
        </w:tc>
        <w:tc>
          <w:tcPr>
            <w:tcW w:w="2790" w:type="dxa"/>
            <w:noWrap w:val="0"/>
            <w:vAlign w:val="center"/>
          </w:tcPr>
          <w:p w14:paraId="41BC34A5">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color w:val="auto"/>
                <w:kern w:val="0"/>
                <w:sz w:val="21"/>
                <w:szCs w:val="21"/>
                <w:highlight w:val="none"/>
                <w:lang w:bidi="ar"/>
              </w:rPr>
              <w:t>评分方法</w:t>
            </w:r>
          </w:p>
        </w:tc>
        <w:tc>
          <w:tcPr>
            <w:tcW w:w="870" w:type="dxa"/>
            <w:noWrap w:val="0"/>
            <w:vAlign w:val="center"/>
          </w:tcPr>
          <w:p w14:paraId="5A3B194E">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color w:val="auto"/>
                <w:kern w:val="0"/>
                <w:sz w:val="21"/>
                <w:szCs w:val="21"/>
                <w:highlight w:val="none"/>
                <w:lang w:bidi="ar"/>
              </w:rPr>
              <w:t>备注</w:t>
            </w:r>
          </w:p>
        </w:tc>
      </w:tr>
      <w:tr w14:paraId="2E52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41A4C5B5">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1</w:t>
            </w:r>
          </w:p>
        </w:tc>
        <w:tc>
          <w:tcPr>
            <w:tcW w:w="1320" w:type="dxa"/>
            <w:noWrap w:val="0"/>
            <w:vAlign w:val="center"/>
          </w:tcPr>
          <w:p w14:paraId="27CF8C8F">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保洁员及保洁工具配备（</w:t>
            </w:r>
            <w:r>
              <w:rPr>
                <w:rFonts w:hint="eastAsia" w:ascii="宋体" w:hAnsi="宋体" w:eastAsia="宋体" w:cs="宋体"/>
                <w:color w:val="auto"/>
                <w:sz w:val="21"/>
                <w:szCs w:val="21"/>
                <w:highlight w:val="none"/>
                <w:u w:val="none"/>
                <w:lang w:bidi="ar"/>
              </w:rPr>
              <w:t>15</w:t>
            </w:r>
            <w:r>
              <w:rPr>
                <w:rFonts w:hint="eastAsia" w:ascii="宋体" w:hAnsi="宋体" w:eastAsia="宋体" w:cs="宋体"/>
                <w:color w:val="auto"/>
                <w:kern w:val="0"/>
                <w:sz w:val="21"/>
                <w:szCs w:val="21"/>
                <w:highlight w:val="none"/>
                <w:lang w:bidi="ar"/>
              </w:rPr>
              <w:t>分）</w:t>
            </w:r>
          </w:p>
        </w:tc>
        <w:tc>
          <w:tcPr>
            <w:tcW w:w="3695" w:type="dxa"/>
            <w:noWrap w:val="0"/>
            <w:vAlign w:val="center"/>
          </w:tcPr>
          <w:p w14:paraId="3D4680F6">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镇区保洁员不低于镇区人口的</w:t>
            </w:r>
            <w:r>
              <w:rPr>
                <w:rFonts w:hint="eastAsia" w:ascii="宋体" w:hAnsi="宋体" w:eastAsia="宋体" w:cs="宋体"/>
                <w:color w:val="auto"/>
                <w:sz w:val="21"/>
                <w:szCs w:val="21"/>
                <w:highlight w:val="none"/>
                <w:u w:val="none"/>
                <w:lang w:bidi="ar"/>
              </w:rPr>
              <w:t>3‰</w:t>
            </w:r>
            <w:r>
              <w:rPr>
                <w:rFonts w:hint="eastAsia" w:ascii="宋体" w:hAnsi="宋体" w:eastAsia="宋体" w:cs="宋体"/>
                <w:color w:val="auto"/>
                <w:kern w:val="0"/>
                <w:sz w:val="21"/>
                <w:szCs w:val="21"/>
                <w:highlight w:val="none"/>
                <w:lang w:bidi="ar"/>
              </w:rPr>
              <w:t>，且人均保洁面积不超过</w:t>
            </w:r>
            <w:r>
              <w:rPr>
                <w:rFonts w:hint="eastAsia" w:ascii="宋体" w:hAnsi="宋体" w:eastAsia="宋体" w:cs="宋体"/>
                <w:color w:val="auto"/>
                <w:sz w:val="21"/>
                <w:szCs w:val="21"/>
                <w:highlight w:val="none"/>
                <w:u w:val="none"/>
                <w:lang w:bidi="ar"/>
              </w:rPr>
              <w:t>6000</w:t>
            </w:r>
            <w:r>
              <w:rPr>
                <w:rFonts w:hint="eastAsia" w:ascii="宋体" w:hAnsi="宋体" w:eastAsia="宋体" w:cs="宋体"/>
                <w:color w:val="auto"/>
                <w:kern w:val="0"/>
                <w:sz w:val="21"/>
                <w:szCs w:val="21"/>
                <w:highlight w:val="none"/>
                <w:lang w:bidi="ar"/>
              </w:rPr>
              <w:t>平方米；保洁员人手</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 xml:space="preserve">辆不锈钢保洁车或快速电动保洁车，扫帚等保洁工具及时更换。 </w:t>
            </w:r>
          </w:p>
        </w:tc>
        <w:tc>
          <w:tcPr>
            <w:tcW w:w="2790" w:type="dxa"/>
            <w:noWrap w:val="0"/>
            <w:vAlign w:val="center"/>
          </w:tcPr>
          <w:p w14:paraId="536BB569">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保洁员未按标准配备的，每少</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人扣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分；保洁车辆不合格的每例扣</w:t>
            </w:r>
            <w:r>
              <w:rPr>
                <w:rFonts w:hint="eastAsia" w:ascii="宋体" w:hAnsi="宋体" w:eastAsia="宋体" w:cs="宋体"/>
                <w:color w:val="auto"/>
                <w:sz w:val="21"/>
                <w:szCs w:val="21"/>
                <w:highlight w:val="none"/>
                <w:u w:val="none"/>
                <w:lang w:bidi="ar"/>
              </w:rPr>
              <w:t>3</w:t>
            </w:r>
            <w:r>
              <w:rPr>
                <w:rFonts w:hint="eastAsia" w:ascii="宋体" w:hAnsi="宋体" w:eastAsia="宋体" w:cs="宋体"/>
                <w:color w:val="auto"/>
                <w:kern w:val="0"/>
                <w:sz w:val="21"/>
                <w:szCs w:val="21"/>
                <w:highlight w:val="none"/>
                <w:lang w:bidi="ar"/>
              </w:rPr>
              <w:t>分，保洁工具未及时更换的每例扣</w:t>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kern w:val="0"/>
                <w:sz w:val="21"/>
                <w:szCs w:val="21"/>
                <w:highlight w:val="none"/>
                <w:lang w:bidi="ar"/>
              </w:rPr>
              <w:t>分。</w:t>
            </w:r>
          </w:p>
        </w:tc>
        <w:tc>
          <w:tcPr>
            <w:tcW w:w="870" w:type="dxa"/>
            <w:noWrap w:val="0"/>
            <w:vAlign w:val="center"/>
          </w:tcPr>
          <w:p w14:paraId="24F749CF">
            <w:pPr>
              <w:spacing w:line="240" w:lineRule="auto"/>
              <w:ind w:firstLine="0" w:firstLineChars="0"/>
              <w:jc w:val="left"/>
              <w:rPr>
                <w:rFonts w:hint="eastAsia" w:ascii="宋体" w:hAnsi="宋体" w:eastAsia="宋体" w:cs="宋体"/>
                <w:b/>
                <w:bCs/>
                <w:color w:val="auto"/>
                <w:kern w:val="0"/>
                <w:sz w:val="24"/>
                <w:highlight w:val="none"/>
                <w:lang w:bidi="ar"/>
              </w:rPr>
            </w:pPr>
          </w:p>
        </w:tc>
      </w:tr>
      <w:tr w14:paraId="6481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2EB90815">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2</w:t>
            </w:r>
          </w:p>
        </w:tc>
        <w:tc>
          <w:tcPr>
            <w:tcW w:w="1320" w:type="dxa"/>
            <w:noWrap w:val="0"/>
            <w:vAlign w:val="center"/>
          </w:tcPr>
          <w:p w14:paraId="08AC7505">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环卫设施设备配备</w:t>
            </w:r>
          </w:p>
          <w:p w14:paraId="3F4C0F7C">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15</w:t>
            </w:r>
            <w:r>
              <w:rPr>
                <w:rFonts w:hint="eastAsia" w:ascii="宋体" w:hAnsi="宋体" w:eastAsia="宋体" w:cs="宋体"/>
                <w:color w:val="auto"/>
                <w:kern w:val="0"/>
                <w:sz w:val="21"/>
                <w:szCs w:val="21"/>
                <w:highlight w:val="none"/>
                <w:lang w:bidi="ar"/>
              </w:rPr>
              <w:t>分）</w:t>
            </w:r>
          </w:p>
        </w:tc>
        <w:tc>
          <w:tcPr>
            <w:tcW w:w="3695" w:type="dxa"/>
            <w:noWrap w:val="0"/>
            <w:vAlign w:val="center"/>
          </w:tcPr>
          <w:p w14:paraId="41F10BE0">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按照《环境卫生设施设置标准》（</w:t>
            </w:r>
            <w:r>
              <w:rPr>
                <w:rFonts w:hint="eastAsia" w:ascii="宋体" w:hAnsi="宋体" w:eastAsia="宋体" w:cs="宋体"/>
                <w:color w:val="auto"/>
                <w:sz w:val="21"/>
                <w:szCs w:val="21"/>
                <w:highlight w:val="none"/>
                <w:u w:val="none"/>
                <w:lang w:bidi="ar"/>
              </w:rPr>
              <w:t>CJJ27-2012</w:t>
            </w:r>
            <w:r>
              <w:rPr>
                <w:rFonts w:hint="eastAsia" w:ascii="宋体" w:hAnsi="宋体" w:eastAsia="宋体" w:cs="宋体"/>
                <w:color w:val="auto"/>
                <w:kern w:val="0"/>
                <w:sz w:val="21"/>
                <w:szCs w:val="21"/>
                <w:highlight w:val="none"/>
                <w:lang w:bidi="ar"/>
              </w:rPr>
              <w:t>）要求，按照服务半径</w:t>
            </w:r>
            <w:r>
              <w:rPr>
                <w:rFonts w:hint="eastAsia" w:ascii="宋体" w:hAnsi="宋体" w:eastAsia="宋体" w:cs="宋体"/>
                <w:color w:val="auto"/>
                <w:sz w:val="21"/>
                <w:szCs w:val="21"/>
                <w:highlight w:val="none"/>
                <w:u w:val="none"/>
                <w:lang w:bidi="ar"/>
              </w:rPr>
              <w:t>70</w:t>
            </w:r>
            <w:r>
              <w:rPr>
                <w:rFonts w:hint="eastAsia" w:ascii="宋体" w:hAnsi="宋体" w:eastAsia="宋体" w:cs="宋体"/>
                <w:color w:val="auto"/>
                <w:kern w:val="0"/>
                <w:sz w:val="21"/>
                <w:szCs w:val="21"/>
                <w:highlight w:val="none"/>
                <w:lang w:bidi="ar"/>
              </w:rPr>
              <w:t>米的标准设置分类果皮箱、垃圾桶等垃圾收集容器；所有收集容器外观颜色、标志标识要与省市标准相符，不占用道路，外观整洁、完好、闭盖状态，及时清运，无垃圾外溢；有条件的镇可以添置机扫车、洒水车等机械化设备，可适当减少保洁员数量。</w:t>
            </w:r>
          </w:p>
        </w:tc>
        <w:tc>
          <w:tcPr>
            <w:tcW w:w="2790" w:type="dxa"/>
            <w:noWrap w:val="0"/>
            <w:vAlign w:val="center"/>
          </w:tcPr>
          <w:p w14:paraId="311F0759">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垃圾收集容器未能满足镇区垃圾收运需求的扣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分，配备颜色及标志标识不符合规定的每例扣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分，破损未及时维修更换的每例扣</w:t>
            </w:r>
            <w:r>
              <w:rPr>
                <w:rFonts w:hint="eastAsia" w:ascii="宋体" w:hAnsi="宋体" w:eastAsia="宋体" w:cs="宋体"/>
                <w:color w:val="auto"/>
                <w:sz w:val="21"/>
                <w:szCs w:val="21"/>
                <w:highlight w:val="none"/>
                <w:u w:val="none"/>
                <w:lang w:bidi="ar"/>
              </w:rPr>
              <w:t>3</w:t>
            </w:r>
            <w:r>
              <w:rPr>
                <w:rFonts w:hint="eastAsia" w:ascii="宋体" w:hAnsi="宋体" w:eastAsia="宋体" w:cs="宋体"/>
                <w:color w:val="auto"/>
                <w:kern w:val="0"/>
                <w:sz w:val="21"/>
                <w:szCs w:val="21"/>
                <w:highlight w:val="none"/>
                <w:lang w:bidi="ar"/>
              </w:rPr>
              <w:t>分；箱体不洁、垃圾外溢的每例扣</w:t>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kern w:val="0"/>
                <w:sz w:val="21"/>
                <w:szCs w:val="21"/>
                <w:highlight w:val="none"/>
                <w:lang w:bidi="ar"/>
              </w:rPr>
              <w:t>分。</w:t>
            </w:r>
          </w:p>
        </w:tc>
        <w:tc>
          <w:tcPr>
            <w:tcW w:w="870" w:type="dxa"/>
            <w:noWrap w:val="0"/>
            <w:vAlign w:val="center"/>
          </w:tcPr>
          <w:p w14:paraId="4B02F579">
            <w:pPr>
              <w:spacing w:line="240" w:lineRule="auto"/>
              <w:ind w:firstLine="0" w:firstLineChars="0"/>
              <w:jc w:val="left"/>
              <w:rPr>
                <w:rFonts w:hint="eastAsia" w:ascii="宋体" w:hAnsi="宋体" w:eastAsia="宋体" w:cs="宋体"/>
                <w:b/>
                <w:bCs/>
                <w:color w:val="auto"/>
                <w:kern w:val="0"/>
                <w:sz w:val="24"/>
                <w:highlight w:val="none"/>
                <w:lang w:bidi="ar"/>
              </w:rPr>
            </w:pPr>
          </w:p>
        </w:tc>
      </w:tr>
      <w:tr w14:paraId="4297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70146FAE">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3</w:t>
            </w:r>
          </w:p>
        </w:tc>
        <w:tc>
          <w:tcPr>
            <w:tcW w:w="1320" w:type="dxa"/>
            <w:noWrap w:val="0"/>
            <w:vAlign w:val="center"/>
          </w:tcPr>
          <w:p w14:paraId="297F93CB">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公厕保洁养护</w:t>
            </w:r>
          </w:p>
          <w:p w14:paraId="707022C8">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1835B728">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镇建成区水冲公厕有专人维护保洁，公厕有指示牌，标识清楚，制度上墙，管理规范，清洁卫生无异味。</w:t>
            </w:r>
          </w:p>
        </w:tc>
        <w:tc>
          <w:tcPr>
            <w:tcW w:w="2790" w:type="dxa"/>
            <w:noWrap w:val="0"/>
            <w:vAlign w:val="center"/>
          </w:tcPr>
          <w:p w14:paraId="5293C32F">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无专人维护的每例扣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分；无指示牌、标识制度未上墙、管理不规范的每例扣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分；不清洁的每处扣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分；有异味的扣</w:t>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sz w:val="21"/>
                <w:szCs w:val="21"/>
                <w:highlight w:val="none"/>
                <w:u w:val="none"/>
                <w:lang w:bidi="ar"/>
              </w:rPr>
              <w:t xml:space="preserve">  </w:t>
            </w:r>
          </w:p>
        </w:tc>
        <w:tc>
          <w:tcPr>
            <w:tcW w:w="870" w:type="dxa"/>
            <w:noWrap w:val="0"/>
            <w:vAlign w:val="center"/>
          </w:tcPr>
          <w:p w14:paraId="1225ADC6">
            <w:pPr>
              <w:spacing w:line="240" w:lineRule="auto"/>
              <w:ind w:firstLine="0" w:firstLineChars="0"/>
              <w:jc w:val="left"/>
              <w:rPr>
                <w:rFonts w:hint="eastAsia" w:ascii="宋体" w:hAnsi="宋体" w:eastAsia="宋体" w:cs="宋体"/>
                <w:b/>
                <w:bCs/>
                <w:color w:val="auto"/>
                <w:kern w:val="0"/>
                <w:sz w:val="24"/>
                <w:highlight w:val="none"/>
                <w:lang w:bidi="ar"/>
              </w:rPr>
            </w:pPr>
          </w:p>
        </w:tc>
      </w:tr>
      <w:tr w14:paraId="562B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2E4DEE55">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4</w:t>
            </w:r>
          </w:p>
        </w:tc>
        <w:tc>
          <w:tcPr>
            <w:tcW w:w="1320" w:type="dxa"/>
            <w:noWrap w:val="0"/>
            <w:vAlign w:val="center"/>
          </w:tcPr>
          <w:p w14:paraId="17697B44">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规范、文明作业</w:t>
            </w:r>
          </w:p>
          <w:p w14:paraId="0825E807">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3E40F6E1">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保洁人员能坚守岗位，上岗统一着工作服和反光服，雨雪天气要统一着雨衣（裤、鞋）作业，清扫保洁作业规范，服务文明优质。严禁在道路上中转焚烧垃圾，严禁将垃圾、积灰尘土、杂物倒入绿岛、墙边、路边以及果皮箱内或扫入下水道。</w:t>
            </w:r>
          </w:p>
        </w:tc>
        <w:tc>
          <w:tcPr>
            <w:tcW w:w="2790" w:type="dxa"/>
            <w:noWrap w:val="0"/>
            <w:vAlign w:val="center"/>
          </w:tcPr>
          <w:p w14:paraId="00A0CFDF">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保洁员串岗、聊天、干私活，上岗时未穿戴工作服和反光服、雨雪天未统一着雨衣（裤、鞋）作业的，每人次扣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kern w:val="0"/>
                <w:sz w:val="21"/>
                <w:szCs w:val="21"/>
                <w:highlight w:val="none"/>
                <w:lang w:bidi="ar"/>
              </w:rPr>
              <w:t>保洁人员在道路上中转焚烧垃圾的每例扣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分，将垃圾、积灰尘土、杂物倒入绿岛、墙边、路边以及果皮箱内或扫入下水道的每例扣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w:t>
            </w:r>
          </w:p>
        </w:tc>
        <w:tc>
          <w:tcPr>
            <w:tcW w:w="870" w:type="dxa"/>
            <w:noWrap w:val="0"/>
            <w:vAlign w:val="center"/>
          </w:tcPr>
          <w:p w14:paraId="11C60675">
            <w:pPr>
              <w:spacing w:line="240" w:lineRule="auto"/>
              <w:ind w:firstLine="0" w:firstLineChars="0"/>
              <w:jc w:val="left"/>
              <w:rPr>
                <w:rFonts w:hint="eastAsia" w:ascii="宋体" w:hAnsi="宋体" w:eastAsia="宋体" w:cs="宋体"/>
                <w:b/>
                <w:bCs/>
                <w:color w:val="auto"/>
                <w:kern w:val="0"/>
                <w:sz w:val="24"/>
                <w:highlight w:val="none"/>
                <w:lang w:bidi="ar"/>
              </w:rPr>
            </w:pPr>
          </w:p>
        </w:tc>
      </w:tr>
      <w:tr w14:paraId="137B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67029966">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5</w:t>
            </w:r>
          </w:p>
        </w:tc>
        <w:tc>
          <w:tcPr>
            <w:tcW w:w="1320" w:type="dxa"/>
            <w:noWrap w:val="0"/>
            <w:vAlign w:val="center"/>
          </w:tcPr>
          <w:p w14:paraId="1A5656EA">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保洁质量</w:t>
            </w:r>
          </w:p>
          <w:p w14:paraId="7800EE09">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20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2A6C24BE">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道路、街巷路面垃圾及时清运，无积存、暴露垃圾</w:t>
            </w: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kern w:val="0"/>
                <w:sz w:val="21"/>
                <w:szCs w:val="21"/>
                <w:highlight w:val="none"/>
                <w:lang w:bidi="ar"/>
              </w:rPr>
              <w:t>渣土撒漏及时清理；沿路绿化带内不得有烟头、杂物、纸屑、漂浮物等，每</w:t>
            </w:r>
            <w:r>
              <w:rPr>
                <w:rFonts w:hint="eastAsia" w:ascii="宋体" w:hAnsi="宋体" w:eastAsia="宋体" w:cs="宋体"/>
                <w:color w:val="auto"/>
                <w:sz w:val="21"/>
                <w:szCs w:val="21"/>
                <w:highlight w:val="none"/>
                <w:u w:val="none"/>
                <w:lang w:bidi="ar"/>
              </w:rPr>
              <w:t>100m</w:t>
            </w:r>
            <w:r>
              <w:rPr>
                <w:rFonts w:hint="eastAsia" w:ascii="宋体" w:hAnsi="宋体" w:eastAsia="宋体" w:cs="宋体"/>
                <w:color w:val="auto"/>
                <w:kern w:val="0"/>
                <w:sz w:val="21"/>
                <w:szCs w:val="21"/>
                <w:highlight w:val="none"/>
                <w:vertAlign w:val="superscript"/>
                <w:lang w:bidi="ar"/>
              </w:rPr>
              <w:t>2</w:t>
            </w:r>
            <w:r>
              <w:rPr>
                <w:rFonts w:hint="eastAsia" w:ascii="宋体" w:hAnsi="宋体" w:eastAsia="宋体" w:cs="宋体"/>
                <w:color w:val="auto"/>
                <w:kern w:val="0"/>
                <w:sz w:val="21"/>
                <w:szCs w:val="21"/>
                <w:highlight w:val="none"/>
                <w:lang w:bidi="ar"/>
              </w:rPr>
              <w:t>不得超过</w:t>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kern w:val="0"/>
                <w:sz w:val="21"/>
                <w:szCs w:val="21"/>
                <w:highlight w:val="none"/>
                <w:lang w:bidi="ar"/>
              </w:rPr>
              <w:t>处；河道无垃圾等漂浮物；降雪天气及时组织除雪作业；两侧建（构）筑物表面野广告及时清除及保洁，粉刷色调要和原建筑风貌一致。</w:t>
            </w:r>
          </w:p>
        </w:tc>
        <w:tc>
          <w:tcPr>
            <w:tcW w:w="2790" w:type="dxa"/>
            <w:noWrap w:val="0"/>
            <w:vAlign w:val="center"/>
          </w:tcPr>
          <w:p w14:paraId="6E075F98">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作业范围内有暴露垃圾堆每处扣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分；渣土撒漏未及时清理的，每次扣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分；未按要求组织除雪的，每次扣</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分；两侧建筑物、构筑物、果皮箱、灯箱广告及其他公共设施上的野广告未及时清除一处扣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分，粉刷色调明显不一致的一处扣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w:t>
            </w:r>
          </w:p>
        </w:tc>
        <w:tc>
          <w:tcPr>
            <w:tcW w:w="870" w:type="dxa"/>
            <w:noWrap w:val="0"/>
            <w:vAlign w:val="center"/>
          </w:tcPr>
          <w:p w14:paraId="4DAF181D">
            <w:pPr>
              <w:spacing w:line="240" w:lineRule="auto"/>
              <w:ind w:firstLine="0" w:firstLineChars="0"/>
              <w:jc w:val="left"/>
              <w:rPr>
                <w:rFonts w:hint="eastAsia" w:ascii="宋体" w:hAnsi="宋体" w:eastAsia="宋体" w:cs="宋体"/>
                <w:b/>
                <w:bCs/>
                <w:color w:val="auto"/>
                <w:kern w:val="0"/>
                <w:sz w:val="24"/>
                <w:highlight w:val="none"/>
                <w:lang w:bidi="ar"/>
              </w:rPr>
            </w:pPr>
          </w:p>
        </w:tc>
      </w:tr>
      <w:tr w14:paraId="2AA9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488E8169">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6</w:t>
            </w:r>
          </w:p>
        </w:tc>
        <w:tc>
          <w:tcPr>
            <w:tcW w:w="1320" w:type="dxa"/>
            <w:noWrap w:val="0"/>
            <w:vAlign w:val="center"/>
          </w:tcPr>
          <w:p w14:paraId="40D99D9F">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问题整改</w:t>
            </w:r>
          </w:p>
          <w:p w14:paraId="10EE5E84">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1FAA9F89">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发现问题及时整改，按要求反馈整改情况，无新闻媒体曝光。</w:t>
            </w:r>
          </w:p>
        </w:tc>
        <w:tc>
          <w:tcPr>
            <w:tcW w:w="2790" w:type="dxa"/>
            <w:noWrap w:val="0"/>
            <w:vAlign w:val="center"/>
          </w:tcPr>
          <w:p w14:paraId="539AD712">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整改后未按要求反馈扣</w:t>
            </w: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kern w:val="0"/>
                <w:sz w:val="21"/>
                <w:szCs w:val="21"/>
                <w:highlight w:val="none"/>
                <w:lang w:bidi="ar"/>
              </w:rPr>
              <w:t>分；新闻媒体曝光的问题经查实的，每例扣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w:t>
            </w:r>
          </w:p>
        </w:tc>
        <w:tc>
          <w:tcPr>
            <w:tcW w:w="870" w:type="dxa"/>
            <w:noWrap w:val="0"/>
            <w:vAlign w:val="center"/>
          </w:tcPr>
          <w:p w14:paraId="2BBE3E1E">
            <w:pPr>
              <w:spacing w:line="240" w:lineRule="auto"/>
              <w:ind w:firstLine="0" w:firstLineChars="0"/>
              <w:jc w:val="left"/>
              <w:rPr>
                <w:rFonts w:hint="eastAsia" w:ascii="宋体" w:hAnsi="宋体" w:eastAsia="宋体" w:cs="宋体"/>
                <w:b/>
                <w:bCs/>
                <w:color w:val="auto"/>
                <w:kern w:val="0"/>
                <w:sz w:val="24"/>
                <w:highlight w:val="none"/>
                <w:lang w:bidi="ar"/>
              </w:rPr>
            </w:pPr>
          </w:p>
        </w:tc>
      </w:tr>
      <w:tr w14:paraId="5E8B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61FEEA5F">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7</w:t>
            </w:r>
          </w:p>
        </w:tc>
        <w:tc>
          <w:tcPr>
            <w:tcW w:w="1320" w:type="dxa"/>
            <w:noWrap w:val="0"/>
            <w:vAlign w:val="center"/>
          </w:tcPr>
          <w:p w14:paraId="22BD5500">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工资发放</w:t>
            </w:r>
          </w:p>
          <w:p w14:paraId="10BAF2DD">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273349D3">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按规定及时发放保洁员工资福利待遇等，不克扣拖延。</w:t>
            </w:r>
          </w:p>
        </w:tc>
        <w:tc>
          <w:tcPr>
            <w:tcW w:w="2790" w:type="dxa"/>
            <w:noWrap w:val="0"/>
            <w:vAlign w:val="center"/>
          </w:tcPr>
          <w:p w14:paraId="1DAA302C">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克扣拖延工资的，每人次扣</w:t>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kern w:val="0"/>
                <w:sz w:val="21"/>
                <w:szCs w:val="21"/>
                <w:highlight w:val="none"/>
                <w:lang w:bidi="ar"/>
              </w:rPr>
              <w:t>分。达不到要求工资标准的视情节状况，可以不受该项分值限制。</w:t>
            </w:r>
          </w:p>
        </w:tc>
        <w:tc>
          <w:tcPr>
            <w:tcW w:w="870" w:type="dxa"/>
            <w:noWrap w:val="0"/>
            <w:vAlign w:val="center"/>
          </w:tcPr>
          <w:p w14:paraId="680ED6F1">
            <w:pPr>
              <w:spacing w:line="240" w:lineRule="auto"/>
              <w:ind w:firstLine="0" w:firstLineChars="0"/>
              <w:jc w:val="left"/>
              <w:rPr>
                <w:rFonts w:hint="eastAsia" w:ascii="宋体" w:hAnsi="宋体" w:eastAsia="宋体" w:cs="宋体"/>
                <w:b/>
                <w:bCs/>
                <w:color w:val="auto"/>
                <w:kern w:val="0"/>
                <w:sz w:val="24"/>
                <w:highlight w:val="none"/>
                <w:lang w:bidi="ar"/>
              </w:rPr>
            </w:pPr>
          </w:p>
        </w:tc>
      </w:tr>
      <w:tr w14:paraId="3F4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noWrap w:val="0"/>
            <w:vAlign w:val="center"/>
          </w:tcPr>
          <w:p w14:paraId="5C3E381C">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8</w:t>
            </w:r>
          </w:p>
        </w:tc>
        <w:tc>
          <w:tcPr>
            <w:tcW w:w="1320" w:type="dxa"/>
            <w:noWrap w:val="0"/>
            <w:vAlign w:val="center"/>
          </w:tcPr>
          <w:p w14:paraId="5D507A85">
            <w:pPr>
              <w:widowControl/>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监督考核</w:t>
            </w:r>
          </w:p>
          <w:p w14:paraId="11260619">
            <w:pPr>
              <w:widowControl/>
              <w:spacing w:line="240" w:lineRule="auto"/>
              <w:ind w:firstLine="0" w:firstLineChars="0"/>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kern w:val="0"/>
                <w:sz w:val="21"/>
                <w:szCs w:val="21"/>
                <w:highlight w:val="none"/>
                <w:lang w:bidi="ar"/>
              </w:rPr>
              <w:t>分）</w:t>
            </w:r>
          </w:p>
        </w:tc>
        <w:tc>
          <w:tcPr>
            <w:tcW w:w="3695" w:type="dxa"/>
            <w:noWrap w:val="0"/>
            <w:vAlign w:val="center"/>
          </w:tcPr>
          <w:p w14:paraId="558E8E5A">
            <w:pPr>
              <w:widowControl/>
              <w:spacing w:line="240" w:lineRule="auto"/>
              <w:ind w:firstLine="0" w:firstLineChars="0"/>
              <w:jc w:val="left"/>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对进驻物业公司严格监管，依法合理表达要求，无上访、信访等事件。</w:t>
            </w:r>
          </w:p>
        </w:tc>
        <w:tc>
          <w:tcPr>
            <w:tcW w:w="2790" w:type="dxa"/>
            <w:noWrap w:val="0"/>
            <w:vAlign w:val="center"/>
          </w:tcPr>
          <w:p w14:paraId="61FE129A">
            <w:pPr>
              <w:widowControl/>
              <w:spacing w:line="240" w:lineRule="auto"/>
              <w:ind w:firstLine="0" w:firstLineChars="0"/>
              <w:jc w:val="left"/>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1"/>
                <w:szCs w:val="21"/>
                <w:highlight w:val="none"/>
                <w:lang w:bidi="ar"/>
              </w:rPr>
              <w:t>出现顶撞、辱骂、殴打及上访、信访等事件，视情节影响扣</w:t>
            </w:r>
            <w:r>
              <w:rPr>
                <w:rFonts w:hint="eastAsia" w:ascii="宋体" w:hAnsi="宋体" w:eastAsia="宋体" w:cs="宋体"/>
                <w:color w:val="auto"/>
                <w:sz w:val="21"/>
                <w:szCs w:val="21"/>
                <w:highlight w:val="none"/>
                <w:u w:val="none"/>
                <w:lang w:bidi="ar"/>
              </w:rPr>
              <w:t>1-10</w:t>
            </w:r>
            <w:r>
              <w:rPr>
                <w:rFonts w:hint="eastAsia" w:ascii="宋体" w:hAnsi="宋体" w:eastAsia="宋体" w:cs="宋体"/>
                <w:color w:val="auto"/>
                <w:kern w:val="0"/>
                <w:sz w:val="21"/>
                <w:szCs w:val="21"/>
                <w:highlight w:val="none"/>
                <w:lang w:bidi="ar"/>
              </w:rPr>
              <w:t>分。</w:t>
            </w:r>
          </w:p>
        </w:tc>
        <w:tc>
          <w:tcPr>
            <w:tcW w:w="870" w:type="dxa"/>
            <w:noWrap w:val="0"/>
            <w:vAlign w:val="center"/>
          </w:tcPr>
          <w:p w14:paraId="78A395A0">
            <w:pPr>
              <w:spacing w:line="240" w:lineRule="auto"/>
              <w:ind w:firstLine="0" w:firstLineChars="0"/>
              <w:jc w:val="left"/>
              <w:rPr>
                <w:rFonts w:hint="eastAsia" w:ascii="宋体" w:hAnsi="宋体" w:eastAsia="宋体" w:cs="宋体"/>
                <w:b/>
                <w:bCs/>
                <w:color w:val="auto"/>
                <w:kern w:val="0"/>
                <w:sz w:val="24"/>
                <w:highlight w:val="none"/>
                <w:lang w:bidi="ar"/>
              </w:rPr>
            </w:pPr>
          </w:p>
        </w:tc>
      </w:tr>
    </w:tbl>
    <w:p w14:paraId="2CD91A31">
      <w:pPr>
        <w:numPr>
          <w:ilvl w:val="0"/>
          <w:numId w:val="0"/>
        </w:numPr>
        <w:spacing w:line="480" w:lineRule="auto"/>
        <w:jc w:val="both"/>
        <w:rPr>
          <w:rFonts w:hint="eastAsia" w:ascii="宋体" w:hAnsi="宋体" w:eastAsia="宋体" w:cs="宋体"/>
          <w:color w:val="auto"/>
          <w:kern w:val="0"/>
          <w:sz w:val="24"/>
          <w:highlight w:val="none"/>
          <w:lang w:bidi="ar"/>
        </w:rPr>
      </w:pPr>
    </w:p>
    <w:p w14:paraId="60296D1F">
      <w:pPr>
        <w:pStyle w:val="2"/>
        <w:rPr>
          <w:rFonts w:hint="eastAsia" w:ascii="宋体" w:hAnsi="宋体" w:eastAsia="宋体" w:cs="宋体"/>
          <w:color w:val="auto"/>
          <w:kern w:val="0"/>
          <w:sz w:val="24"/>
          <w:highlight w:val="none"/>
          <w:lang w:bidi="ar"/>
        </w:rPr>
      </w:pPr>
    </w:p>
    <w:p w14:paraId="26BE0872">
      <w:pPr>
        <w:pStyle w:val="2"/>
        <w:rPr>
          <w:rFonts w:hint="eastAsia" w:ascii="宋体" w:hAnsi="宋体" w:eastAsia="宋体" w:cs="宋体"/>
          <w:color w:val="auto"/>
          <w:kern w:val="0"/>
          <w:sz w:val="24"/>
          <w:highlight w:val="none"/>
          <w:lang w:bidi="ar"/>
        </w:rPr>
      </w:pPr>
    </w:p>
    <w:p w14:paraId="4EA8A1D2">
      <w:pPr>
        <w:pStyle w:val="2"/>
        <w:rPr>
          <w:rFonts w:hint="eastAsia" w:ascii="宋体" w:hAnsi="宋体" w:eastAsia="宋体" w:cs="宋体"/>
          <w:color w:val="auto"/>
          <w:kern w:val="0"/>
          <w:sz w:val="24"/>
          <w:highlight w:val="none"/>
          <w:lang w:bidi="ar"/>
        </w:rPr>
      </w:pPr>
    </w:p>
    <w:p w14:paraId="10DCB63F">
      <w:pPr>
        <w:pStyle w:val="2"/>
        <w:rPr>
          <w:rFonts w:hint="eastAsia" w:ascii="宋体" w:hAnsi="宋体" w:eastAsia="宋体" w:cs="宋体"/>
          <w:color w:val="auto"/>
          <w:kern w:val="0"/>
          <w:sz w:val="24"/>
          <w:highlight w:val="none"/>
          <w:lang w:bidi="ar"/>
        </w:rPr>
      </w:pPr>
    </w:p>
    <w:p w14:paraId="2A3E3FA7">
      <w:pPr>
        <w:pStyle w:val="2"/>
        <w:rPr>
          <w:rFonts w:hint="eastAsia" w:ascii="宋体" w:hAnsi="宋体" w:eastAsia="宋体" w:cs="宋体"/>
          <w:color w:val="auto"/>
          <w:kern w:val="0"/>
          <w:sz w:val="24"/>
          <w:highlight w:val="none"/>
          <w:lang w:bidi="ar"/>
        </w:rPr>
      </w:pPr>
    </w:p>
    <w:p w14:paraId="2657DA72">
      <w:pPr>
        <w:pStyle w:val="2"/>
        <w:rPr>
          <w:rFonts w:hint="eastAsia" w:ascii="宋体" w:hAnsi="宋体" w:eastAsia="宋体" w:cs="宋体"/>
          <w:color w:val="auto"/>
          <w:kern w:val="0"/>
          <w:sz w:val="24"/>
          <w:highlight w:val="none"/>
          <w:lang w:bidi="ar"/>
        </w:rPr>
      </w:pPr>
    </w:p>
    <w:p w14:paraId="076A64FC">
      <w:pPr>
        <w:pStyle w:val="2"/>
        <w:rPr>
          <w:rFonts w:hint="eastAsia" w:ascii="宋体" w:hAnsi="宋体" w:eastAsia="宋体" w:cs="宋体"/>
          <w:color w:val="auto"/>
          <w:kern w:val="0"/>
          <w:sz w:val="24"/>
          <w:highlight w:val="none"/>
          <w:lang w:bidi="ar"/>
        </w:rPr>
      </w:pPr>
    </w:p>
    <w:p w14:paraId="41B0C81A">
      <w:pPr>
        <w:pStyle w:val="2"/>
        <w:rPr>
          <w:rFonts w:hint="eastAsia" w:ascii="宋体" w:hAnsi="宋体" w:eastAsia="宋体" w:cs="宋体"/>
          <w:color w:val="auto"/>
          <w:kern w:val="0"/>
          <w:sz w:val="24"/>
          <w:highlight w:val="none"/>
          <w:lang w:bidi="ar"/>
        </w:rPr>
      </w:pPr>
    </w:p>
    <w:p w14:paraId="7607A19B">
      <w:pPr>
        <w:pStyle w:val="2"/>
        <w:rPr>
          <w:rFonts w:hint="eastAsia" w:ascii="宋体" w:hAnsi="宋体" w:eastAsia="宋体" w:cs="宋体"/>
          <w:color w:val="auto"/>
          <w:kern w:val="0"/>
          <w:sz w:val="24"/>
          <w:highlight w:val="none"/>
          <w:lang w:bidi="ar"/>
        </w:rPr>
      </w:pPr>
    </w:p>
    <w:p w14:paraId="3BA2A97D">
      <w:pPr>
        <w:pStyle w:val="2"/>
        <w:rPr>
          <w:rFonts w:hint="eastAsia" w:ascii="宋体" w:hAnsi="宋体" w:eastAsia="宋体" w:cs="宋体"/>
          <w:color w:val="auto"/>
          <w:kern w:val="0"/>
          <w:sz w:val="24"/>
          <w:highlight w:val="none"/>
          <w:lang w:bidi="ar"/>
        </w:rPr>
      </w:pPr>
    </w:p>
    <w:p w14:paraId="17E96E8E">
      <w:pPr>
        <w:pStyle w:val="2"/>
        <w:rPr>
          <w:rFonts w:hint="eastAsia" w:ascii="宋体" w:hAnsi="宋体" w:eastAsia="宋体" w:cs="宋体"/>
          <w:color w:val="auto"/>
          <w:kern w:val="0"/>
          <w:sz w:val="24"/>
          <w:highlight w:val="none"/>
          <w:lang w:bidi="ar"/>
        </w:rPr>
      </w:pPr>
    </w:p>
    <w:p w14:paraId="3F2E57B4">
      <w:pPr>
        <w:pStyle w:val="2"/>
        <w:rPr>
          <w:rFonts w:hint="eastAsia" w:ascii="宋体" w:hAnsi="宋体" w:eastAsia="宋体" w:cs="宋体"/>
          <w:color w:val="auto"/>
          <w:kern w:val="0"/>
          <w:sz w:val="24"/>
          <w:highlight w:val="none"/>
          <w:lang w:bidi="ar"/>
        </w:rPr>
      </w:pPr>
    </w:p>
    <w:p w14:paraId="3AEEC3BA">
      <w:pPr>
        <w:pStyle w:val="2"/>
        <w:rPr>
          <w:rFonts w:hint="eastAsia" w:ascii="宋体" w:hAnsi="宋体" w:eastAsia="宋体" w:cs="宋体"/>
          <w:color w:val="auto"/>
          <w:kern w:val="0"/>
          <w:sz w:val="24"/>
          <w:highlight w:val="none"/>
          <w:lang w:bidi="ar"/>
        </w:rPr>
      </w:pPr>
    </w:p>
    <w:p w14:paraId="6B8D4FC9">
      <w:pPr>
        <w:pStyle w:val="2"/>
        <w:rPr>
          <w:rFonts w:hint="eastAsia" w:ascii="宋体" w:hAnsi="宋体" w:eastAsia="宋体" w:cs="宋体"/>
          <w:color w:val="auto"/>
          <w:kern w:val="0"/>
          <w:sz w:val="24"/>
          <w:highlight w:val="none"/>
          <w:lang w:bidi="ar"/>
        </w:rPr>
      </w:pPr>
    </w:p>
    <w:p w14:paraId="6A1316C5">
      <w:pPr>
        <w:pStyle w:val="2"/>
        <w:rPr>
          <w:rFonts w:hint="eastAsia" w:ascii="宋体" w:hAnsi="宋体" w:eastAsia="宋体" w:cs="宋体"/>
          <w:color w:val="auto"/>
          <w:kern w:val="0"/>
          <w:sz w:val="24"/>
          <w:highlight w:val="none"/>
          <w:lang w:bidi="ar"/>
        </w:rPr>
      </w:pPr>
    </w:p>
    <w:p w14:paraId="108C070C">
      <w:pPr>
        <w:pStyle w:val="2"/>
        <w:rPr>
          <w:rFonts w:hint="eastAsia" w:ascii="宋体" w:hAnsi="宋体" w:eastAsia="宋体" w:cs="宋体"/>
          <w:color w:val="auto"/>
          <w:kern w:val="0"/>
          <w:sz w:val="24"/>
          <w:highlight w:val="none"/>
          <w:lang w:bidi="ar"/>
        </w:rPr>
      </w:pPr>
    </w:p>
    <w:p w14:paraId="3CFFAC22">
      <w:pPr>
        <w:pStyle w:val="2"/>
        <w:rPr>
          <w:rFonts w:hint="eastAsia" w:ascii="宋体" w:hAnsi="宋体" w:eastAsia="宋体" w:cs="宋体"/>
          <w:color w:val="auto"/>
          <w:kern w:val="0"/>
          <w:sz w:val="24"/>
          <w:highlight w:val="none"/>
          <w:lang w:bidi="ar"/>
        </w:rPr>
      </w:pPr>
    </w:p>
    <w:p w14:paraId="2B014A86">
      <w:pPr>
        <w:pStyle w:val="2"/>
        <w:rPr>
          <w:rFonts w:hint="eastAsia" w:ascii="宋体" w:hAnsi="宋体" w:eastAsia="宋体" w:cs="宋体"/>
          <w:color w:val="auto"/>
          <w:kern w:val="0"/>
          <w:sz w:val="24"/>
          <w:highlight w:val="none"/>
          <w:lang w:bidi="ar"/>
        </w:rPr>
      </w:pPr>
    </w:p>
    <w:p w14:paraId="404E1045">
      <w:pPr>
        <w:pStyle w:val="2"/>
        <w:rPr>
          <w:rFonts w:hint="eastAsia" w:ascii="宋体" w:hAnsi="宋体" w:eastAsia="宋体" w:cs="宋体"/>
          <w:color w:val="auto"/>
          <w:kern w:val="0"/>
          <w:sz w:val="24"/>
          <w:highlight w:val="none"/>
          <w:lang w:bidi="ar"/>
        </w:rPr>
      </w:pPr>
    </w:p>
    <w:p w14:paraId="157869E6">
      <w:pPr>
        <w:pStyle w:val="2"/>
        <w:rPr>
          <w:rFonts w:hint="eastAsia" w:ascii="宋体" w:hAnsi="宋体" w:eastAsia="宋体" w:cs="宋体"/>
          <w:color w:val="auto"/>
          <w:kern w:val="0"/>
          <w:sz w:val="24"/>
          <w:highlight w:val="none"/>
          <w:lang w:bidi="ar"/>
        </w:rPr>
      </w:pPr>
    </w:p>
    <w:p w14:paraId="78BF68D4">
      <w:pPr>
        <w:pStyle w:val="2"/>
        <w:rPr>
          <w:rFonts w:hint="eastAsia" w:ascii="宋体" w:hAnsi="宋体" w:eastAsia="宋体" w:cs="宋体"/>
          <w:color w:val="auto"/>
          <w:kern w:val="0"/>
          <w:sz w:val="24"/>
          <w:highlight w:val="none"/>
          <w:lang w:bidi="ar"/>
        </w:rPr>
      </w:pPr>
    </w:p>
    <w:p w14:paraId="680A4940">
      <w:pPr>
        <w:pStyle w:val="2"/>
        <w:rPr>
          <w:rFonts w:hint="eastAsia" w:ascii="宋体" w:hAnsi="宋体" w:eastAsia="宋体" w:cs="宋体"/>
          <w:color w:val="auto"/>
          <w:kern w:val="0"/>
          <w:sz w:val="24"/>
          <w:highlight w:val="none"/>
          <w:lang w:bidi="ar"/>
        </w:rPr>
      </w:pPr>
    </w:p>
    <w:p w14:paraId="6BAD9938">
      <w:pPr>
        <w:pStyle w:val="2"/>
        <w:rPr>
          <w:rFonts w:hint="eastAsia" w:ascii="宋体" w:hAnsi="宋体" w:eastAsia="宋体" w:cs="宋体"/>
          <w:color w:val="auto"/>
          <w:kern w:val="0"/>
          <w:sz w:val="24"/>
          <w:highlight w:val="none"/>
          <w:lang w:bidi="ar"/>
        </w:rPr>
      </w:pPr>
    </w:p>
    <w:p w14:paraId="143B42F5">
      <w:pPr>
        <w:pStyle w:val="2"/>
        <w:rPr>
          <w:rFonts w:hint="eastAsia" w:ascii="宋体" w:hAnsi="宋体" w:eastAsia="宋体" w:cs="宋体"/>
          <w:color w:val="auto"/>
          <w:kern w:val="0"/>
          <w:sz w:val="24"/>
          <w:highlight w:val="none"/>
          <w:lang w:bidi="ar"/>
        </w:rPr>
      </w:pPr>
    </w:p>
    <w:p w14:paraId="2465AC5B">
      <w:pPr>
        <w:pStyle w:val="2"/>
        <w:rPr>
          <w:rFonts w:hint="eastAsia" w:ascii="宋体" w:hAnsi="宋体" w:eastAsia="宋体" w:cs="宋体"/>
          <w:color w:val="auto"/>
          <w:kern w:val="0"/>
          <w:sz w:val="24"/>
          <w:highlight w:val="none"/>
          <w:lang w:bidi="ar"/>
        </w:rPr>
      </w:pPr>
    </w:p>
    <w:p w14:paraId="0F15BEBE">
      <w:pPr>
        <w:pStyle w:val="2"/>
        <w:rPr>
          <w:rFonts w:hint="eastAsia" w:ascii="宋体" w:hAnsi="宋体" w:eastAsia="宋体" w:cs="宋体"/>
          <w:color w:val="auto"/>
          <w:kern w:val="0"/>
          <w:sz w:val="24"/>
          <w:highlight w:val="none"/>
          <w:lang w:bidi="ar"/>
        </w:rPr>
      </w:pPr>
    </w:p>
    <w:p w14:paraId="65CFBC5E">
      <w:pPr>
        <w:pStyle w:val="2"/>
        <w:rPr>
          <w:rFonts w:hint="eastAsia" w:ascii="宋体" w:hAnsi="宋体" w:eastAsia="宋体" w:cs="宋体"/>
          <w:color w:val="auto"/>
          <w:kern w:val="0"/>
          <w:sz w:val="24"/>
          <w:highlight w:val="none"/>
          <w:lang w:bidi="ar"/>
        </w:rPr>
      </w:pPr>
    </w:p>
    <w:p w14:paraId="25BAF2B2">
      <w:pPr>
        <w:pStyle w:val="2"/>
        <w:rPr>
          <w:rFonts w:hint="eastAsia" w:ascii="宋体" w:hAnsi="宋体" w:eastAsia="宋体" w:cs="宋体"/>
          <w:color w:val="auto"/>
          <w:kern w:val="0"/>
          <w:sz w:val="24"/>
          <w:highlight w:val="none"/>
          <w:lang w:bidi="ar"/>
        </w:rPr>
      </w:pPr>
    </w:p>
    <w:p w14:paraId="1EB383EE">
      <w:pPr>
        <w:pStyle w:val="2"/>
        <w:rPr>
          <w:rFonts w:hint="eastAsia" w:ascii="宋体" w:hAnsi="宋体" w:eastAsia="宋体" w:cs="宋体"/>
          <w:color w:val="auto"/>
          <w:kern w:val="0"/>
          <w:sz w:val="24"/>
          <w:highlight w:val="none"/>
          <w:lang w:bidi="ar"/>
        </w:rPr>
      </w:pPr>
    </w:p>
    <w:p w14:paraId="217CA4D7">
      <w:pPr>
        <w:pStyle w:val="2"/>
        <w:rPr>
          <w:rFonts w:hint="eastAsia" w:ascii="宋体" w:hAnsi="宋体" w:eastAsia="宋体" w:cs="宋体"/>
          <w:color w:val="auto"/>
          <w:kern w:val="0"/>
          <w:sz w:val="24"/>
          <w:highlight w:val="none"/>
          <w:lang w:bidi="ar"/>
        </w:rPr>
      </w:pPr>
    </w:p>
    <w:p w14:paraId="3B0E5807">
      <w:pPr>
        <w:pStyle w:val="2"/>
        <w:rPr>
          <w:rFonts w:hint="eastAsia" w:ascii="宋体" w:hAnsi="宋体" w:eastAsia="宋体" w:cs="宋体"/>
          <w:color w:val="auto"/>
          <w:kern w:val="0"/>
          <w:sz w:val="24"/>
          <w:highlight w:val="none"/>
          <w:lang w:bidi="ar"/>
        </w:rPr>
      </w:pPr>
    </w:p>
    <w:p w14:paraId="7D7DA732">
      <w:pPr>
        <w:pStyle w:val="2"/>
        <w:rPr>
          <w:rFonts w:hint="eastAsia" w:ascii="宋体" w:hAnsi="宋体" w:eastAsia="宋体" w:cs="宋体"/>
          <w:color w:val="auto"/>
          <w:kern w:val="0"/>
          <w:sz w:val="24"/>
          <w:highlight w:val="none"/>
          <w:lang w:bidi="ar"/>
        </w:rPr>
      </w:pPr>
    </w:p>
    <w:p w14:paraId="2954E4E3">
      <w:pPr>
        <w:pStyle w:val="2"/>
        <w:rPr>
          <w:rFonts w:hint="eastAsia" w:ascii="宋体" w:hAnsi="宋体" w:eastAsia="宋体" w:cs="宋体"/>
          <w:color w:val="auto"/>
          <w:kern w:val="0"/>
          <w:sz w:val="24"/>
          <w:highlight w:val="none"/>
          <w:lang w:bidi="ar"/>
        </w:rPr>
      </w:pPr>
    </w:p>
    <w:p w14:paraId="0280F06A">
      <w:pPr>
        <w:pStyle w:val="2"/>
        <w:rPr>
          <w:rFonts w:hint="eastAsia" w:ascii="宋体" w:hAnsi="宋体" w:eastAsia="宋体" w:cs="宋体"/>
          <w:color w:val="auto"/>
          <w:kern w:val="0"/>
          <w:sz w:val="24"/>
          <w:highlight w:val="none"/>
          <w:lang w:bidi="ar"/>
        </w:rPr>
      </w:pPr>
    </w:p>
    <w:p w14:paraId="65A726FC">
      <w:pPr>
        <w:pStyle w:val="2"/>
        <w:rPr>
          <w:rFonts w:hint="eastAsia" w:ascii="宋体" w:hAnsi="宋体" w:eastAsia="宋体" w:cs="宋体"/>
          <w:color w:val="auto"/>
          <w:kern w:val="0"/>
          <w:sz w:val="24"/>
          <w:highlight w:val="none"/>
          <w:lang w:bidi="ar"/>
        </w:rPr>
      </w:pPr>
    </w:p>
    <w:p w14:paraId="1F9C38B3">
      <w:pPr>
        <w:numPr>
          <w:ilvl w:val="0"/>
          <w:numId w:val="2"/>
        </w:numPr>
        <w:spacing w:line="480" w:lineRule="auto"/>
        <w:ind w:firstLine="0" w:firstLineChars="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铜山区村庄市场化保洁考核评分细则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093"/>
        <w:gridCol w:w="2917"/>
        <w:gridCol w:w="3042"/>
        <w:gridCol w:w="837"/>
      </w:tblGrid>
      <w:tr w14:paraId="3012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169A90B7">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color w:val="auto"/>
                <w:kern w:val="0"/>
                <w:sz w:val="21"/>
                <w:szCs w:val="21"/>
                <w:highlight w:val="none"/>
                <w:lang w:bidi="ar"/>
              </w:rPr>
              <w:t>序号</w:t>
            </w:r>
          </w:p>
        </w:tc>
        <w:tc>
          <w:tcPr>
            <w:tcW w:w="1171" w:type="dxa"/>
            <w:noWrap w:val="0"/>
            <w:vAlign w:val="center"/>
          </w:tcPr>
          <w:p w14:paraId="7DF6B0DB">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color w:val="auto"/>
                <w:kern w:val="0"/>
                <w:sz w:val="21"/>
                <w:szCs w:val="21"/>
                <w:highlight w:val="none"/>
                <w:lang w:bidi="ar"/>
              </w:rPr>
              <w:t>考核项目</w:t>
            </w:r>
          </w:p>
        </w:tc>
        <w:tc>
          <w:tcPr>
            <w:tcW w:w="3272" w:type="dxa"/>
            <w:noWrap w:val="0"/>
            <w:vAlign w:val="center"/>
          </w:tcPr>
          <w:p w14:paraId="3AA3FA48">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color w:val="auto"/>
                <w:kern w:val="0"/>
                <w:sz w:val="21"/>
                <w:szCs w:val="21"/>
                <w:highlight w:val="none"/>
                <w:lang w:bidi="ar"/>
              </w:rPr>
              <w:t>评分标准</w:t>
            </w:r>
          </w:p>
        </w:tc>
        <w:tc>
          <w:tcPr>
            <w:tcW w:w="3418" w:type="dxa"/>
            <w:noWrap w:val="0"/>
            <w:vAlign w:val="center"/>
          </w:tcPr>
          <w:p w14:paraId="1F6A84E6">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color w:val="auto"/>
                <w:kern w:val="0"/>
                <w:sz w:val="21"/>
                <w:szCs w:val="21"/>
                <w:highlight w:val="none"/>
                <w:lang w:bidi="ar"/>
              </w:rPr>
              <w:t>评分办法</w:t>
            </w:r>
          </w:p>
        </w:tc>
        <w:tc>
          <w:tcPr>
            <w:tcW w:w="907" w:type="dxa"/>
            <w:noWrap w:val="0"/>
            <w:vAlign w:val="center"/>
          </w:tcPr>
          <w:p w14:paraId="69975416">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color w:val="auto"/>
                <w:kern w:val="0"/>
                <w:sz w:val="21"/>
                <w:szCs w:val="21"/>
                <w:highlight w:val="none"/>
                <w:lang w:bidi="ar"/>
              </w:rPr>
              <w:t>备注</w:t>
            </w:r>
          </w:p>
        </w:tc>
      </w:tr>
      <w:tr w14:paraId="007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38C15978">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1</w:t>
            </w:r>
          </w:p>
        </w:tc>
        <w:tc>
          <w:tcPr>
            <w:tcW w:w="1171" w:type="dxa"/>
            <w:vMerge w:val="restart"/>
            <w:noWrap w:val="0"/>
            <w:vAlign w:val="center"/>
          </w:tcPr>
          <w:p w14:paraId="4B2E082A">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保洁制度管理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（16分）</w:t>
            </w:r>
          </w:p>
        </w:tc>
        <w:tc>
          <w:tcPr>
            <w:tcW w:w="3272" w:type="dxa"/>
            <w:noWrap w:val="0"/>
            <w:vAlign w:val="center"/>
          </w:tcPr>
          <w:p w14:paraId="21A4F9DD">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镇成立农村保洁管理办公室，有办公地点，有督查车辆；每个行政村至少配备一名环卫主任，负责村内保洁工作的监督、考核。（4分）</w:t>
            </w:r>
          </w:p>
        </w:tc>
        <w:tc>
          <w:tcPr>
            <w:tcW w:w="3418" w:type="dxa"/>
            <w:noWrap w:val="0"/>
            <w:vAlign w:val="center"/>
          </w:tcPr>
          <w:p w14:paraId="3544E6FF">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未成立机构的扣2分，无办公地点、督查车辆的各扣1分；行政村没有环卫主任的扣2分，环卫主任未履职尽责的扣1分。扣完为止。</w:t>
            </w:r>
          </w:p>
        </w:tc>
        <w:tc>
          <w:tcPr>
            <w:tcW w:w="907" w:type="dxa"/>
            <w:noWrap w:val="0"/>
            <w:vAlign w:val="center"/>
          </w:tcPr>
          <w:p w14:paraId="769C4924">
            <w:pPr>
              <w:spacing w:line="240" w:lineRule="auto"/>
              <w:ind w:firstLine="0" w:firstLineChars="0"/>
              <w:rPr>
                <w:rFonts w:hint="eastAsia" w:ascii="宋体" w:hAnsi="宋体" w:eastAsia="宋体" w:cs="宋体"/>
                <w:color w:val="auto"/>
                <w:kern w:val="0"/>
                <w:sz w:val="24"/>
                <w:highlight w:val="none"/>
                <w:lang w:bidi="ar"/>
              </w:rPr>
            </w:pPr>
          </w:p>
        </w:tc>
      </w:tr>
      <w:tr w14:paraId="4F73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63F8BF58">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2</w:t>
            </w:r>
          </w:p>
        </w:tc>
        <w:tc>
          <w:tcPr>
            <w:tcW w:w="1171" w:type="dxa"/>
            <w:vMerge w:val="continue"/>
            <w:noWrap w:val="0"/>
            <w:vAlign w:val="center"/>
          </w:tcPr>
          <w:p w14:paraId="6BC608CB">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79F4CD53">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按月足额拨付保洁公司保洁经费，并监督保洁公司及时发放保洁工资福利待遇等，保障环卫工人合法权益。（6分）</w:t>
            </w:r>
          </w:p>
        </w:tc>
        <w:tc>
          <w:tcPr>
            <w:tcW w:w="3418" w:type="dxa"/>
            <w:noWrap w:val="0"/>
            <w:vAlign w:val="center"/>
          </w:tcPr>
          <w:p w14:paraId="67FF47F3">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未能按月足额拨付保洁经费的每例扣3分；未按时或不足额发放保洁员工资福利待遇的每例扣2分。</w:t>
            </w:r>
          </w:p>
        </w:tc>
        <w:tc>
          <w:tcPr>
            <w:tcW w:w="907" w:type="dxa"/>
            <w:noWrap w:val="0"/>
            <w:vAlign w:val="center"/>
          </w:tcPr>
          <w:p w14:paraId="18D89187">
            <w:pPr>
              <w:spacing w:line="240" w:lineRule="auto"/>
              <w:ind w:firstLine="0" w:firstLineChars="0"/>
              <w:rPr>
                <w:rFonts w:hint="eastAsia" w:ascii="宋体" w:hAnsi="宋体" w:eastAsia="宋体" w:cs="宋体"/>
                <w:color w:val="auto"/>
                <w:kern w:val="0"/>
                <w:sz w:val="24"/>
                <w:highlight w:val="none"/>
                <w:lang w:bidi="ar"/>
              </w:rPr>
            </w:pPr>
          </w:p>
        </w:tc>
      </w:tr>
      <w:tr w14:paraId="108D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1901BA76">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3</w:t>
            </w:r>
          </w:p>
        </w:tc>
        <w:tc>
          <w:tcPr>
            <w:tcW w:w="1171" w:type="dxa"/>
            <w:vMerge w:val="continue"/>
            <w:noWrap w:val="0"/>
            <w:vAlign w:val="center"/>
          </w:tcPr>
          <w:p w14:paraId="1DC27795">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098DA08B">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镇村环境卫生无媒体曝光、群众举报等情况出现。（6分）</w:t>
            </w:r>
          </w:p>
        </w:tc>
        <w:tc>
          <w:tcPr>
            <w:tcW w:w="3418" w:type="dxa"/>
            <w:noWrap w:val="0"/>
            <w:vAlign w:val="center"/>
          </w:tcPr>
          <w:p w14:paraId="4C7AE5F2">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凡被市级（含）以上各项检查、考核通报违规情况的每处扣2分，未及时整改的再扣2分；保洁问题被群众举报的每例扣1分，未办结回复的再扣1分；媒体曝光的视情节扣3分至一票否决。</w:t>
            </w:r>
          </w:p>
        </w:tc>
        <w:tc>
          <w:tcPr>
            <w:tcW w:w="907" w:type="dxa"/>
            <w:noWrap w:val="0"/>
            <w:vAlign w:val="center"/>
          </w:tcPr>
          <w:p w14:paraId="16042323">
            <w:pPr>
              <w:spacing w:line="240" w:lineRule="auto"/>
              <w:ind w:firstLine="0" w:firstLineChars="0"/>
              <w:rPr>
                <w:rFonts w:hint="eastAsia" w:ascii="宋体" w:hAnsi="宋体" w:eastAsia="宋体" w:cs="宋体"/>
                <w:color w:val="auto"/>
                <w:kern w:val="0"/>
                <w:sz w:val="24"/>
                <w:highlight w:val="none"/>
                <w:lang w:bidi="ar"/>
              </w:rPr>
            </w:pPr>
          </w:p>
        </w:tc>
      </w:tr>
      <w:tr w14:paraId="06B7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7BB028B1">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4</w:t>
            </w:r>
          </w:p>
        </w:tc>
        <w:tc>
          <w:tcPr>
            <w:tcW w:w="1171" w:type="dxa"/>
            <w:vMerge w:val="restart"/>
            <w:noWrap w:val="0"/>
            <w:vAlign w:val="center"/>
          </w:tcPr>
          <w:p w14:paraId="3E5976DA">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Cs/>
                <w:color w:val="auto"/>
                <w:sz w:val="21"/>
                <w:szCs w:val="21"/>
                <w:highlight w:val="none"/>
              </w:rPr>
              <w:t>保洁人员及车辆配置（11分）</w:t>
            </w:r>
          </w:p>
        </w:tc>
        <w:tc>
          <w:tcPr>
            <w:tcW w:w="3272" w:type="dxa"/>
            <w:noWrap w:val="0"/>
            <w:vAlign w:val="center"/>
          </w:tcPr>
          <w:p w14:paraId="161E0953">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按人口数不低于3‰的比例配备保洁员，每个自然村不少于1名保洁人员，农村公厕配备专职保洁人员进行管理养护。（5分）</w:t>
            </w:r>
          </w:p>
        </w:tc>
        <w:tc>
          <w:tcPr>
            <w:tcW w:w="3418" w:type="dxa"/>
            <w:noWrap w:val="0"/>
            <w:vAlign w:val="center"/>
          </w:tcPr>
          <w:p w14:paraId="7D10CFE7">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保洁员少于人口千分之三的每少一人扣1分，自然村专职保洁员的每例扣1分，农村公厕无保洁员的每例扣1分。</w:t>
            </w:r>
          </w:p>
        </w:tc>
        <w:tc>
          <w:tcPr>
            <w:tcW w:w="907" w:type="dxa"/>
            <w:noWrap w:val="0"/>
            <w:vAlign w:val="center"/>
          </w:tcPr>
          <w:p w14:paraId="13A0FA5B">
            <w:pPr>
              <w:spacing w:line="240" w:lineRule="auto"/>
              <w:ind w:firstLine="0" w:firstLineChars="0"/>
              <w:rPr>
                <w:rFonts w:hint="eastAsia" w:ascii="宋体" w:hAnsi="宋体" w:eastAsia="宋体" w:cs="宋体"/>
                <w:color w:val="auto"/>
                <w:kern w:val="0"/>
                <w:sz w:val="24"/>
                <w:highlight w:val="none"/>
                <w:lang w:bidi="ar"/>
              </w:rPr>
            </w:pPr>
          </w:p>
        </w:tc>
      </w:tr>
      <w:tr w14:paraId="073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559AF110">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5</w:t>
            </w:r>
          </w:p>
        </w:tc>
        <w:tc>
          <w:tcPr>
            <w:tcW w:w="1171" w:type="dxa"/>
            <w:vMerge w:val="continue"/>
            <w:noWrap w:val="0"/>
            <w:vAlign w:val="center"/>
          </w:tcPr>
          <w:p w14:paraId="1B0178DD">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4EACE32E">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保洁队伍稳定，服装规范统一，配备必要的清扫工具和人力（电动）垃圾收集车辆。（6分）</w:t>
            </w:r>
          </w:p>
        </w:tc>
        <w:tc>
          <w:tcPr>
            <w:tcW w:w="3418" w:type="dxa"/>
            <w:noWrap w:val="0"/>
            <w:vAlign w:val="center"/>
          </w:tcPr>
          <w:p w14:paraId="152BA0CB">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保洁车等保洁工具配备不到位的每例扣1分，服装未规范统一的每例扣1分。</w:t>
            </w:r>
          </w:p>
        </w:tc>
        <w:tc>
          <w:tcPr>
            <w:tcW w:w="907" w:type="dxa"/>
            <w:noWrap w:val="0"/>
            <w:vAlign w:val="center"/>
          </w:tcPr>
          <w:p w14:paraId="58E3F7D1">
            <w:pPr>
              <w:spacing w:line="240" w:lineRule="auto"/>
              <w:ind w:firstLine="0" w:firstLineChars="0"/>
              <w:rPr>
                <w:rFonts w:hint="eastAsia" w:ascii="宋体" w:hAnsi="宋体" w:eastAsia="宋体" w:cs="宋体"/>
                <w:color w:val="auto"/>
                <w:kern w:val="0"/>
                <w:sz w:val="24"/>
                <w:highlight w:val="none"/>
                <w:lang w:bidi="ar"/>
              </w:rPr>
            </w:pPr>
          </w:p>
        </w:tc>
      </w:tr>
      <w:tr w14:paraId="71A4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42921127">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6</w:t>
            </w:r>
          </w:p>
        </w:tc>
        <w:tc>
          <w:tcPr>
            <w:tcW w:w="1171" w:type="dxa"/>
            <w:vMerge w:val="restart"/>
            <w:noWrap w:val="0"/>
            <w:vAlign w:val="center"/>
          </w:tcPr>
          <w:p w14:paraId="037FE886">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垃圾收集转运设施建设（33分）</w:t>
            </w:r>
          </w:p>
        </w:tc>
        <w:tc>
          <w:tcPr>
            <w:tcW w:w="3272" w:type="dxa"/>
            <w:noWrap w:val="0"/>
            <w:vAlign w:val="center"/>
          </w:tcPr>
          <w:p w14:paraId="020E1A77">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采取“桶车对接”方式开展生活垃圾收运，实现“垃圾不落地”。（15分）</w:t>
            </w:r>
          </w:p>
        </w:tc>
        <w:tc>
          <w:tcPr>
            <w:tcW w:w="3418" w:type="dxa"/>
            <w:noWrap w:val="0"/>
            <w:vAlign w:val="center"/>
          </w:tcPr>
          <w:p w14:paraId="315E194C">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未采取“桶车对接”模式的扣15分；存在拉臂箱等手机容器的每例扣2分。</w:t>
            </w:r>
          </w:p>
        </w:tc>
        <w:tc>
          <w:tcPr>
            <w:tcW w:w="907" w:type="dxa"/>
            <w:noWrap w:val="0"/>
            <w:vAlign w:val="center"/>
          </w:tcPr>
          <w:p w14:paraId="2D752FAA">
            <w:pPr>
              <w:spacing w:line="240" w:lineRule="auto"/>
              <w:ind w:firstLine="0" w:firstLineChars="0"/>
              <w:rPr>
                <w:rFonts w:hint="eastAsia" w:ascii="宋体" w:hAnsi="宋体" w:eastAsia="宋体" w:cs="宋体"/>
                <w:color w:val="auto"/>
                <w:kern w:val="0"/>
                <w:sz w:val="24"/>
                <w:highlight w:val="none"/>
                <w:lang w:bidi="ar"/>
              </w:rPr>
            </w:pPr>
          </w:p>
        </w:tc>
      </w:tr>
      <w:tr w14:paraId="1E8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12441E5F">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7</w:t>
            </w:r>
          </w:p>
        </w:tc>
        <w:tc>
          <w:tcPr>
            <w:tcW w:w="1171" w:type="dxa"/>
            <w:vMerge w:val="continue"/>
            <w:noWrap w:val="0"/>
            <w:vAlign w:val="center"/>
          </w:tcPr>
          <w:p w14:paraId="5135E604">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6CE827C1">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自然村按照10-15户标准配备1个240L垃圾桶。（8分）</w:t>
            </w:r>
          </w:p>
        </w:tc>
        <w:tc>
          <w:tcPr>
            <w:tcW w:w="3418" w:type="dxa"/>
            <w:noWrap w:val="0"/>
            <w:vAlign w:val="center"/>
          </w:tcPr>
          <w:p w14:paraId="41F942C9">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垃圾桶数量不足的，每例扣2分</w:t>
            </w:r>
          </w:p>
        </w:tc>
        <w:tc>
          <w:tcPr>
            <w:tcW w:w="907" w:type="dxa"/>
            <w:noWrap w:val="0"/>
            <w:vAlign w:val="center"/>
          </w:tcPr>
          <w:p w14:paraId="7F9962B4">
            <w:pPr>
              <w:spacing w:line="240" w:lineRule="auto"/>
              <w:ind w:firstLine="0" w:firstLineChars="0"/>
              <w:rPr>
                <w:rFonts w:hint="eastAsia" w:ascii="宋体" w:hAnsi="宋体" w:eastAsia="宋体" w:cs="宋体"/>
                <w:color w:val="auto"/>
                <w:kern w:val="0"/>
                <w:sz w:val="24"/>
                <w:highlight w:val="none"/>
                <w:lang w:bidi="ar"/>
              </w:rPr>
            </w:pPr>
          </w:p>
        </w:tc>
      </w:tr>
      <w:tr w14:paraId="702F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155298D3">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8</w:t>
            </w:r>
          </w:p>
        </w:tc>
        <w:tc>
          <w:tcPr>
            <w:tcW w:w="1171" w:type="dxa"/>
            <w:vMerge w:val="continue"/>
            <w:noWrap w:val="0"/>
            <w:vAlign w:val="center"/>
          </w:tcPr>
          <w:p w14:paraId="7AF6DCD6">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46C6DE92">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按照每万人不少于3吨运力配备密闭环保垃圾运输车辆，农村生活垃圾密闭运输率达到100%。（10分）</w:t>
            </w:r>
          </w:p>
        </w:tc>
        <w:tc>
          <w:tcPr>
            <w:tcW w:w="3418" w:type="dxa"/>
            <w:noWrap w:val="0"/>
            <w:vAlign w:val="center"/>
          </w:tcPr>
          <w:p w14:paraId="26FECE83">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运输车辆数量不足的每例扣5分；车体未密闭或车体不洁的每例扣2分，出现一起安全事故扣3分。</w:t>
            </w:r>
          </w:p>
        </w:tc>
        <w:tc>
          <w:tcPr>
            <w:tcW w:w="907" w:type="dxa"/>
            <w:noWrap w:val="0"/>
            <w:vAlign w:val="center"/>
          </w:tcPr>
          <w:p w14:paraId="76353A2D">
            <w:pPr>
              <w:spacing w:line="240" w:lineRule="auto"/>
              <w:ind w:firstLine="0" w:firstLineChars="0"/>
              <w:rPr>
                <w:rFonts w:hint="eastAsia" w:ascii="宋体" w:hAnsi="宋体" w:eastAsia="宋体" w:cs="宋体"/>
                <w:color w:val="auto"/>
                <w:kern w:val="0"/>
                <w:sz w:val="24"/>
                <w:highlight w:val="none"/>
                <w:lang w:bidi="ar"/>
              </w:rPr>
            </w:pPr>
          </w:p>
        </w:tc>
      </w:tr>
      <w:tr w14:paraId="362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5759B595">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9</w:t>
            </w:r>
          </w:p>
        </w:tc>
        <w:tc>
          <w:tcPr>
            <w:tcW w:w="1171" w:type="dxa"/>
            <w:vMerge w:val="restart"/>
            <w:noWrap w:val="0"/>
            <w:vAlign w:val="center"/>
          </w:tcPr>
          <w:p w14:paraId="6A9E5C06">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镇级中转站管理（15分）</w:t>
            </w:r>
          </w:p>
        </w:tc>
        <w:tc>
          <w:tcPr>
            <w:tcW w:w="3272" w:type="dxa"/>
            <w:noWrap w:val="0"/>
            <w:vAlign w:val="center"/>
          </w:tcPr>
          <w:p w14:paraId="65F00839">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镇级生活垃圾中转站压缩设备的配备符合标准、满足压缩转运要求，设备完好，运行正常，制度健全，管理规范；中转站内及周边环境整洁，无积存垃圾、抛洒滴漏，进出站等记录台账资料齐全，垃圾渗滤液按环保要求及时外运、无害化处置并做好记录；（10分）</w:t>
            </w:r>
          </w:p>
        </w:tc>
        <w:tc>
          <w:tcPr>
            <w:tcW w:w="3418" w:type="dxa"/>
            <w:noWrap w:val="0"/>
            <w:vAlign w:val="center"/>
          </w:tcPr>
          <w:p w14:paraId="25BECDD6">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运转不正常的扣5分；缺少标识、制度或不规范的每例扣1分；台账记录不规范的每例扣1分；渗沥液未按环保要求收集处理的，扣2分；垃圾未日产日清、环境不整洁的每例扣2分；</w:t>
            </w:r>
          </w:p>
        </w:tc>
        <w:tc>
          <w:tcPr>
            <w:tcW w:w="907" w:type="dxa"/>
            <w:noWrap w:val="0"/>
            <w:vAlign w:val="center"/>
          </w:tcPr>
          <w:p w14:paraId="577FA881">
            <w:pPr>
              <w:spacing w:line="240" w:lineRule="auto"/>
              <w:ind w:firstLine="0" w:firstLineChars="0"/>
              <w:rPr>
                <w:rFonts w:hint="eastAsia" w:ascii="宋体" w:hAnsi="宋体" w:eastAsia="宋体" w:cs="宋体"/>
                <w:color w:val="auto"/>
                <w:kern w:val="0"/>
                <w:sz w:val="24"/>
                <w:highlight w:val="none"/>
                <w:lang w:bidi="ar"/>
              </w:rPr>
            </w:pPr>
          </w:p>
        </w:tc>
      </w:tr>
      <w:tr w14:paraId="758E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3B56EDDC">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10</w:t>
            </w:r>
          </w:p>
        </w:tc>
        <w:tc>
          <w:tcPr>
            <w:tcW w:w="1171" w:type="dxa"/>
            <w:vMerge w:val="continue"/>
            <w:noWrap w:val="0"/>
            <w:vAlign w:val="center"/>
          </w:tcPr>
          <w:p w14:paraId="6308588B">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32171A18">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镇域垃圾收集转运率达到100%（3分）</w:t>
            </w:r>
          </w:p>
        </w:tc>
        <w:tc>
          <w:tcPr>
            <w:tcW w:w="3418" w:type="dxa"/>
            <w:noWrap w:val="0"/>
            <w:vAlign w:val="center"/>
          </w:tcPr>
          <w:p w14:paraId="2E0047FE">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 xml:space="preserve">垃圾转运率达到或超过100%得3分，低于100%的不得分；垃圾应产量按照每人每天0.5千克计算。                                         </w:t>
            </w:r>
          </w:p>
        </w:tc>
        <w:tc>
          <w:tcPr>
            <w:tcW w:w="907" w:type="dxa"/>
            <w:noWrap w:val="0"/>
            <w:vAlign w:val="center"/>
          </w:tcPr>
          <w:p w14:paraId="031245FD">
            <w:pPr>
              <w:spacing w:line="240" w:lineRule="auto"/>
              <w:ind w:firstLine="0" w:firstLineChars="0"/>
              <w:rPr>
                <w:rFonts w:hint="eastAsia" w:ascii="宋体" w:hAnsi="宋体" w:eastAsia="宋体" w:cs="宋体"/>
                <w:color w:val="auto"/>
                <w:kern w:val="0"/>
                <w:sz w:val="24"/>
                <w:highlight w:val="none"/>
                <w:lang w:bidi="ar"/>
              </w:rPr>
            </w:pPr>
          </w:p>
        </w:tc>
      </w:tr>
      <w:tr w14:paraId="4989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1784537A">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11</w:t>
            </w:r>
          </w:p>
        </w:tc>
        <w:tc>
          <w:tcPr>
            <w:tcW w:w="1171" w:type="dxa"/>
            <w:vMerge w:val="continue"/>
            <w:noWrap w:val="0"/>
            <w:vAlign w:val="center"/>
          </w:tcPr>
          <w:p w14:paraId="15526238">
            <w:pPr>
              <w:spacing w:line="240" w:lineRule="auto"/>
              <w:ind w:firstLine="0" w:firstLineChars="0"/>
              <w:jc w:val="center"/>
              <w:rPr>
                <w:rFonts w:hint="eastAsia" w:ascii="宋体" w:hAnsi="宋体" w:eastAsia="宋体" w:cs="宋体"/>
                <w:color w:val="auto"/>
                <w:kern w:val="0"/>
                <w:sz w:val="24"/>
                <w:highlight w:val="none"/>
                <w:lang w:bidi="ar"/>
              </w:rPr>
            </w:pPr>
          </w:p>
        </w:tc>
        <w:tc>
          <w:tcPr>
            <w:tcW w:w="3272" w:type="dxa"/>
            <w:noWrap w:val="0"/>
            <w:vAlign w:val="center"/>
          </w:tcPr>
          <w:p w14:paraId="3307B2D5">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运送的生活垃圾中无掺杂砖瓦石块、淤泥等非生活垃圾以及故意掺水等违规现象。（2分）</w:t>
            </w:r>
          </w:p>
        </w:tc>
        <w:tc>
          <w:tcPr>
            <w:tcW w:w="3418" w:type="dxa"/>
            <w:noWrap w:val="0"/>
            <w:vAlign w:val="center"/>
          </w:tcPr>
          <w:p w14:paraId="6FCFDE5E">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前述违规现象，每发现一次扣1分。</w:t>
            </w:r>
          </w:p>
        </w:tc>
        <w:tc>
          <w:tcPr>
            <w:tcW w:w="907" w:type="dxa"/>
            <w:noWrap w:val="0"/>
            <w:vAlign w:val="center"/>
          </w:tcPr>
          <w:p w14:paraId="6988BB49">
            <w:pPr>
              <w:spacing w:line="240" w:lineRule="auto"/>
              <w:ind w:firstLine="0" w:firstLineChars="0"/>
              <w:rPr>
                <w:rFonts w:hint="eastAsia" w:ascii="宋体" w:hAnsi="宋体" w:eastAsia="宋体" w:cs="宋体"/>
                <w:color w:val="auto"/>
                <w:kern w:val="0"/>
                <w:sz w:val="24"/>
                <w:highlight w:val="none"/>
                <w:lang w:bidi="ar"/>
              </w:rPr>
            </w:pPr>
          </w:p>
        </w:tc>
      </w:tr>
      <w:tr w14:paraId="0DA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5C1645FF">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12</w:t>
            </w:r>
          </w:p>
        </w:tc>
        <w:tc>
          <w:tcPr>
            <w:tcW w:w="1171" w:type="dxa"/>
            <w:noWrap w:val="0"/>
            <w:vAlign w:val="center"/>
          </w:tcPr>
          <w:p w14:paraId="18898284">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农村公厕管理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（10分）</w:t>
            </w:r>
          </w:p>
        </w:tc>
        <w:tc>
          <w:tcPr>
            <w:tcW w:w="3272" w:type="dxa"/>
            <w:noWrap w:val="0"/>
            <w:vAlign w:val="center"/>
          </w:tcPr>
          <w:p w14:paraId="17D1FE7A">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建立健全日常管护机制，有专人管理，内部设施齐全完好，通水通电，标志规范，内外环境干净整洁，无“野广告”和乱张贴，在明显位置公示管理、服务信息，化粪池及时清运，无外溢，粪污得到有效处理或就地资源化利用。（10分）</w:t>
            </w:r>
          </w:p>
        </w:tc>
        <w:tc>
          <w:tcPr>
            <w:tcW w:w="3418" w:type="dxa"/>
            <w:noWrap w:val="0"/>
            <w:vAlign w:val="center"/>
          </w:tcPr>
          <w:p w14:paraId="554BB16D">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违规现象每例扣2分，扣完为止。</w:t>
            </w:r>
          </w:p>
        </w:tc>
        <w:tc>
          <w:tcPr>
            <w:tcW w:w="907" w:type="dxa"/>
            <w:noWrap w:val="0"/>
            <w:vAlign w:val="center"/>
          </w:tcPr>
          <w:p w14:paraId="77BDB0B4">
            <w:pPr>
              <w:spacing w:line="240" w:lineRule="auto"/>
              <w:ind w:firstLine="0" w:firstLineChars="0"/>
              <w:rPr>
                <w:rFonts w:hint="eastAsia" w:ascii="宋体" w:hAnsi="宋体" w:eastAsia="宋体" w:cs="宋体"/>
                <w:color w:val="auto"/>
                <w:kern w:val="0"/>
                <w:sz w:val="24"/>
                <w:highlight w:val="none"/>
                <w:lang w:bidi="ar"/>
              </w:rPr>
            </w:pPr>
          </w:p>
        </w:tc>
      </w:tr>
      <w:tr w14:paraId="65FD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14:paraId="22E36784">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13</w:t>
            </w:r>
          </w:p>
        </w:tc>
        <w:tc>
          <w:tcPr>
            <w:tcW w:w="1171" w:type="dxa"/>
            <w:noWrap w:val="0"/>
            <w:vAlign w:val="center"/>
          </w:tcPr>
          <w:p w14:paraId="35DE6385">
            <w:pPr>
              <w:widowControl/>
              <w:spacing w:line="240" w:lineRule="auto"/>
              <w:ind w:firstLine="0" w:firstLineChars="0"/>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环境卫生质量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（15分）</w:t>
            </w:r>
          </w:p>
        </w:tc>
        <w:tc>
          <w:tcPr>
            <w:tcW w:w="3272" w:type="dxa"/>
            <w:noWrap w:val="0"/>
            <w:vAlign w:val="center"/>
          </w:tcPr>
          <w:p w14:paraId="6289C57C">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村庄道路、房前屋后、田边地头、沟塘河渠等无积存、倾倒垃圾和漂浮物，无焚烧垃圾现象；镇、村建筑物外立面无墙体野广告；集中规整柴草、建筑物料等杂物，不见乱堆乱放；垃圾收集容器整洁，不见垃圾外溢现象。（15分）</w:t>
            </w:r>
          </w:p>
        </w:tc>
        <w:tc>
          <w:tcPr>
            <w:tcW w:w="3418" w:type="dxa"/>
            <w:noWrap w:val="0"/>
            <w:vAlign w:val="center"/>
          </w:tcPr>
          <w:p w14:paraId="1874DD9B">
            <w:pPr>
              <w:widowControl/>
              <w:spacing w:line="240" w:lineRule="auto"/>
              <w:ind w:firstLine="0" w:firstLineChars="0"/>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1"/>
                <w:szCs w:val="21"/>
                <w:highlight w:val="none"/>
                <w:lang w:bidi="ar"/>
              </w:rPr>
              <w:t>前述违规现象，每发现一例扣1分，扣完为止。</w:t>
            </w:r>
          </w:p>
        </w:tc>
        <w:tc>
          <w:tcPr>
            <w:tcW w:w="907" w:type="dxa"/>
            <w:noWrap w:val="0"/>
            <w:vAlign w:val="center"/>
          </w:tcPr>
          <w:p w14:paraId="1D42EDD3">
            <w:pPr>
              <w:spacing w:line="240" w:lineRule="auto"/>
              <w:ind w:firstLine="0" w:firstLineChars="0"/>
              <w:rPr>
                <w:rFonts w:hint="eastAsia" w:ascii="宋体" w:hAnsi="宋体" w:eastAsia="宋体" w:cs="宋体"/>
                <w:color w:val="auto"/>
                <w:kern w:val="0"/>
                <w:sz w:val="24"/>
                <w:highlight w:val="none"/>
                <w:lang w:bidi="ar"/>
              </w:rPr>
            </w:pPr>
          </w:p>
        </w:tc>
      </w:tr>
    </w:tbl>
    <w:p w14:paraId="4E65CA95">
      <w:pPr>
        <w:widowControl w:val="0"/>
        <w:spacing w:after="120"/>
        <w:ind w:left="420" w:leftChars="20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p>
    <w:p w14:paraId="671CA073">
      <w:pPr>
        <w:bidi w:val="0"/>
        <w:rPr>
          <w:highlight w:val="none"/>
        </w:rPr>
      </w:pPr>
    </w:p>
    <w:p w14:paraId="308E58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HarmonyOS Sans SC">
    <w:altName w:val="宋体"/>
    <w:panose1 w:val="000005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4ADEC"/>
    <w:multiLevelType w:val="singleLevel"/>
    <w:tmpl w:val="9D54ADEC"/>
    <w:lvl w:ilvl="0" w:tentative="0">
      <w:start w:val="1"/>
      <w:numFmt w:val="decimal"/>
      <w:lvlText w:val="%1."/>
      <w:lvlJc w:val="left"/>
      <w:pPr>
        <w:tabs>
          <w:tab w:val="left" w:pos="312"/>
        </w:tabs>
      </w:pPr>
    </w:lvl>
  </w:abstractNum>
  <w:abstractNum w:abstractNumId="1">
    <w:nsid w:val="ABB171A2"/>
    <w:multiLevelType w:val="singleLevel"/>
    <w:tmpl w:val="ABB171A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YTk4YTI2MGZlYzYxNDY1YWU0ZDljYTk5MmRkNDkifQ=="/>
  </w:docVars>
  <w:rsids>
    <w:rsidRoot w:val="00000000"/>
    <w:rsid w:val="09F35709"/>
    <w:rsid w:val="149D174A"/>
    <w:rsid w:val="1A77117A"/>
    <w:rsid w:val="29E5161A"/>
    <w:rsid w:val="30E73E3F"/>
    <w:rsid w:val="418E7694"/>
    <w:rsid w:val="4F31662D"/>
    <w:rsid w:val="7FD3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ascii="Times New Roman" w:hAnsi="Times New Roman" w:eastAsia="仿宋_GB2312" w:cs="Times New Roman"/>
      <w:kern w:val="0"/>
      <w:sz w:val="28"/>
      <w:szCs w:val="20"/>
    </w:rPr>
  </w:style>
  <w:style w:type="paragraph" w:styleId="3">
    <w:name w:val="index heading"/>
    <w:basedOn w:val="1"/>
    <w:next w:val="4"/>
    <w:unhideWhenUsed/>
    <w:qFormat/>
    <w:uiPriority w:val="99"/>
    <w:pPr>
      <w:spacing w:line="500" w:lineRule="exact"/>
    </w:pPr>
    <w:rPr>
      <w:rFonts w:ascii="仿宋_GB2312" w:eastAsia="仿宋_GB2312"/>
      <w:sz w:val="28"/>
      <w:szCs w:val="20"/>
    </w:rPr>
  </w:style>
  <w:style w:type="paragraph" w:styleId="4">
    <w:name w:val="index 1"/>
    <w:basedOn w:val="1"/>
    <w:next w:val="1"/>
    <w:unhideWhenUsed/>
    <w:qFormat/>
    <w:uiPriority w:val="99"/>
    <w:pPr>
      <w:suppressLineNumbers/>
      <w:suppressAutoHyphens/>
      <w:adjustRightInd w:val="0"/>
      <w:spacing w:line="288" w:lineRule="auto"/>
      <w:jc w:val="left"/>
    </w:pPr>
    <w:rPr>
      <w:kern w:val="0"/>
      <w:sz w:val="24"/>
      <w:szCs w:val="20"/>
    </w:rPr>
  </w:style>
  <w:style w:type="paragraph" w:styleId="5">
    <w:name w:val="Title"/>
    <w:basedOn w:val="1"/>
    <w:next w:val="1"/>
    <w:qFormat/>
    <w:uiPriority w:val="0"/>
    <w:pPr>
      <w:spacing w:before="300" w:after="300"/>
      <w:jc w:val="center"/>
      <w:outlineLvl w:val="0"/>
    </w:pPr>
    <w:rPr>
      <w:rFonts w:ascii="Cambria" w:hAnsi="Cambria"/>
      <w:b/>
      <w:bCs/>
      <w:sz w:val="36"/>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13"/>
    <w:next w:val="1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
    <w:name w:val="BodyText1I2"/>
    <w:basedOn w:val="11"/>
    <w:qFormat/>
    <w:uiPriority w:val="0"/>
    <w:pPr>
      <w:widowControl/>
      <w:spacing w:line="360" w:lineRule="auto"/>
      <w:ind w:firstLine="420"/>
    </w:pPr>
    <w:rPr>
      <w:rFonts w:ascii="宋体" w:hAnsi="宋体" w:cs="Times New Roman"/>
      <w:sz w:val="20"/>
      <w:szCs w:val="20"/>
    </w:rPr>
  </w:style>
  <w:style w:type="paragraph" w:customStyle="1" w:styleId="11">
    <w:name w:val="BodyTextIndent"/>
    <w:basedOn w:val="1"/>
    <w:next w:val="12"/>
    <w:qFormat/>
    <w:uiPriority w:val="0"/>
    <w:pPr>
      <w:spacing w:after="120"/>
      <w:ind w:left="420"/>
    </w:pPr>
  </w:style>
  <w:style w:type="paragraph" w:customStyle="1" w:styleId="12">
    <w:name w:val="EnvelopeReturn"/>
    <w:basedOn w:val="1"/>
    <w:qFormat/>
    <w:uiPriority w:val="0"/>
    <w:rPr>
      <w:rFonts w:ascii="Arial" w:hAnsi="Arial"/>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4122</Words>
  <Characters>4275</Characters>
  <Lines>0</Lines>
  <Paragraphs>0</Paragraphs>
  <TotalTime>1</TotalTime>
  <ScaleCrop>false</ScaleCrop>
  <LinksUpToDate>false</LinksUpToDate>
  <CharactersWithSpaces>4290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2024-09-08T15:04:00Z</dcterms:created>
  <dc:creator>96981</dc:creator>
  <cp:lastModifiedBy>Administrator</cp:lastModifiedBy>
  <dcterms:modified xsi:type="dcterms:W3CDTF">2025-12-03T03:15:38Z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6FFA78F8B45A4728AF4292B26061927F_13</vt:lpwstr>
  </property>
  <property fmtid="{D5CDD505-2E9C-101B-9397-08002B2CF9AE}" pid="4" name="KSOTemplateDocerSaveRecord">
    <vt:lpwstr>eyJoZGlkIjoiYjYxMTg3N2VkMDA5ZjM4ODMwMDFlNDU0NWY1Mzk5YmQiLCJ1c2VySWQiOiIyMzM1MTA4NjIifQ==</vt:lpwstr>
  </property>
</Properties>
</file>