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新沂市城市“绿岛”项目环卫特种作业车辆采购项目更正文件</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b/>
          <w:bCs/>
          <w:kern w:val="0"/>
          <w:sz w:val="30"/>
          <w:szCs w:val="44"/>
          <w:lang w:val="en-US" w:eastAsia="zh-CN" w:bidi="ar-SA"/>
        </w:rPr>
        <w:t>1、第六章 采购需求：</w:t>
      </w:r>
      <w:r>
        <w:rPr>
          <w:rFonts w:hint="eastAsia" w:ascii="仿宋" w:hAnsi="仿宋" w:eastAsia="仿宋" w:cs="仿宋"/>
          <w:b/>
          <w:color w:val="000000"/>
          <w:sz w:val="24"/>
        </w:rPr>
        <w:t>（一）18吨燃油洗扫车技术参数技术参数</w:t>
      </w:r>
      <w:r>
        <w:rPr>
          <w:rFonts w:hint="eastAsia" w:ascii="仿宋" w:hAnsi="仿宋" w:eastAsia="仿宋" w:cs="仿宋"/>
          <w:b/>
          <w:color w:val="000000"/>
          <w:sz w:val="24"/>
          <w:lang w:val="en-US" w:eastAsia="zh-CN"/>
        </w:rPr>
        <w:t xml:space="preserve"> </w:t>
      </w:r>
      <w:r>
        <w:rPr>
          <w:rFonts w:hint="eastAsia" w:ascii="仿宋" w:hAnsi="仿宋" w:eastAsia="仿宋" w:cs="仿宋"/>
          <w:b/>
          <w:bCs/>
          <w:szCs w:val="21"/>
        </w:rPr>
        <w:t>（2）</w:t>
      </w:r>
      <w:r>
        <w:rPr>
          <w:rFonts w:hint="eastAsia" w:ascii="仿宋" w:hAnsi="仿宋" w:eastAsia="仿宋" w:cs="仿宋"/>
          <w:b/>
          <w:bCs/>
          <w:color w:val="000000"/>
          <w:sz w:val="24"/>
        </w:rPr>
        <w:t>产品主要性能要求</w:t>
      </w:r>
      <w:r>
        <w:rPr>
          <w:rFonts w:hint="eastAsia" w:ascii="仿宋" w:hAnsi="仿宋" w:eastAsia="仿宋" w:cs="仿宋"/>
          <w:b/>
          <w:bCs/>
          <w:color w:val="000000"/>
          <w:sz w:val="24"/>
          <w:lang w:eastAsia="zh-CN"/>
        </w:rPr>
        <w:t>：</w:t>
      </w:r>
      <w:r>
        <w:rPr>
          <w:rFonts w:hint="eastAsia" w:ascii="仿宋" w:hAnsi="仿宋" w:eastAsia="仿宋" w:cs="仿宋"/>
          <w:sz w:val="24"/>
        </w:rPr>
        <w:t>（11）</w:t>
      </w:r>
      <w:r>
        <w:rPr>
          <w:rFonts w:hint="eastAsia" w:ascii="仿宋" w:hAnsi="仿宋" w:eastAsia="仿宋" w:cs="仿宋"/>
          <w:sz w:val="24"/>
          <w:lang w:bidi="ar"/>
        </w:rPr>
        <w:t>▲</w:t>
      </w:r>
      <w:r>
        <w:rPr>
          <w:rFonts w:hint="eastAsia" w:ascii="仿宋" w:hAnsi="仿宋" w:eastAsia="仿宋" w:cs="仿宋"/>
          <w:sz w:val="24"/>
        </w:rPr>
        <w:t>车辆配备智能监控系统，利用车载监控终端采集整车运行数据并上传到监控平台，实现对车辆信息的监控、显示和数据存储，可通过微信小程序端、PC端、大屏三种版本实时查看车辆位置、司机驾驶评分、考勤打卡，还具备能耗管理（识别和纠正高耗车避免成本浪费）、配件管理（方便查询配件规格和数量、便捷维修更换）、车辆故障处理、一键上报、费用台账自动汇算（支持年审、维修、事故等各类费用）、车辆自检及外观巡检，查看驾驶教程、车辆操作和维护方法等功能；还能实现重要故障、低温结冰预警、维修保养完成等各类消息推送。（需提供承诺函并与实际交付车辆保持一致）。</w:t>
      </w:r>
    </w:p>
    <w:p>
      <w:pPr>
        <w:pStyle w:val="8"/>
        <w:pageBreakBefore w:val="0"/>
        <w:wordWrap/>
        <w:topLinePunct w:val="0"/>
        <w:autoSpaceDE/>
        <w:autoSpaceDN/>
        <w:bidi w:val="0"/>
        <w:adjustRightInd/>
        <w:snapToGrid/>
        <w:spacing w:line="440" w:lineRule="exact"/>
        <w:jc w:val="left"/>
        <w:textAlignment w:val="auto"/>
        <w:rPr>
          <w:rFonts w:hint="eastAsia" w:ascii="仿宋" w:hAnsi="仿宋" w:eastAsia="仿宋" w:cs="仿宋"/>
          <w:color w:val="FF0000"/>
          <w:sz w:val="24"/>
        </w:rPr>
      </w:pPr>
      <w:r>
        <w:rPr>
          <w:rFonts w:hint="eastAsia" w:ascii="仿宋" w:hAnsi="仿宋" w:eastAsia="仿宋" w:cs="仿宋"/>
          <w:lang w:val="en-US" w:eastAsia="zh-CN"/>
        </w:rPr>
        <w:t>更正为：</w:t>
      </w:r>
      <w:r>
        <w:rPr>
          <w:rFonts w:hint="eastAsia" w:ascii="仿宋" w:hAnsi="仿宋" w:eastAsia="仿宋" w:cs="仿宋"/>
          <w:sz w:val="24"/>
        </w:rPr>
        <w:t>（11）</w:t>
      </w:r>
      <w:r>
        <w:rPr>
          <w:rFonts w:hint="eastAsia" w:ascii="仿宋" w:hAnsi="仿宋" w:eastAsia="仿宋" w:cs="仿宋"/>
          <w:color w:val="FF0000"/>
          <w:sz w:val="24"/>
          <w:lang w:bidi="ar"/>
        </w:rPr>
        <w:t>▲</w:t>
      </w:r>
      <w:r>
        <w:rPr>
          <w:rFonts w:hint="eastAsia" w:ascii="仿宋" w:hAnsi="仿宋" w:eastAsia="仿宋" w:cs="仿宋"/>
          <w:color w:val="FF0000"/>
          <w:sz w:val="24"/>
        </w:rPr>
        <w:t>车辆配备智能监控系统，利用车载监控终端采集整车运行数据并上传到监控平台，实现对车辆信息的监控、显示和数据存储，可通过微信小程序端、PC端</w:t>
      </w:r>
      <w:r>
        <w:rPr>
          <w:rFonts w:hint="eastAsia" w:ascii="仿宋" w:hAnsi="仿宋" w:eastAsia="仿宋" w:cs="仿宋"/>
          <w:color w:val="FF0000"/>
          <w:sz w:val="24"/>
          <w:lang w:eastAsia="zh-CN"/>
        </w:rPr>
        <w:t>等</w:t>
      </w:r>
      <w:r>
        <w:rPr>
          <w:rFonts w:hint="eastAsia" w:ascii="仿宋" w:hAnsi="仿宋" w:eastAsia="仿宋" w:cs="仿宋"/>
          <w:color w:val="FF0000"/>
          <w:sz w:val="24"/>
        </w:rPr>
        <w:t>版本实时查看车辆位置、配件管理（方便查询配件规格和数量、便捷维修更换）、还能实现重要故障、低温结冰预警、维修保养</w:t>
      </w:r>
      <w:r>
        <w:rPr>
          <w:rFonts w:hint="eastAsia" w:ascii="仿宋" w:hAnsi="仿宋" w:eastAsia="仿宋" w:cs="仿宋"/>
          <w:color w:val="FF0000"/>
          <w:sz w:val="24"/>
          <w:lang w:val="en-US" w:eastAsia="zh-CN"/>
        </w:rPr>
        <w:t>等消息一键上报。</w:t>
      </w:r>
      <w:r>
        <w:rPr>
          <w:rFonts w:hint="eastAsia" w:ascii="仿宋" w:hAnsi="仿宋" w:eastAsia="仿宋" w:cs="仿宋"/>
          <w:color w:val="FF0000"/>
          <w:sz w:val="24"/>
        </w:rPr>
        <w:t>（需提供承诺函并与实际交付车辆保持一致）。</w:t>
      </w:r>
    </w:p>
    <w:p>
      <w:pPr>
        <w:pageBreakBefore w:val="0"/>
        <w:wordWrap/>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b/>
          <w:bCs/>
          <w:kern w:val="0"/>
          <w:sz w:val="30"/>
          <w:szCs w:val="44"/>
          <w:lang w:val="en-US" w:eastAsia="zh-CN" w:bidi="ar-SA"/>
        </w:rPr>
        <w:t>2、第六章 采购需求：</w:t>
      </w:r>
      <w:r>
        <w:rPr>
          <w:rFonts w:hint="eastAsia" w:ascii="仿宋" w:hAnsi="仿宋" w:eastAsia="仿宋" w:cs="仿宋"/>
          <w:b/>
          <w:color w:val="000000"/>
          <w:sz w:val="24"/>
        </w:rPr>
        <w:t>18吨燃油洒水车技术参数技术参数</w:t>
      </w:r>
      <w:r>
        <w:rPr>
          <w:rFonts w:hint="eastAsia" w:ascii="仿宋" w:hAnsi="仿宋" w:eastAsia="仿宋" w:cs="仿宋"/>
          <w:b/>
          <w:color w:val="000000"/>
          <w:sz w:val="24"/>
          <w:lang w:val="en-US" w:eastAsia="zh-CN"/>
        </w:rPr>
        <w:t xml:space="preserve"> </w:t>
      </w:r>
      <w:r>
        <w:rPr>
          <w:rFonts w:hint="eastAsia" w:ascii="仿宋" w:hAnsi="仿宋" w:eastAsia="仿宋" w:cs="仿宋"/>
          <w:b/>
          <w:bCs/>
          <w:szCs w:val="21"/>
        </w:rPr>
        <w:t>（2）</w:t>
      </w:r>
      <w:r>
        <w:rPr>
          <w:rFonts w:hint="eastAsia" w:ascii="仿宋" w:hAnsi="仿宋" w:eastAsia="仿宋" w:cs="仿宋"/>
          <w:b/>
          <w:bCs/>
          <w:color w:val="000000"/>
          <w:sz w:val="24"/>
        </w:rPr>
        <w:t>产品主要性能要求:</w:t>
      </w:r>
      <w:r>
        <w:rPr>
          <w:rFonts w:hint="eastAsia" w:ascii="仿宋" w:hAnsi="仿宋" w:eastAsia="仿宋" w:cs="仿宋"/>
          <w:sz w:val="24"/>
          <w:lang w:bidi="ar"/>
        </w:rPr>
        <w:t>▲</w:t>
      </w:r>
      <w:r>
        <w:rPr>
          <w:rFonts w:hint="eastAsia" w:ascii="仿宋" w:hAnsi="仿宋" w:eastAsia="仿宋" w:cs="仿宋"/>
          <w:sz w:val="24"/>
        </w:rPr>
        <w:t>车辆配备智能监控系统，利用车载监控终端采集整车运行数据并上传到监控平台，实现对车辆信息的监控、显示和数据存储，可通过微信小程序端、PC端、大屏三种版本实时查看车辆位置、司机驾驶评分、考勤打卡，还具备能耗管理（识别和纠正高耗车避免成本浪费）、配件管理（方便查询配件规格和数量、便捷维修更换）、车辆故障处理、一键上报、费用台账自动汇算（支持年审、维修、事故等各类费用）、车辆自检及外观巡检，查看驾驶教程、车辆操作和维护方法等功能；还能实现重要故障、低温结冰预警、维修保养完成等各类消息推送。（需提供承诺函并与实际交付车辆保持一致）。</w:t>
      </w:r>
    </w:p>
    <w:p>
      <w:pPr>
        <w:pStyle w:val="18"/>
        <w:numPr>
          <w:ilvl w:val="0"/>
          <w:numId w:val="0"/>
        </w:numPr>
        <w:ind w:right="33" w:rightChars="0"/>
        <w:rPr>
          <w:rFonts w:hint="eastAsia" w:ascii="仿宋" w:hAnsi="仿宋" w:eastAsia="仿宋" w:cs="仿宋"/>
          <w:color w:val="FF0000"/>
          <w:sz w:val="24"/>
        </w:rPr>
      </w:pPr>
      <w:r>
        <w:rPr>
          <w:rFonts w:hint="eastAsia" w:ascii="仿宋" w:hAnsi="仿宋" w:eastAsia="仿宋" w:cs="仿宋"/>
          <w:b/>
          <w:bCs/>
          <w:sz w:val="30"/>
          <w:szCs w:val="44"/>
          <w:lang w:val="en-US" w:eastAsia="zh-CN" w:bidi="ar-SA"/>
        </w:rPr>
        <w:t>更正为：</w:t>
      </w:r>
      <w:r>
        <w:rPr>
          <w:rFonts w:hint="eastAsia" w:ascii="仿宋" w:hAnsi="仿宋" w:eastAsia="仿宋" w:cs="仿宋"/>
          <w:sz w:val="24"/>
        </w:rPr>
        <w:t>（8）</w:t>
      </w:r>
      <w:r>
        <w:rPr>
          <w:rFonts w:hint="eastAsia" w:ascii="仿宋" w:hAnsi="仿宋" w:eastAsia="仿宋" w:cs="仿宋"/>
          <w:color w:val="FF0000"/>
          <w:sz w:val="24"/>
          <w:lang w:bidi="ar"/>
        </w:rPr>
        <w:t>▲</w:t>
      </w:r>
      <w:r>
        <w:rPr>
          <w:rFonts w:hint="eastAsia" w:ascii="仿宋" w:hAnsi="仿宋" w:eastAsia="仿宋" w:cs="仿宋"/>
          <w:color w:val="FF0000"/>
          <w:sz w:val="24"/>
        </w:rPr>
        <w:t>车辆配备智能监控系统，利用车载监控终端采集整车运行数据并上传到监控平台，实现对车辆信息的监控、显示和数据存储，可通过微信小程序端、PC端</w:t>
      </w:r>
      <w:r>
        <w:rPr>
          <w:rFonts w:hint="eastAsia" w:ascii="仿宋" w:hAnsi="仿宋" w:eastAsia="仿宋" w:cs="仿宋"/>
          <w:color w:val="FF0000"/>
          <w:sz w:val="24"/>
          <w:lang w:eastAsia="zh-CN"/>
        </w:rPr>
        <w:t>等</w:t>
      </w:r>
      <w:r>
        <w:rPr>
          <w:rFonts w:hint="eastAsia" w:ascii="仿宋" w:hAnsi="仿宋" w:eastAsia="仿宋" w:cs="仿宋"/>
          <w:color w:val="FF0000"/>
          <w:sz w:val="24"/>
        </w:rPr>
        <w:t>版本实时查看车辆位置、配件管理（方便查询配件规格和数量、便捷维修更换）、还能实现重要故障、低温结冰预警、维修保养</w:t>
      </w:r>
      <w:r>
        <w:rPr>
          <w:rFonts w:hint="eastAsia" w:ascii="仿宋" w:hAnsi="仿宋" w:eastAsia="仿宋" w:cs="仿宋"/>
          <w:color w:val="FF0000"/>
          <w:sz w:val="24"/>
          <w:lang w:val="en-US" w:eastAsia="zh-CN"/>
        </w:rPr>
        <w:t>等消息一键上报。</w:t>
      </w:r>
      <w:r>
        <w:rPr>
          <w:rFonts w:hint="eastAsia" w:ascii="仿宋" w:hAnsi="仿宋" w:eastAsia="仿宋" w:cs="仿宋"/>
          <w:color w:val="FF0000"/>
          <w:sz w:val="24"/>
        </w:rPr>
        <w:t>（需提供承诺函并与实际交付车辆保持一致）。</w:t>
      </w:r>
    </w:p>
    <w:p>
      <w:pPr>
        <w:pageBreakBefore w:val="0"/>
        <w:wordWrap/>
        <w:topLinePunct w:val="0"/>
        <w:autoSpaceDE/>
        <w:autoSpaceDN/>
        <w:bidi w:val="0"/>
        <w:adjustRightInd/>
        <w:snapToGrid/>
        <w:spacing w:line="440" w:lineRule="exact"/>
        <w:textAlignment w:val="auto"/>
        <w:rPr>
          <w:rFonts w:hint="eastAsia" w:ascii="仿宋" w:hAnsi="仿宋" w:eastAsia="仿宋" w:cs="仿宋"/>
          <w:b/>
          <w:bCs/>
          <w:szCs w:val="21"/>
        </w:rPr>
      </w:pPr>
      <w:r>
        <w:rPr>
          <w:rFonts w:hint="eastAsia" w:ascii="仿宋" w:hAnsi="仿宋" w:eastAsia="仿宋" w:cs="仿宋"/>
          <w:b/>
          <w:bCs/>
          <w:kern w:val="0"/>
          <w:sz w:val="30"/>
          <w:szCs w:val="44"/>
          <w:lang w:val="en-US" w:eastAsia="zh-CN" w:bidi="ar-SA"/>
        </w:rPr>
        <w:t>3、第六章 采购需求</w:t>
      </w:r>
      <w:r>
        <w:rPr>
          <w:rFonts w:hint="eastAsia" w:ascii="仿宋" w:hAnsi="仿宋" w:eastAsia="仿宋" w:cs="仿宋"/>
          <w:b/>
          <w:color w:val="000000"/>
          <w:sz w:val="24"/>
          <w:highlight w:val="none"/>
        </w:rPr>
        <w:t>（三）</w:t>
      </w:r>
      <w:r>
        <w:rPr>
          <w:rFonts w:hint="eastAsia" w:ascii="仿宋" w:hAnsi="仿宋" w:eastAsia="仿宋" w:cs="仿宋"/>
          <w:b/>
          <w:color w:val="000000"/>
          <w:sz w:val="24"/>
        </w:rPr>
        <w:t>18吨燃油多功能抑尘车技术参数技术参数</w:t>
      </w:r>
      <w:r>
        <w:rPr>
          <w:rFonts w:hint="eastAsia" w:ascii="仿宋" w:hAnsi="仿宋" w:eastAsia="仿宋" w:cs="仿宋"/>
          <w:b/>
          <w:bCs/>
          <w:iCs/>
          <w:sz w:val="24"/>
        </w:rPr>
        <w:t>（1）主要技术参数</w:t>
      </w:r>
    </w:p>
    <w:tbl>
      <w:tblPr>
        <w:tblStyle w:val="7"/>
        <w:tblW w:w="7813" w:type="dxa"/>
        <w:tblInd w:w="118" w:type="dxa"/>
        <w:shd w:val="clear" w:color="auto" w:fill="FFFFFF"/>
        <w:tblLayout w:type="fixed"/>
        <w:tblCellMar>
          <w:top w:w="0" w:type="dxa"/>
          <w:left w:w="0" w:type="dxa"/>
          <w:bottom w:w="0" w:type="dxa"/>
          <w:right w:w="0" w:type="dxa"/>
        </w:tblCellMar>
      </w:tblPr>
      <w:tblGrid>
        <w:gridCol w:w="4084"/>
        <w:gridCol w:w="3729"/>
      </w:tblGrid>
      <w:tr>
        <w:tblPrEx>
          <w:shd w:val="clear" w:color="auto" w:fill="FFFFFF"/>
          <w:tblLayout w:type="fixed"/>
          <w:tblCellMar>
            <w:top w:w="0" w:type="dxa"/>
            <w:left w:w="0" w:type="dxa"/>
            <w:bottom w:w="0" w:type="dxa"/>
            <w:right w:w="0" w:type="dxa"/>
          </w:tblCellMar>
        </w:tblPrEx>
        <w:trPr>
          <w:trHeight w:val="454" w:hRule="atLeast"/>
        </w:trPr>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整车外形尺寸（长×宽×高 ，mm）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≥9500×2500×3650</w:t>
            </w:r>
          </w:p>
        </w:tc>
      </w:tr>
      <w:tr>
        <w:tblPrEx>
          <w:shd w:val="clear" w:color="auto" w:fill="FFFFFF"/>
          <w:tblLayout w:type="fixed"/>
          <w:tblCellMar>
            <w:top w:w="0" w:type="dxa"/>
            <w:left w:w="0" w:type="dxa"/>
            <w:bottom w:w="0" w:type="dxa"/>
            <w:right w:w="0" w:type="dxa"/>
          </w:tblCellMar>
        </w:tblPrEx>
        <w:trPr>
          <w:trHeight w:val="454" w:hRule="atLeast"/>
        </w:trPr>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lang w:bidi="ar"/>
              </w:rPr>
              <w:t>▲</w:t>
            </w:r>
            <w:r>
              <w:rPr>
                <w:rFonts w:hint="eastAsia" w:ascii="仿宋" w:hAnsi="仿宋" w:eastAsia="仿宋" w:cs="仿宋"/>
                <w:sz w:val="24"/>
              </w:rPr>
              <w:t>公告罐体总容积（m³）</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≥9</w:t>
            </w:r>
          </w:p>
        </w:tc>
      </w:tr>
    </w:tbl>
    <w:p>
      <w:pPr>
        <w:pageBreakBefore w:val="0"/>
        <w:wordWrap/>
        <w:topLinePunct w:val="0"/>
        <w:autoSpaceDE/>
        <w:autoSpaceDN/>
        <w:bidi w:val="0"/>
        <w:adjustRightInd/>
        <w:snapToGrid/>
        <w:spacing w:line="440" w:lineRule="exact"/>
        <w:textAlignment w:val="auto"/>
        <w:rPr>
          <w:rFonts w:ascii="仿宋" w:hAnsi="仿宋" w:eastAsia="仿宋" w:cs="仿宋"/>
        </w:rPr>
      </w:pPr>
      <w:r>
        <w:rPr>
          <w:rFonts w:hint="eastAsia" w:ascii="仿宋" w:hAnsi="仿宋" w:eastAsia="仿宋" w:cs="仿宋"/>
          <w:b/>
          <w:bCs/>
          <w:szCs w:val="21"/>
        </w:rPr>
        <w:t>（2）</w:t>
      </w:r>
      <w:r>
        <w:rPr>
          <w:rFonts w:hint="eastAsia" w:ascii="仿宋" w:hAnsi="仿宋" w:eastAsia="仿宋" w:cs="仿宋"/>
          <w:b/>
          <w:bCs/>
          <w:color w:val="000000"/>
          <w:sz w:val="24"/>
        </w:rPr>
        <w:t>产品主要性能要求:</w:t>
      </w:r>
      <w:r>
        <w:rPr>
          <w:rFonts w:hint="eastAsia" w:ascii="仿宋" w:hAnsi="仿宋" w:eastAsia="仿宋" w:cs="仿宋"/>
          <w:sz w:val="24"/>
        </w:rPr>
        <w:t>（9）</w:t>
      </w:r>
      <w:r>
        <w:rPr>
          <w:rFonts w:hint="eastAsia" w:ascii="仿宋" w:hAnsi="仿宋" w:eastAsia="仿宋" w:cs="仿宋"/>
          <w:sz w:val="24"/>
          <w:lang w:bidi="ar"/>
        </w:rPr>
        <w:t>▲</w:t>
      </w:r>
      <w:r>
        <w:rPr>
          <w:rFonts w:hint="eastAsia" w:ascii="仿宋" w:hAnsi="仿宋" w:eastAsia="仿宋" w:cs="仿宋"/>
          <w:sz w:val="24"/>
        </w:rPr>
        <w:t>车辆配备智能监控系统，利用车载监控终端采集整车运行数据并上传到监控平台，实现对车辆信息的监控、显示和数据存储，可通过微信小程序端、PC端、大屏三种版本实时查看车辆位置、司机驾驶评分、考勤打卡，还具备能耗管理（识别和纠正高耗车避免成本浪费）、配件管理（方便查询配件规格和数量、便捷维修更换）、车辆故障处理、一键上报、费用台账自动汇算（支持年审、维修、事故等各类费用）、车辆自检及外观巡检，查看驾驶教程、车辆操作和维护方法等功能；还能实现重要故障、低温结冰预警、维修保养完成等各类消息推送。（需提供承诺函并与实际交付车辆保持一致）。</w:t>
      </w:r>
    </w:p>
    <w:p>
      <w:pPr>
        <w:pageBreakBefore w:val="0"/>
        <w:wordWrap/>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b/>
          <w:bCs/>
          <w:kern w:val="0"/>
          <w:sz w:val="30"/>
          <w:szCs w:val="44"/>
          <w:lang w:val="en-US" w:eastAsia="zh-CN" w:bidi="ar-SA"/>
        </w:rPr>
        <w:t>更正为：</w:t>
      </w:r>
    </w:p>
    <w:tbl>
      <w:tblPr>
        <w:tblStyle w:val="7"/>
        <w:tblW w:w="7813" w:type="dxa"/>
        <w:tblInd w:w="118" w:type="dxa"/>
        <w:shd w:val="clear" w:color="auto" w:fill="FFFFFF"/>
        <w:tblLayout w:type="fixed"/>
        <w:tblCellMar>
          <w:top w:w="0" w:type="dxa"/>
          <w:left w:w="0" w:type="dxa"/>
          <w:bottom w:w="0" w:type="dxa"/>
          <w:right w:w="0" w:type="dxa"/>
        </w:tblCellMar>
      </w:tblPr>
      <w:tblGrid>
        <w:gridCol w:w="4084"/>
        <w:gridCol w:w="3729"/>
      </w:tblGrid>
      <w:tr>
        <w:tblPrEx>
          <w:shd w:val="clear" w:color="auto" w:fill="FFFFFF"/>
          <w:tblLayout w:type="fixed"/>
          <w:tblCellMar>
            <w:top w:w="0" w:type="dxa"/>
            <w:left w:w="0" w:type="dxa"/>
            <w:bottom w:w="0" w:type="dxa"/>
            <w:right w:w="0" w:type="dxa"/>
          </w:tblCellMar>
        </w:tblPrEx>
        <w:trPr>
          <w:trHeight w:val="454" w:hRule="atLeast"/>
        </w:trPr>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整车外形尺寸（长×宽×高 ，mm）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color w:val="auto"/>
                <w:sz w:val="24"/>
              </w:rPr>
              <w:t>≥9500</w:t>
            </w:r>
            <w:r>
              <w:rPr>
                <w:rFonts w:hint="eastAsia" w:ascii="仿宋" w:hAnsi="仿宋" w:eastAsia="仿宋" w:cs="仿宋"/>
                <w:color w:val="FF0000"/>
                <w:sz w:val="24"/>
              </w:rPr>
              <w:t>×2</w:t>
            </w:r>
            <w:r>
              <w:rPr>
                <w:rFonts w:hint="eastAsia" w:ascii="仿宋" w:hAnsi="仿宋" w:eastAsia="仿宋" w:cs="仿宋"/>
                <w:color w:val="FF0000"/>
                <w:sz w:val="24"/>
                <w:lang w:val="en-US" w:eastAsia="zh-CN"/>
              </w:rPr>
              <w:t>4</w:t>
            </w:r>
            <w:r>
              <w:rPr>
                <w:rFonts w:hint="eastAsia" w:ascii="仿宋" w:hAnsi="仿宋" w:eastAsia="仿宋" w:cs="仿宋"/>
                <w:color w:val="FF0000"/>
                <w:sz w:val="24"/>
              </w:rPr>
              <w:t>00×3</w:t>
            </w:r>
            <w:r>
              <w:rPr>
                <w:rFonts w:hint="eastAsia" w:ascii="仿宋" w:hAnsi="仿宋" w:eastAsia="仿宋" w:cs="仿宋"/>
                <w:color w:val="FF0000"/>
                <w:sz w:val="24"/>
                <w:lang w:val="en-US" w:eastAsia="zh-CN"/>
              </w:rPr>
              <w:t>40</w:t>
            </w:r>
            <w:r>
              <w:rPr>
                <w:rFonts w:hint="eastAsia" w:ascii="仿宋" w:hAnsi="仿宋" w:eastAsia="仿宋" w:cs="仿宋"/>
                <w:color w:val="FF0000"/>
                <w:sz w:val="24"/>
              </w:rPr>
              <w:t>0</w:t>
            </w:r>
          </w:p>
        </w:tc>
      </w:tr>
      <w:tr>
        <w:tblPrEx>
          <w:shd w:val="clear" w:color="auto" w:fill="FFFFFF"/>
          <w:tblLayout w:type="fixed"/>
          <w:tblCellMar>
            <w:top w:w="0" w:type="dxa"/>
            <w:left w:w="0" w:type="dxa"/>
            <w:bottom w:w="0" w:type="dxa"/>
            <w:right w:w="0" w:type="dxa"/>
          </w:tblCellMar>
        </w:tblPrEx>
        <w:trPr>
          <w:trHeight w:val="454" w:hRule="atLeast"/>
        </w:trPr>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lang w:bidi="ar"/>
              </w:rPr>
              <w:t>▲</w:t>
            </w:r>
            <w:r>
              <w:rPr>
                <w:rFonts w:hint="eastAsia" w:ascii="仿宋" w:hAnsi="仿宋" w:eastAsia="仿宋" w:cs="仿宋"/>
                <w:sz w:val="24"/>
              </w:rPr>
              <w:t>公告罐体总容积（m³）</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hint="default"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color w:val="FF0000"/>
                <w:sz w:val="24"/>
                <w:lang w:val="en-US" w:eastAsia="zh-CN"/>
              </w:rPr>
              <w:t>7.2</w:t>
            </w:r>
          </w:p>
        </w:tc>
      </w:tr>
    </w:tbl>
    <w:p>
      <w:pPr>
        <w:pageBreakBefore w:val="0"/>
        <w:wordWrap/>
        <w:topLinePunct w:val="0"/>
        <w:autoSpaceDE/>
        <w:autoSpaceDN/>
        <w:bidi w:val="0"/>
        <w:adjustRightInd/>
        <w:snapToGrid/>
        <w:spacing w:line="440" w:lineRule="exact"/>
        <w:textAlignment w:val="auto"/>
        <w:rPr>
          <w:rFonts w:ascii="仿宋" w:hAnsi="仿宋" w:eastAsia="仿宋" w:cs="仿宋"/>
        </w:rPr>
      </w:pPr>
      <w:r>
        <w:rPr>
          <w:rFonts w:hint="eastAsia" w:ascii="仿宋" w:hAnsi="仿宋" w:eastAsia="仿宋" w:cs="仿宋"/>
          <w:sz w:val="24"/>
        </w:rPr>
        <w:t>（9）</w:t>
      </w:r>
      <w:r>
        <w:rPr>
          <w:rFonts w:hint="eastAsia" w:ascii="仿宋" w:hAnsi="仿宋" w:eastAsia="仿宋" w:cs="仿宋"/>
          <w:color w:val="FF0000"/>
          <w:sz w:val="24"/>
          <w:lang w:bidi="ar"/>
        </w:rPr>
        <w:t>▲</w:t>
      </w:r>
      <w:r>
        <w:rPr>
          <w:rFonts w:hint="eastAsia" w:ascii="仿宋" w:hAnsi="仿宋" w:eastAsia="仿宋" w:cs="仿宋"/>
          <w:color w:val="FF0000"/>
          <w:sz w:val="24"/>
        </w:rPr>
        <w:t>车辆配备智能监控系统，利用车载监控终端采集整车运行数据并上传到监控平台，实现对车辆信息的监控、显示和数据存储，可通过微信小程序端、PC端</w:t>
      </w:r>
      <w:r>
        <w:rPr>
          <w:rFonts w:hint="eastAsia" w:ascii="仿宋" w:hAnsi="仿宋" w:eastAsia="仿宋" w:cs="仿宋"/>
          <w:color w:val="FF0000"/>
          <w:sz w:val="24"/>
          <w:lang w:eastAsia="zh-CN"/>
        </w:rPr>
        <w:t>等</w:t>
      </w:r>
      <w:r>
        <w:rPr>
          <w:rFonts w:hint="eastAsia" w:ascii="仿宋" w:hAnsi="仿宋" w:eastAsia="仿宋" w:cs="仿宋"/>
          <w:color w:val="FF0000"/>
          <w:sz w:val="24"/>
        </w:rPr>
        <w:t>版本实时查看车辆位置、配件管理（方便查询配件规格和数量、便捷维修更换）、还能实现重要故障、低温结冰预警、维修保养</w:t>
      </w:r>
      <w:r>
        <w:rPr>
          <w:rFonts w:hint="eastAsia" w:ascii="仿宋" w:hAnsi="仿宋" w:eastAsia="仿宋" w:cs="仿宋"/>
          <w:color w:val="FF0000"/>
          <w:sz w:val="24"/>
          <w:lang w:val="en-US" w:eastAsia="zh-CN"/>
        </w:rPr>
        <w:t>等消息一键上报。</w:t>
      </w:r>
      <w:r>
        <w:rPr>
          <w:rFonts w:hint="eastAsia" w:ascii="仿宋" w:hAnsi="仿宋" w:eastAsia="仿宋" w:cs="仿宋"/>
          <w:color w:val="FF0000"/>
          <w:sz w:val="24"/>
        </w:rPr>
        <w:t>（需提供承诺函并与实际交付车辆保持一致）。</w:t>
      </w:r>
    </w:p>
    <w:p>
      <w:pPr>
        <w:pageBreakBefore w:val="0"/>
        <w:wordWrap/>
        <w:topLinePunct w:val="0"/>
        <w:autoSpaceDE/>
        <w:autoSpaceDN/>
        <w:bidi w:val="0"/>
        <w:adjustRightInd/>
        <w:snapToGrid/>
        <w:spacing w:after="120" w:afterLines="50" w:line="440" w:lineRule="exact"/>
        <w:textAlignment w:val="auto"/>
        <w:rPr>
          <w:rFonts w:ascii="仿宋" w:hAnsi="仿宋" w:eastAsia="仿宋" w:cs="仿宋"/>
          <w:szCs w:val="21"/>
        </w:rPr>
      </w:pPr>
      <w:r>
        <w:rPr>
          <w:rFonts w:hint="eastAsia" w:ascii="仿宋" w:hAnsi="仿宋" w:eastAsia="仿宋" w:cs="仿宋"/>
          <w:b/>
          <w:bCs/>
          <w:kern w:val="0"/>
          <w:sz w:val="30"/>
          <w:szCs w:val="44"/>
          <w:lang w:val="en-US" w:eastAsia="zh-CN" w:bidi="ar-SA"/>
        </w:rPr>
        <w:t>4、第六章 采购需求</w:t>
      </w:r>
      <w:r>
        <w:rPr>
          <w:rFonts w:hint="eastAsia" w:ascii="仿宋" w:hAnsi="仿宋" w:eastAsia="仿宋" w:cs="仿宋"/>
          <w:b/>
          <w:bCs/>
          <w:iCs/>
          <w:sz w:val="24"/>
        </w:rPr>
        <w:t>（四）4吨新能源洗扫车技术参数</w:t>
      </w:r>
      <w:r>
        <w:rPr>
          <w:rFonts w:hint="eastAsia" w:ascii="仿宋" w:hAnsi="仿宋" w:eastAsia="仿宋" w:cs="仿宋"/>
          <w:b/>
          <w:bCs/>
          <w:iCs/>
          <w:sz w:val="24"/>
          <w:lang w:val="en-US" w:eastAsia="zh-CN"/>
        </w:rPr>
        <w:t xml:space="preserve"> </w:t>
      </w:r>
      <w:r>
        <w:rPr>
          <w:rFonts w:hint="eastAsia" w:ascii="仿宋" w:hAnsi="仿宋" w:eastAsia="仿宋" w:cs="仿宋"/>
          <w:b/>
          <w:bCs/>
          <w:iCs/>
          <w:sz w:val="24"/>
        </w:rPr>
        <w:t>（1）主要技术参数</w:t>
      </w:r>
    </w:p>
    <w:tbl>
      <w:tblPr>
        <w:tblStyle w:val="7"/>
        <w:tblW w:w="7616" w:type="dxa"/>
        <w:tblInd w:w="105" w:type="dxa"/>
        <w:shd w:val="clear" w:color="auto" w:fill="FFFFFF"/>
        <w:tblLayout w:type="fixed"/>
        <w:tblCellMar>
          <w:top w:w="0" w:type="dxa"/>
          <w:left w:w="0" w:type="dxa"/>
          <w:bottom w:w="0" w:type="dxa"/>
          <w:right w:w="0" w:type="dxa"/>
        </w:tblCellMar>
      </w:tblPr>
      <w:tblGrid>
        <w:gridCol w:w="4086"/>
        <w:gridCol w:w="3530"/>
      </w:tblGrid>
      <w:tr>
        <w:tblPrEx>
          <w:tblLayout w:type="fixed"/>
          <w:tblCellMar>
            <w:top w:w="0" w:type="dxa"/>
            <w:left w:w="0" w:type="dxa"/>
            <w:bottom w:w="0" w:type="dxa"/>
            <w:right w:w="0" w:type="dxa"/>
          </w:tblCellMar>
        </w:tblPrEx>
        <w:trPr>
          <w:trHeight w:val="454" w:hRule="atLeast"/>
        </w:trPr>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pageBreakBefore w:val="0"/>
              <w:widowControl/>
              <w:kinsoku w:val="0"/>
              <w:wordWrap/>
              <w:overflowPunct w:val="0"/>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2"/>
              </w:rPr>
              <w:t>★</w:t>
            </w:r>
            <w:r>
              <w:rPr>
                <w:rFonts w:hint="eastAsia" w:ascii="仿宋" w:hAnsi="仿宋" w:eastAsia="仿宋" w:cs="仿宋"/>
                <w:sz w:val="24"/>
              </w:rPr>
              <w:t>底盘驱动电机峰值功率（kW）</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≥120</w:t>
            </w:r>
          </w:p>
        </w:tc>
      </w:tr>
      <w:tr>
        <w:tblPrEx>
          <w:tblLayout w:type="fixed"/>
          <w:tblCellMar>
            <w:top w:w="0" w:type="dxa"/>
            <w:left w:w="0" w:type="dxa"/>
            <w:bottom w:w="0" w:type="dxa"/>
            <w:right w:w="0" w:type="dxa"/>
          </w:tblCellMar>
        </w:tblPrEx>
        <w:trPr>
          <w:trHeight w:val="454" w:hRule="atLeast"/>
        </w:trPr>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清水箱容积（m³）</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≥2</w:t>
            </w:r>
          </w:p>
        </w:tc>
      </w:tr>
    </w:tbl>
    <w:p>
      <w:pPr>
        <w:pageBreakBefore w:val="0"/>
        <w:wordWrap/>
        <w:topLinePunct w:val="0"/>
        <w:autoSpaceDE/>
        <w:autoSpaceDN/>
        <w:bidi w:val="0"/>
        <w:adjustRightInd/>
        <w:snapToGrid/>
        <w:spacing w:line="440" w:lineRule="exact"/>
        <w:textAlignment w:val="auto"/>
      </w:pPr>
      <w:r>
        <w:rPr>
          <w:rFonts w:hint="eastAsia" w:ascii="仿宋" w:hAnsi="仿宋" w:eastAsia="仿宋" w:cs="仿宋"/>
          <w:b/>
          <w:bCs/>
          <w:szCs w:val="21"/>
        </w:rPr>
        <w:t>（2）</w:t>
      </w:r>
      <w:r>
        <w:rPr>
          <w:rFonts w:hint="eastAsia" w:ascii="仿宋" w:hAnsi="仿宋" w:eastAsia="仿宋" w:cs="仿宋"/>
          <w:b/>
          <w:bCs/>
          <w:color w:val="000000"/>
          <w:sz w:val="24"/>
        </w:rPr>
        <w:t>产品主要性能要求:</w:t>
      </w:r>
      <w:r>
        <w:rPr>
          <w:rFonts w:hint="eastAsia" w:ascii="仿宋" w:hAnsi="仿宋" w:eastAsia="仿宋" w:cs="仿宋"/>
          <w:sz w:val="24"/>
        </w:rPr>
        <w:t>（11）</w:t>
      </w:r>
      <w:r>
        <w:rPr>
          <w:rFonts w:hint="eastAsia" w:ascii="仿宋" w:hAnsi="仿宋" w:eastAsia="仿宋" w:cs="仿宋"/>
          <w:sz w:val="24"/>
          <w:lang w:bidi="ar"/>
        </w:rPr>
        <w:t>▲</w:t>
      </w:r>
      <w:r>
        <w:rPr>
          <w:rFonts w:hint="eastAsia" w:ascii="仿宋" w:hAnsi="仿宋" w:eastAsia="仿宋" w:cs="仿宋"/>
          <w:sz w:val="24"/>
        </w:rPr>
        <w:t>整车配备智能监控系统，利用车载监控终端采集整车运行数据并上传到监控平台，实现对车辆信息的监控、显示和数据存储，可通过微信小程序端、PC端、大屏三种版本实时查看车辆位置、司机驾驶评分、考勤打卡，还具备充电和能耗管理（识别和纠正高耗车避免成本浪费）、配件管理（方便查询配件规格和数量、便捷维修更换）、车辆故障处理、一键上报、费用台账自动汇算（支持充电、年审、维修、事故等各类费用）、车辆自检及外观巡检，查看 驾驶教程、车辆操作和维护方法等功能；还能实现重要故障、SOC过低、低温结冰预警、维修保养完成等各类消息推送。（需提供承诺函并与实际交付车辆保持一致）。</w:t>
      </w:r>
    </w:p>
    <w:p>
      <w:pPr>
        <w:pageBreakBefore w:val="0"/>
        <w:wordWrap/>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b/>
          <w:bCs/>
          <w:kern w:val="0"/>
          <w:sz w:val="30"/>
          <w:szCs w:val="44"/>
          <w:lang w:val="en-US" w:eastAsia="zh-CN" w:bidi="ar-SA"/>
        </w:rPr>
        <w:t>更正为：</w:t>
      </w:r>
    </w:p>
    <w:tbl>
      <w:tblPr>
        <w:tblStyle w:val="7"/>
        <w:tblW w:w="7616" w:type="dxa"/>
        <w:tblInd w:w="105" w:type="dxa"/>
        <w:shd w:val="clear" w:color="auto" w:fill="FFFFFF"/>
        <w:tblLayout w:type="fixed"/>
        <w:tblCellMar>
          <w:top w:w="0" w:type="dxa"/>
          <w:left w:w="0" w:type="dxa"/>
          <w:bottom w:w="0" w:type="dxa"/>
          <w:right w:w="0" w:type="dxa"/>
        </w:tblCellMar>
      </w:tblPr>
      <w:tblGrid>
        <w:gridCol w:w="4086"/>
        <w:gridCol w:w="3530"/>
      </w:tblGrid>
      <w:tr>
        <w:tblPrEx>
          <w:shd w:val="clear" w:color="auto" w:fill="FFFFFF"/>
          <w:tblLayout w:type="fixed"/>
          <w:tblCellMar>
            <w:top w:w="0" w:type="dxa"/>
            <w:left w:w="0" w:type="dxa"/>
            <w:bottom w:w="0" w:type="dxa"/>
            <w:right w:w="0" w:type="dxa"/>
          </w:tblCellMar>
        </w:tblPrEx>
        <w:trPr>
          <w:trHeight w:val="454" w:hRule="atLeast"/>
        </w:trPr>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pageBreakBefore w:val="0"/>
              <w:widowControl/>
              <w:kinsoku w:val="0"/>
              <w:wordWrap/>
              <w:overflowPunct w:val="0"/>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2"/>
              </w:rPr>
              <w:t>★</w:t>
            </w:r>
            <w:r>
              <w:rPr>
                <w:rFonts w:hint="eastAsia" w:ascii="仿宋" w:hAnsi="仿宋" w:eastAsia="仿宋" w:cs="仿宋"/>
                <w:sz w:val="24"/>
              </w:rPr>
              <w:t>底盘驱动电机峰值功率（kW）</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hint="default"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color w:val="FF0000"/>
                <w:sz w:val="24"/>
                <w:lang w:val="en-US" w:eastAsia="zh-CN"/>
              </w:rPr>
              <w:t>100</w:t>
            </w:r>
          </w:p>
        </w:tc>
      </w:tr>
      <w:tr>
        <w:tblPrEx>
          <w:shd w:val="clear" w:color="auto" w:fill="FFFFFF"/>
          <w:tblLayout w:type="fixed"/>
          <w:tblCellMar>
            <w:top w:w="0" w:type="dxa"/>
            <w:left w:w="0" w:type="dxa"/>
            <w:bottom w:w="0" w:type="dxa"/>
            <w:right w:w="0" w:type="dxa"/>
          </w:tblCellMar>
        </w:tblPrEx>
        <w:trPr>
          <w:trHeight w:val="454" w:hRule="atLeast"/>
        </w:trPr>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清水箱容积（m³）</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hint="default"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color w:val="FF0000"/>
                <w:sz w:val="24"/>
                <w:lang w:val="en-US" w:eastAsia="zh-CN"/>
              </w:rPr>
              <w:t>1.6</w:t>
            </w:r>
          </w:p>
        </w:tc>
      </w:tr>
    </w:tbl>
    <w:p>
      <w:pPr>
        <w:pageBreakBefore w:val="0"/>
        <w:numPr>
          <w:ilvl w:val="0"/>
          <w:numId w:val="1"/>
        </w:numPr>
        <w:wordWrap/>
        <w:topLinePunct w:val="0"/>
        <w:autoSpaceDE/>
        <w:autoSpaceDN/>
        <w:bidi w:val="0"/>
        <w:adjustRightInd/>
        <w:snapToGrid/>
        <w:spacing w:line="440" w:lineRule="exact"/>
        <w:textAlignment w:val="auto"/>
        <w:rPr>
          <w:rFonts w:hint="eastAsia" w:ascii="仿宋" w:hAnsi="仿宋" w:eastAsia="仿宋" w:cs="仿宋"/>
          <w:color w:val="FF0000"/>
          <w:sz w:val="24"/>
        </w:rPr>
      </w:pPr>
      <w:r>
        <w:rPr>
          <w:rFonts w:hint="eastAsia" w:ascii="仿宋" w:hAnsi="仿宋" w:eastAsia="仿宋" w:cs="仿宋"/>
          <w:color w:val="FF0000"/>
          <w:sz w:val="24"/>
          <w:lang w:bidi="ar"/>
        </w:rPr>
        <w:t>▲</w:t>
      </w:r>
      <w:r>
        <w:rPr>
          <w:rFonts w:hint="eastAsia" w:ascii="仿宋" w:hAnsi="仿宋" w:eastAsia="仿宋" w:cs="仿宋"/>
          <w:color w:val="FF0000"/>
          <w:sz w:val="24"/>
        </w:rPr>
        <w:t>车辆配备智能监控系统，利用车载监控终端采集整车运行数据并上传到监控平台，实现对车辆信息的监控、显示和数据存储，可通过微信小程序端、PC端</w:t>
      </w:r>
      <w:r>
        <w:rPr>
          <w:rFonts w:hint="eastAsia" w:ascii="仿宋" w:hAnsi="仿宋" w:eastAsia="仿宋" w:cs="仿宋"/>
          <w:color w:val="FF0000"/>
          <w:sz w:val="24"/>
          <w:lang w:eastAsia="zh-CN"/>
        </w:rPr>
        <w:t>等</w:t>
      </w:r>
      <w:r>
        <w:rPr>
          <w:rFonts w:hint="eastAsia" w:ascii="仿宋" w:hAnsi="仿宋" w:eastAsia="仿宋" w:cs="仿宋"/>
          <w:color w:val="FF0000"/>
          <w:sz w:val="24"/>
        </w:rPr>
        <w:t>版本实时查看车辆位置、配件管理（方便查询配件规格和数量、便捷维修更换）、还能实现重要故障、低温结冰预警、维修保养</w:t>
      </w:r>
      <w:r>
        <w:rPr>
          <w:rFonts w:hint="eastAsia" w:ascii="仿宋" w:hAnsi="仿宋" w:eastAsia="仿宋" w:cs="仿宋"/>
          <w:color w:val="FF0000"/>
          <w:sz w:val="24"/>
          <w:lang w:val="en-US" w:eastAsia="zh-CN"/>
        </w:rPr>
        <w:t>等消息一键上报。</w:t>
      </w:r>
      <w:r>
        <w:rPr>
          <w:rFonts w:hint="eastAsia" w:ascii="仿宋" w:hAnsi="仿宋" w:eastAsia="仿宋" w:cs="仿宋"/>
          <w:color w:val="FF0000"/>
          <w:sz w:val="24"/>
        </w:rPr>
        <w:t>（需提供承诺函并与实际交付车辆保持一致）。</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rPr>
      </w:pPr>
      <w:r>
        <w:rPr>
          <w:rFonts w:hint="eastAsia" w:ascii="仿宋" w:hAnsi="仿宋" w:eastAsia="仿宋" w:cs="仿宋"/>
          <w:b/>
          <w:bCs/>
          <w:sz w:val="30"/>
          <w:szCs w:val="44"/>
        </w:rPr>
        <w:t xml:space="preserve"> </w:t>
      </w:r>
      <w:r>
        <w:rPr>
          <w:rFonts w:hint="eastAsia" w:ascii="仿宋" w:hAnsi="仿宋" w:eastAsia="仿宋" w:cs="仿宋"/>
          <w:b/>
          <w:bCs/>
          <w:sz w:val="30"/>
          <w:szCs w:val="44"/>
          <w:lang w:val="en-US" w:eastAsia="zh-CN"/>
        </w:rPr>
        <w:t xml:space="preserve">第四章 </w:t>
      </w:r>
      <w:r>
        <w:rPr>
          <w:rFonts w:hint="eastAsia" w:ascii="仿宋" w:hAnsi="仿宋" w:eastAsia="仿宋" w:cs="仿宋"/>
          <w:b/>
          <w:bCs/>
          <w:sz w:val="30"/>
          <w:szCs w:val="44"/>
        </w:rPr>
        <w:t>评标标准</w:t>
      </w:r>
      <w:r>
        <w:rPr>
          <w:rFonts w:hint="eastAsia" w:ascii="仿宋" w:hAnsi="仿宋" w:eastAsia="仿宋" w:cs="仿宋"/>
          <w:b/>
          <w:bCs/>
          <w:sz w:val="30"/>
          <w:szCs w:val="44"/>
          <w:lang w:val="en-US" w:eastAsia="zh-CN"/>
        </w:rPr>
        <w:t xml:space="preserve"> </w:t>
      </w:r>
      <w:r>
        <w:rPr>
          <w:rFonts w:hint="eastAsia" w:ascii="仿宋" w:hAnsi="仿宋" w:eastAsia="仿宋" w:cs="仿宋"/>
          <w:sz w:val="24"/>
          <w:szCs w:val="24"/>
        </w:rPr>
        <w:t>技术参数响应（27分）依据</w:t>
      </w:r>
      <w:r>
        <w:rPr>
          <w:rFonts w:ascii="仿宋" w:hAnsi="仿宋" w:eastAsia="仿宋" w:cs="仿宋"/>
          <w:sz w:val="24"/>
          <w:szCs w:val="24"/>
        </w:rPr>
        <w:t>磋商</w:t>
      </w:r>
      <w:r>
        <w:rPr>
          <w:rFonts w:hint="eastAsia" w:ascii="仿宋" w:hAnsi="仿宋" w:eastAsia="仿宋" w:cs="仿宋"/>
          <w:sz w:val="24"/>
          <w:szCs w:val="24"/>
        </w:rPr>
        <w:t>文件中偏离表、技术规格说明对</w:t>
      </w:r>
      <w:r>
        <w:rPr>
          <w:rFonts w:ascii="仿宋" w:hAnsi="仿宋" w:eastAsia="仿宋" w:cs="仿宋"/>
          <w:sz w:val="24"/>
          <w:szCs w:val="24"/>
        </w:rPr>
        <w:t>采购</w:t>
      </w:r>
      <w:r>
        <w:rPr>
          <w:rFonts w:hint="eastAsia" w:ascii="仿宋" w:hAnsi="仿宋" w:eastAsia="仿宋" w:cs="仿宋"/>
          <w:sz w:val="24"/>
          <w:szCs w:val="24"/>
        </w:rPr>
        <w:t>文件《第</w:t>
      </w:r>
      <w:r>
        <w:rPr>
          <w:rFonts w:ascii="仿宋" w:hAnsi="仿宋" w:eastAsia="仿宋" w:cs="仿宋"/>
          <w:sz w:val="24"/>
          <w:szCs w:val="24"/>
        </w:rPr>
        <w:t>七</w:t>
      </w:r>
      <w:r>
        <w:rPr>
          <w:rFonts w:hint="eastAsia" w:ascii="仿宋" w:hAnsi="仿宋" w:eastAsia="仿宋" w:cs="仿宋"/>
          <w:sz w:val="24"/>
          <w:szCs w:val="24"/>
        </w:rPr>
        <w:t>章 采购需求》“技术参数</w:t>
      </w:r>
      <w:r>
        <w:rPr>
          <w:rFonts w:ascii="仿宋" w:hAnsi="仿宋" w:eastAsia="仿宋" w:cs="仿宋"/>
          <w:sz w:val="24"/>
          <w:szCs w:val="24"/>
        </w:rPr>
        <w:t>、</w:t>
      </w:r>
      <w:r>
        <w:rPr>
          <w:rFonts w:hint="eastAsia" w:ascii="仿宋" w:hAnsi="仿宋" w:eastAsia="仿宋" w:cs="仿宋"/>
          <w:sz w:val="24"/>
          <w:szCs w:val="24"/>
        </w:rPr>
        <w:t>产品主要性能要求”满足程度进行评价。全部满足要求的得27分，重要响应指标不满足或负偏离每项扣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sz w:val="24"/>
          <w:szCs w:val="24"/>
        </w:rPr>
        <w:t>；一般响应指标不满足或负偏离每项扣1分，扣完为止。（加“★”指标为实质性要求和条件，不允许负偏离，否则按投标无效处理。加“▲”的指标为重要响应指标，其他为一般响应指标，未按招标文件要求提供证明材料的视为不满足，按扣分处理）：注：投标文件中须提供“★”和“▲”的</w:t>
      </w:r>
      <w:bookmarkStart w:id="0" w:name="_GoBack"/>
      <w:bookmarkEnd w:id="0"/>
      <w:r>
        <w:rPr>
          <w:rFonts w:hint="eastAsia" w:ascii="仿宋" w:hAnsi="仿宋" w:eastAsia="仿宋" w:cs="仿宋"/>
          <w:sz w:val="24"/>
          <w:szCs w:val="24"/>
        </w:rPr>
        <w:t>指标的证明材料并标注页码，除技术要求中明确的证明材料外，证明材料包括但不限于产品白皮书或产品说明书或公开出版的宣传材料或产品彩页等，未提供证明材料的视为不满足，按扣分处理。本项最高得27分，最低得0分。</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eastAsia="仿宋"/>
          <w:lang w:val="en-US" w:eastAsia="zh-CN"/>
        </w:rPr>
      </w:pPr>
      <w:r>
        <w:rPr>
          <w:rFonts w:hint="eastAsia" w:ascii="仿宋" w:hAnsi="仿宋" w:eastAsia="仿宋" w:cs="仿宋"/>
          <w:b/>
          <w:bCs/>
          <w:kern w:val="0"/>
          <w:sz w:val="30"/>
          <w:szCs w:val="44"/>
          <w:lang w:val="en-US" w:eastAsia="zh-CN" w:bidi="ar-SA"/>
        </w:rPr>
        <w:t>更正为：</w:t>
      </w:r>
      <w:r>
        <w:rPr>
          <w:rFonts w:hint="eastAsia" w:ascii="仿宋" w:hAnsi="仿宋" w:eastAsia="仿宋" w:cs="仿宋"/>
          <w:sz w:val="24"/>
          <w:szCs w:val="24"/>
        </w:rPr>
        <w:t>技术参数响应（27分）依据</w:t>
      </w:r>
      <w:r>
        <w:rPr>
          <w:rFonts w:ascii="仿宋" w:hAnsi="仿宋" w:eastAsia="仿宋" w:cs="仿宋"/>
          <w:sz w:val="24"/>
          <w:szCs w:val="24"/>
        </w:rPr>
        <w:t>磋商</w:t>
      </w:r>
      <w:r>
        <w:rPr>
          <w:rFonts w:hint="eastAsia" w:ascii="仿宋" w:hAnsi="仿宋" w:eastAsia="仿宋" w:cs="仿宋"/>
          <w:sz w:val="24"/>
          <w:szCs w:val="24"/>
        </w:rPr>
        <w:t>文件中偏离表、技术规格说明对</w:t>
      </w:r>
      <w:r>
        <w:rPr>
          <w:rFonts w:ascii="仿宋" w:hAnsi="仿宋" w:eastAsia="仿宋" w:cs="仿宋"/>
          <w:sz w:val="24"/>
          <w:szCs w:val="24"/>
        </w:rPr>
        <w:t>采购</w:t>
      </w:r>
      <w:r>
        <w:rPr>
          <w:rFonts w:hint="eastAsia" w:ascii="仿宋" w:hAnsi="仿宋" w:eastAsia="仿宋" w:cs="仿宋"/>
          <w:sz w:val="24"/>
          <w:szCs w:val="24"/>
        </w:rPr>
        <w:t>文件《第</w:t>
      </w:r>
      <w:r>
        <w:rPr>
          <w:rFonts w:ascii="仿宋" w:hAnsi="仿宋" w:eastAsia="仿宋" w:cs="仿宋"/>
          <w:sz w:val="24"/>
          <w:szCs w:val="24"/>
        </w:rPr>
        <w:t>七</w:t>
      </w:r>
      <w:r>
        <w:rPr>
          <w:rFonts w:hint="eastAsia" w:ascii="仿宋" w:hAnsi="仿宋" w:eastAsia="仿宋" w:cs="仿宋"/>
          <w:sz w:val="24"/>
          <w:szCs w:val="24"/>
        </w:rPr>
        <w:t>章 采购需求》“技术参数</w:t>
      </w:r>
      <w:r>
        <w:rPr>
          <w:rFonts w:ascii="仿宋" w:hAnsi="仿宋" w:eastAsia="仿宋" w:cs="仿宋"/>
          <w:sz w:val="24"/>
          <w:szCs w:val="24"/>
        </w:rPr>
        <w:t>、</w:t>
      </w:r>
      <w:r>
        <w:rPr>
          <w:rFonts w:hint="eastAsia" w:ascii="仿宋" w:hAnsi="仿宋" w:eastAsia="仿宋" w:cs="仿宋"/>
          <w:sz w:val="24"/>
          <w:szCs w:val="24"/>
        </w:rPr>
        <w:t>产品主要性能要求”满足程度进行评价。全部满足要求的得27分，重要响应指标不满足或负偏离每项扣</w:t>
      </w:r>
      <w:r>
        <w:rPr>
          <w:rFonts w:hint="eastAsia" w:ascii="仿宋" w:hAnsi="仿宋" w:eastAsia="仿宋" w:cs="仿宋"/>
          <w:color w:val="FF0000"/>
          <w:sz w:val="24"/>
          <w:szCs w:val="24"/>
          <w:lang w:val="en-US" w:eastAsia="zh-CN"/>
        </w:rPr>
        <w:t>3</w:t>
      </w:r>
      <w:r>
        <w:rPr>
          <w:rFonts w:hint="eastAsia" w:ascii="仿宋" w:hAnsi="仿宋" w:eastAsia="仿宋" w:cs="仿宋"/>
          <w:color w:val="FF0000"/>
          <w:sz w:val="24"/>
          <w:szCs w:val="24"/>
        </w:rPr>
        <w:t>分</w:t>
      </w:r>
      <w:r>
        <w:rPr>
          <w:rFonts w:hint="eastAsia" w:ascii="仿宋" w:hAnsi="仿宋" w:eastAsia="仿宋" w:cs="仿宋"/>
          <w:sz w:val="24"/>
          <w:szCs w:val="24"/>
        </w:rPr>
        <w:t>；一般响应指标不满足或负偏离每项扣1分，扣完为止。（加“★”指标为实质性要求和条件，不允许负偏离，否则按投标无效处理。加“▲”的指标为重要响应指标，其他为一般响应指标，未按招标文件要求提供证明材料的视为不满足，按扣分处理）：注：投标文件中须提供“★”和“▲”的指标的证明材料并标注页码，除技术要求中明确的证明材料外，证明材料包括但不限于产品白皮书或产品说明书或公开出版的宣传材料或产品彩页等，未提供证明材料的视为不满足，按扣分处理。本项最高得27分，最低得0分。</w:t>
      </w:r>
    </w:p>
    <w:p>
      <w:pPr>
        <w:pageBreakBefore w:val="0"/>
        <w:wordWrap/>
        <w:topLinePunct w:val="0"/>
        <w:autoSpaceDE/>
        <w:autoSpaceDN/>
        <w:bidi w:val="0"/>
        <w:adjustRightInd/>
        <w:snapToGrid/>
        <w:spacing w:after="120" w:afterLines="50" w:line="440" w:lineRule="exact"/>
        <w:textAlignment w:val="auto"/>
        <w:rPr>
          <w:rFonts w:hint="default" w:ascii="仿宋" w:hAnsi="仿宋" w:eastAsia="仿宋" w:cs="仿宋"/>
          <w:b/>
          <w:bCs/>
          <w:iCs/>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B9665"/>
    <w:multiLevelType w:val="singleLevel"/>
    <w:tmpl w:val="509B9665"/>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90F73"/>
    <w:rsid w:val="1423358C"/>
    <w:rsid w:val="166960A7"/>
    <w:rsid w:val="291D2CBD"/>
    <w:rsid w:val="31446A2B"/>
    <w:rsid w:val="41A90F73"/>
    <w:rsid w:val="565234B1"/>
    <w:rsid w:val="5BE20B3A"/>
    <w:rsid w:val="5D0F6807"/>
    <w:rsid w:val="6BB5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9"/>
    <w:pPr>
      <w:keepNext/>
      <w:keepLines/>
      <w:spacing w:before="480" w:after="200"/>
      <w:outlineLvl w:val="0"/>
    </w:pPr>
    <w:rPr>
      <w:rFonts w:ascii="Arial" w:hAnsi="Arial" w:eastAsia="Arial" w:cs="Arial"/>
      <w:sz w:val="40"/>
      <w:szCs w:val="40"/>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lock Text"/>
    <w:basedOn w:val="1"/>
    <w:next w:val="1"/>
    <w:qFormat/>
    <w:uiPriority w:val="6"/>
    <w:pPr>
      <w:ind w:left="256" w:right="6" w:firstLine="624"/>
    </w:pPr>
    <w:rPr>
      <w:rFonts w:ascii="Times New Roman" w:hAnsi="Times New Roman" w:eastAsia="仿宋" w:cs="Times New Roman"/>
      <w:sz w:val="28"/>
      <w:szCs w:val="20"/>
    </w:rPr>
  </w:style>
  <w:style w:type="paragraph" w:styleId="4">
    <w:name w:val="Body Text"/>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标题 11"/>
    <w:basedOn w:val="9"/>
    <w:next w:val="9"/>
    <w:qFormat/>
    <w:uiPriority w:val="0"/>
    <w:pPr>
      <w:keepNext/>
      <w:keepLines/>
      <w:spacing w:line="578" w:lineRule="auto"/>
      <w:jc w:val="center"/>
      <w:outlineLvl w:val="0"/>
    </w:pPr>
    <w:rPr>
      <w:rFonts w:eastAsia="新宋体"/>
      <w:b/>
      <w:bCs/>
      <w:sz w:val="30"/>
      <w:szCs w:val="44"/>
    </w:rPr>
  </w:style>
  <w:style w:type="paragraph" w:customStyle="1" w:styleId="9">
    <w:name w:val="正文1"/>
    <w:basedOn w:val="10"/>
    <w:next w:val="18"/>
    <w:qFormat/>
    <w:uiPriority w:val="0"/>
  </w:style>
  <w:style w:type="paragraph" w:customStyle="1" w:styleId="10">
    <w:name w:val="正文111"/>
    <w:next w:val="1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1">
    <w:name w:val="标题 41"/>
    <w:basedOn w:val="12"/>
    <w:next w:val="10"/>
    <w:qFormat/>
    <w:uiPriority w:val="0"/>
    <w:pPr>
      <w:keepNext/>
      <w:keepLines/>
      <w:spacing w:before="280" w:after="290" w:line="376" w:lineRule="auto"/>
      <w:outlineLvl w:val="3"/>
    </w:pPr>
    <w:rPr>
      <w:rFonts w:ascii="Cambria" w:hAnsi="Cambria"/>
      <w:b/>
      <w:bCs/>
      <w:sz w:val="28"/>
      <w:szCs w:val="28"/>
    </w:rPr>
  </w:style>
  <w:style w:type="paragraph" w:customStyle="1" w:styleId="12">
    <w:name w:val="正文12"/>
    <w:next w:val="13"/>
    <w:qFormat/>
    <w:uiPriority w:val="0"/>
    <w:pPr>
      <w:widowControl w:val="0"/>
      <w:jc w:val="both"/>
    </w:pPr>
    <w:rPr>
      <w:rFonts w:ascii="Calibri" w:hAnsi="Calibri" w:eastAsia="Calibri" w:cs="Times New Roman"/>
      <w:sz w:val="21"/>
      <w:szCs w:val="24"/>
      <w:lang w:val="en-US" w:eastAsia="zh-CN" w:bidi="ar-SA"/>
    </w:rPr>
  </w:style>
  <w:style w:type="paragraph" w:customStyle="1" w:styleId="13">
    <w:name w:val="脚注文本1"/>
    <w:basedOn w:val="14"/>
    <w:next w:val="17"/>
    <w:qFormat/>
    <w:uiPriority w:val="0"/>
    <w:pPr>
      <w:jc w:val="left"/>
    </w:pPr>
    <w:rPr>
      <w:rFonts w:ascii="宋体" w:eastAsia="Times New Roman"/>
      <w:sz w:val="18"/>
      <w:szCs w:val="18"/>
    </w:rPr>
  </w:style>
  <w:style w:type="paragraph" w:customStyle="1" w:styleId="14">
    <w:name w:val="正文11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标题 211"/>
    <w:basedOn w:val="16"/>
    <w:next w:val="14"/>
    <w:qFormat/>
    <w:uiPriority w:val="0"/>
    <w:pPr>
      <w:keepNext/>
      <w:keepLines/>
      <w:spacing w:before="260" w:after="260" w:line="416" w:lineRule="auto"/>
      <w:outlineLvl w:val="1"/>
    </w:pPr>
    <w:rPr>
      <w:rFonts w:ascii="Calibri Light" w:hAnsi="Calibri Light"/>
      <w:bCs/>
      <w:sz w:val="32"/>
      <w:szCs w:val="32"/>
    </w:rPr>
  </w:style>
  <w:style w:type="paragraph" w:customStyle="1" w:styleId="16">
    <w:name w:val="正文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7">
    <w:name w:val="索引 51"/>
    <w:basedOn w:val="9"/>
    <w:next w:val="9"/>
    <w:qFormat/>
    <w:uiPriority w:val="0"/>
    <w:pPr>
      <w:ind w:left="798"/>
      <w:jc w:val="left"/>
    </w:pPr>
    <w:rPr>
      <w:rFonts w:ascii="Calibri" w:hAnsi="Calibri"/>
    </w:rPr>
  </w:style>
  <w:style w:type="paragraph" w:customStyle="1" w:styleId="18">
    <w:name w:val="文本块1"/>
    <w:basedOn w:val="9"/>
    <w:next w:val="11"/>
    <w:qFormat/>
    <w:uiPriority w:val="0"/>
    <w:pPr>
      <w:ind w:left="420" w:right="33"/>
      <w:jc w:val="left"/>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2025-12-02T01:25:00Z</dcterms:created>
  <dc:creator>南京南大尚诚软件科技有限公司</dc:creator>
  <cp:lastModifiedBy>南京南大尚诚软件科技有限公司</cp:lastModifiedBy>
  <dcterms:modified xsi:type="dcterms:W3CDTF">2025-12-02T01:54:27Z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