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61C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新沂市高新区中学智能化项目</w:t>
      </w:r>
    </w:p>
    <w:p w14:paraId="45C93946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 w14:paraId="3058C7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Style w:val="15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395A418C">
      <w:pPr>
        <w:ind w:firstLine="482" w:firstLineChars="200"/>
        <w:jc w:val="both"/>
        <w:rPr>
          <w:rFonts w:ascii="宋体" w:hAnsi="宋体" w:eastAsia="宋体" w:cs="宋体"/>
          <w:sz w:val="22"/>
          <w:szCs w:val="22"/>
          <w:lang w:eastAsia="zh-CN"/>
        </w:rPr>
      </w:pPr>
      <w:bookmarkStart w:id="0" w:name="_Hlk16970320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1、原招标文件</w:t>
      </w:r>
      <w:bookmarkEnd w:id="0"/>
    </w:p>
    <w:p w14:paraId="4C0422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2025年12月4日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5978E100">
      <w:pPr>
        <w:ind w:firstLine="480" w:firstLineChars="200"/>
        <w:jc w:val="both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2025年12月4日北京时间09:30。</w:t>
      </w:r>
    </w:p>
    <w:p w14:paraId="3A749140">
      <w:pPr>
        <w:rPr>
          <w:rFonts w:hint="default"/>
          <w:color w:val="auto"/>
          <w:lang w:val="en-US" w:eastAsia="zh-CN"/>
        </w:rPr>
      </w:pPr>
    </w:p>
    <w:p w14:paraId="353B58F7">
      <w:pPr>
        <w:pStyle w:val="2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现更正为</w:t>
      </w:r>
    </w:p>
    <w:p w14:paraId="59D749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3ABBC30C">
      <w:pPr>
        <w:ind w:firstLine="480" w:firstLineChars="200"/>
        <w:jc w:val="both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日北京时间09:30。</w:t>
      </w:r>
    </w:p>
    <w:p w14:paraId="3C365BA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FAD96CA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42" w:firstLineChars="200"/>
        <w:textAlignment w:val="auto"/>
        <w:outlineLvl w:val="9"/>
        <w:rPr>
          <w:rFonts w:hint="eastAsia" w:ascii="宋体" w:hAnsi="宋体" w:eastAsia="宋体" w:cs="宋体"/>
          <w:b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原招标文件《第四章》 评分标准 </w:t>
      </w:r>
    </w:p>
    <w:tbl>
      <w:tblPr>
        <w:tblStyle w:val="12"/>
        <w:tblW w:w="49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9"/>
        <w:gridCol w:w="7071"/>
      </w:tblGrid>
      <w:tr w14:paraId="6C10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9C2B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评分内容</w:t>
            </w:r>
          </w:p>
        </w:tc>
        <w:tc>
          <w:tcPr>
            <w:tcW w:w="4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669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 xml:space="preserve">评 分 细 则 </w:t>
            </w:r>
          </w:p>
        </w:tc>
      </w:tr>
      <w:tr w14:paraId="6CED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BB8AA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价格（30分）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E030">
            <w:pPr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价格</w:t>
            </w:r>
          </w:p>
          <w:p w14:paraId="673E4D0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（30分）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42793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满足招标文件全部实质性要求且价格最低的投标报价为评标基准价，其价格分为满分；其他投标人的价格分按照下列公式计算：投标报价得分=(评标基准价／投标报价) *30，（计算结果保留小数后2位）。</w:t>
            </w:r>
          </w:p>
        </w:tc>
      </w:tr>
      <w:tr w14:paraId="02B3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6DC8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技术（35分）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693A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规格参数（35分）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A44B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供应商所投产品技术参数与招标文件 “技术参数”中标注“</w:t>
            </w:r>
            <w:r>
              <w:rPr>
                <w:rFonts w:hint="eastAsia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”技术参数要求相比较，以35分为基数，加“</w:t>
            </w:r>
            <w:r>
              <w:rPr>
                <w:rFonts w:hint="eastAsia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”项每有一项负偏离扣1分，扣完为止。未标注的为普通参数，每有一项参数负偏离的扣0.5分，扣完为止。</w:t>
            </w:r>
          </w:p>
        </w:tc>
      </w:tr>
      <w:tr w14:paraId="1AB50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66F41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商务（18分）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8F4F9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投标人业绩(4分)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7CEEE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自2022年1月1日（以签合同时间为准）以来，承建过与本项目类似业绩合同每提供一个得2分，本项最高得4分（以上响应文件中应同时提供中标（成交）通知书、合同（合同主要内容、标的、数量、金额等需清晰可见）和验收合格资料）。</w:t>
            </w:r>
          </w:p>
        </w:tc>
      </w:tr>
      <w:tr w14:paraId="0A56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3816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0F44D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投标人评价（14分）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024C5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.投标人同时具有ISO9001（质量管理体系认证）、ISO45001（职业健康安全管理体系认证）、ISO27001（信息安全管理体系认证）、ISO14001（环境管理系统认证）认证证书、ISO20000IT服务管理体系认证证书得5分，每少一个扣1分；</w:t>
            </w:r>
          </w:p>
        </w:tc>
      </w:tr>
      <w:tr w14:paraId="62E1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8427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0BC3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BDA60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2.投标人具有信息技术服务标准（ITSS）运行维护一级资质得2分，其他等级得1分，不提供不得分。</w:t>
            </w:r>
          </w:p>
        </w:tc>
      </w:tr>
      <w:tr w14:paraId="1350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EF22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BCF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88348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3.投标人信息系统建设和服务能力达到良好级及以上(CS5)得3分，基本级（CS4）及以下得1分，不提供不得分。</w:t>
            </w:r>
          </w:p>
        </w:tc>
      </w:tr>
      <w:tr w14:paraId="5F4C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2706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2454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9E55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4.投标人针对本项目拟派项目经理具备一级注册建造师（机电或通信与广电专业），提供证书原件扫描件。得2分，具备高级工程师得的2分。（拟派项目经理人员需提供劳动合同、2025年任意连续三个月工资银行发放流水）</w:t>
            </w:r>
          </w:p>
        </w:tc>
      </w:tr>
      <w:tr w14:paraId="5812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CBC42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项目实施与售后（17分）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D3D7D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实施组织计划(6分)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63EFE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评委根据施工组织方案的合理性、可行性、对不可预见因素的预测、组织机构人员配置、管理层素质、协调能力和安装调试、实施步骤、进度安排、质量保证措施、文明安全生产措施等综合评价。</w:t>
            </w:r>
          </w:p>
          <w:p w14:paraId="3DC3A640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以上内容完整、合理、可行性高的得6分；</w:t>
            </w:r>
          </w:p>
          <w:p w14:paraId="4800B841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以上内容较完整、较为合理、可行性较高的得4分；</w:t>
            </w:r>
          </w:p>
          <w:p w14:paraId="3CB7D6C7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以上内容不完整、不太合理、缺乏可行性的得2分；</w:t>
            </w:r>
          </w:p>
          <w:p w14:paraId="6AE622BB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未提供的得0分。本项最高得6分。</w:t>
            </w:r>
          </w:p>
        </w:tc>
      </w:tr>
      <w:tr w14:paraId="46DD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E929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2333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技术培训方案（3分）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CE246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根据方案内容的完整性、可行性进行评价。</w:t>
            </w:r>
          </w:p>
          <w:p w14:paraId="2DA1DC77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内容完整、可行性高的得3分；</w:t>
            </w:r>
          </w:p>
          <w:p w14:paraId="6C6104EE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内容完整、可行性较高的得2分；</w:t>
            </w:r>
          </w:p>
          <w:p w14:paraId="0EAE21C5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内容不完整、缺乏可行性得1分；</w:t>
            </w:r>
          </w:p>
          <w:p w14:paraId="14432A2F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未提供的得0分。本项最高得3分。</w:t>
            </w:r>
          </w:p>
        </w:tc>
      </w:tr>
      <w:tr w14:paraId="3C70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539F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2B4E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售后服务方案（8分）</w:t>
            </w:r>
          </w:p>
        </w:tc>
        <w:tc>
          <w:tcPr>
            <w:tcW w:w="3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39F8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根据各供应商提供的服务保障体系和维护响应计划，考察是否包括持续服务保障措施、质保期、服务内容、人员配置、备份备件、响应时间和响应方式、各项优惠承诺等，由专家小组在各供应商之间进行横向比较评审分档给分，优者得</w:t>
            </w: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分，良好者得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分，一般者得</w:t>
            </w: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</w:rPr>
              <w:t>分，差者不得分。</w:t>
            </w:r>
          </w:p>
          <w:p w14:paraId="5DA86405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为更好的提供售后服务，投标人应具备</w:t>
            </w:r>
            <w:r>
              <w:rPr>
                <w:rFonts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小时故障响应能力，且应于</w:t>
            </w:r>
            <w:r>
              <w:rPr>
                <w:rFonts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</w:rPr>
              <w:t>小时内完成故障处理；完全响应得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分；不完全响应或不响应不得分。（提供相关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</w:rPr>
              <w:t>，格式自拟。）</w:t>
            </w:r>
          </w:p>
        </w:tc>
      </w:tr>
    </w:tbl>
    <w:p w14:paraId="62D915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C4734A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现更正为：</w:t>
      </w:r>
    </w:p>
    <w:tbl>
      <w:tblPr>
        <w:tblStyle w:val="12"/>
        <w:tblW w:w="49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07"/>
        <w:gridCol w:w="7081"/>
      </w:tblGrid>
      <w:tr w14:paraId="7000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3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评分内容</w:t>
            </w:r>
          </w:p>
        </w:tc>
        <w:tc>
          <w:tcPr>
            <w:tcW w:w="4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D6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 xml:space="preserve">评 分 细 则 </w:t>
            </w:r>
          </w:p>
        </w:tc>
      </w:tr>
      <w:tr w14:paraId="2CF0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9A4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价格（30分）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F195">
            <w:pPr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价格</w:t>
            </w:r>
          </w:p>
          <w:p w14:paraId="354A9A8D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（30分）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F50E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满足招标文件全部实质性要求且价格最低的投标报价为评标基准价，其价格分为满分；其他投标人的价格分按照下列公式计算：投标报价得分=(评标基准价／投标报价) *30，（计算结果保留小数后2位）。</w:t>
            </w:r>
          </w:p>
        </w:tc>
      </w:tr>
      <w:tr w14:paraId="0FDD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7F88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color w:val="auto"/>
                <w:lang w:eastAsia="zh-CN"/>
              </w:rPr>
              <w:t>（40分）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031F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规格参数</w:t>
            </w:r>
            <w:r>
              <w:rPr>
                <w:rFonts w:hint="eastAsia" w:ascii="宋体" w:hAnsi="宋体" w:eastAsia="宋体" w:cs="宋体"/>
                <w:b/>
                <w:color w:val="auto"/>
                <w:shd w:val="clear" w:color="auto" w:fill="FFFFFF" w:themeFill="background1"/>
                <w:lang w:eastAsia="zh-CN"/>
              </w:rPr>
              <w:t>（40分）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761C">
            <w:pPr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供应商所投产品技术参数与招标文件 “技术参数”中标注“</w:t>
            </w:r>
            <w:r>
              <w:rPr>
                <w:rFonts w:hint="eastAsia"/>
                <w:color w:val="auto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”技术参数要求相比较，以</w:t>
            </w:r>
            <w:r>
              <w:rPr>
                <w:rFonts w:hint="eastAsia" w:ascii="宋体" w:hAnsi="宋体" w:eastAsia="宋体" w:cs="宋体"/>
                <w:b/>
                <w:color w:val="auto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分为基数，加“</w:t>
            </w:r>
            <w:r>
              <w:rPr>
                <w:rFonts w:hint="eastAsia"/>
                <w:color w:val="auto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”项每有一项负偏离扣1分，扣完为止。未标注的为普通参数，每有一项参数负偏离的扣0.5分，扣完为止。</w:t>
            </w:r>
          </w:p>
        </w:tc>
      </w:tr>
      <w:tr w14:paraId="4570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BAF1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b/>
                <w:color w:val="auto"/>
                <w:lang w:eastAsia="zh-CN"/>
              </w:rPr>
              <w:t>（13分）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8EDC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投标人业绩(4分)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D7AE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自2022年1月1日（以签合同时间为准）以来，承建过与本项目类似业绩合同每提供一个得2分，本项最高得4分（以上响应文件中应同时提供中标（成交）通知书、合同（合同主要内容、标的、数量、金额等需清晰可见）和验收合格资料）。</w:t>
            </w:r>
          </w:p>
        </w:tc>
      </w:tr>
      <w:tr w14:paraId="3342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C2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322E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投标人评价</w:t>
            </w:r>
            <w:r>
              <w:rPr>
                <w:rFonts w:hint="eastAsia" w:ascii="宋体" w:hAnsi="宋体" w:eastAsia="宋体" w:cs="宋体"/>
                <w:b/>
                <w:color w:val="auto"/>
                <w:lang w:eastAsia="zh-CN"/>
              </w:rPr>
              <w:t>（9分）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E4FF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.投标人同时具有ISO9001（质量管理体系认证）、ISO45001（职业健康安全管理体系认证）、ISO27001（信息安全管理体系认证）、ISO14001（环境管理系统认证）认证证书、ISO20000IT服务管理体系认证证书得5分，每少一个扣1分；</w:t>
            </w:r>
          </w:p>
        </w:tc>
      </w:tr>
      <w:tr w14:paraId="0104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1042"/>
        </w:tc>
        <w:tc>
          <w:tcPr>
            <w:tcW w:w="7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52C9"/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CD6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.投标人针对本项目拟派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项目组人员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具备一级注册建造师（机电或通信与广电专业），提供证书原件扫描件。得2分，具备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eastAsia="zh-CN"/>
              </w:rPr>
              <w:t>中级工程师得的2分。（拟派项目组人员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需提供劳动合同、2025年任意连续三个月工资银行发放流水）</w:t>
            </w:r>
          </w:p>
        </w:tc>
      </w:tr>
      <w:tr w14:paraId="5B81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8129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项目实施与售后（17分）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AD6D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实施组织计划(6分)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8408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评委根据施工组织方案的合理性、可行性、对不可预见因素的预测、组织机构人员配置、管理层素质、协调能力和安装调试、实施步骤、进度安排、质量保证措施、文明安全生产措施等综合评价。</w:t>
            </w:r>
          </w:p>
          <w:p w14:paraId="4A7E5CB9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以上内容完整、合理、可行性高的得6分；</w:t>
            </w:r>
          </w:p>
          <w:p w14:paraId="0D31DE28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以上内容较完整、较为合理、可行性较高的得4分；</w:t>
            </w:r>
          </w:p>
          <w:p w14:paraId="200216A0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以上内容不完整、不太合理、缺乏可行性的得2分；</w:t>
            </w:r>
          </w:p>
          <w:p w14:paraId="23E87701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未提供的得0分。本项最高得6分。</w:t>
            </w:r>
          </w:p>
        </w:tc>
      </w:tr>
      <w:tr w14:paraId="5CA9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6F2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2604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技术培训方案（3分）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E7FC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根据方案内容的完整性、可行性进行评价。</w:t>
            </w:r>
          </w:p>
          <w:p w14:paraId="40940162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内容完整、可行性高的得3分；</w:t>
            </w:r>
          </w:p>
          <w:p w14:paraId="1BCB21CE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内容完整、可行性较高的得2分；</w:t>
            </w:r>
          </w:p>
          <w:p w14:paraId="334DC279">
            <w:pPr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内容不完整、缺乏可行性得1分；</w:t>
            </w:r>
          </w:p>
          <w:p w14:paraId="6BC4D3AE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未提供的得0分。本项最高得3分。</w:t>
            </w:r>
          </w:p>
        </w:tc>
      </w:tr>
      <w:tr w14:paraId="2AD81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BAD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CE5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售后服务方案（8分）</w:t>
            </w:r>
          </w:p>
        </w:tc>
        <w:tc>
          <w:tcPr>
            <w:tcW w:w="3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AA6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根据各供应商提供的服务保障体系和维护响应计划，考察是否包括持续服务保障措施、质保期、服务内容、人员配置、备份备件、响应时间和响应方式、各项优惠承诺等，由专家小组在各供应商之间进行横向比较评审分档给分，优者得</w:t>
            </w: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分，良好者得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分，一般者得</w:t>
            </w: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</w:rPr>
              <w:t>分，差者不得分。</w:t>
            </w:r>
          </w:p>
          <w:p w14:paraId="76F30FD4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为更好的提供售后服务，投标人应具备</w:t>
            </w:r>
            <w:r>
              <w:rPr>
                <w:rFonts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小时故障响应能力，且应于</w:t>
            </w:r>
            <w:r>
              <w:rPr>
                <w:rFonts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</w:rPr>
              <w:t>小时内完成故障处理；完全响应得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分；不完全响应或不响应不得分。（提供相关</w:t>
            </w:r>
            <w:r>
              <w:rPr>
                <w:rFonts w:hint="eastAsia" w:ascii="宋体" w:hAnsi="宋体" w:eastAsia="宋体" w:cs="宋体"/>
                <w:lang w:eastAsia="zh-CN"/>
              </w:rPr>
              <w:t>证明材料</w:t>
            </w:r>
            <w:r>
              <w:rPr>
                <w:rFonts w:hint="eastAsia" w:ascii="宋体" w:hAnsi="宋体" w:eastAsia="宋体" w:cs="宋体"/>
              </w:rPr>
              <w:t>，格式自拟。）</w:t>
            </w:r>
          </w:p>
        </w:tc>
      </w:tr>
    </w:tbl>
    <w:p w14:paraId="1EA7245A">
      <w:pPr>
        <w:pStyle w:val="5"/>
        <w:ind w:left="0" w:firstLine="0"/>
        <w:rPr>
          <w:rFonts w:hint="eastAsia"/>
          <w:lang w:val="en-US" w:eastAsia="zh-CN"/>
        </w:rPr>
      </w:pPr>
    </w:p>
    <w:p w14:paraId="1B3B373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1821279D">
      <w:pPr>
        <w:pStyle w:val="28"/>
        <w:numPr>
          <w:ilvl w:val="0"/>
          <w:numId w:val="1"/>
        </w:numPr>
        <w:spacing w:line="440" w:lineRule="exact"/>
        <w:outlineLvl w:val="1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原招标文件《第六章》 采购需求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cs="宋体"/>
          <w:b/>
          <w:bCs/>
          <w:sz w:val="24"/>
        </w:rPr>
        <w:t>采购清单及技术参数要求（未按照招标文件要求提供证明材料的视为负偏离，按扣分处理）</w:t>
      </w:r>
    </w:p>
    <w:p w14:paraId="456E40CB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/>
          <w:sz w:val="28"/>
          <w:szCs w:val="28"/>
        </w:rPr>
        <w:t>机房工程</w:t>
      </w: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04"/>
        <w:gridCol w:w="7827"/>
      </w:tblGrid>
      <w:tr w14:paraId="4A72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57FE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C0D63">
            <w:pPr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UPS主机</w:t>
            </w:r>
          </w:p>
        </w:tc>
        <w:tc>
          <w:tcPr>
            <w:tcW w:w="3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163C20">
            <w:pP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（1）UPS主机容量需为10kVA，单进单出在线式产品，支持110-288VAC,50/60Hz电网体系，输入频率适应范围40～70Hz，提供最佳的供电质量与负载保护。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（2）输出功率因数1（需提供第三方检测报告证明）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（3）输出电压可设置200VAC/208VAC/220VAC/230VAC/240VAC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（4）超强的负载适应性，超强的过载与短路能力。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（5）LED+LCD蓝底大液晶显示屏，方便操作。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（6）采用三电平逆变器，可适应各种半波负载，整机效率不低于95%。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（7）超宽输入电压与频率范围，适应恶劣电网环境，适应各种燃油发电机接入。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（8）提供浪涌保护功能，同时做了电磁传导和电磁辐射处理，减少UPS对电网中其它敏感设备的影响。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（9）所有电路板均需要采用三防工艺。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（10）电池组节数可进行16～24节设置，便于未来遭遇个别电池故障需要维护、更换时,可灵活调节电池节数的需要。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yellow"/>
                <w:shd w:val="clear" w:color="auto" w:fill="FF0000"/>
              </w:rPr>
              <w:t>（需提供设置界面截图）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（11）可支持并机数量不少于4台。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（12）误操作保护功能，如果UPS工作在逆变状态下，此时如果误将手动旁路闭合或静态旁路短路，将会有反灌电流冲击逆变器损坏逆变器，UPS要求在这种情况下保护逆变器不受损坏。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（13）具备自主老化模式即可进行系统满载测试，省去租用负载箱等。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（14）提供投标UPS产品的“中国节能产品认证证书”复印件、“泰尔产品认证证书”复印件、“CE认证证书”、“泰尔产品认证检测报告”复印件。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（15）提供投标产品厂商同品牌实验室CNAS证书、BSI证书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54B6CD03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现更正为</w:t>
      </w: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04"/>
        <w:gridCol w:w="7827"/>
      </w:tblGrid>
      <w:tr w14:paraId="6F2B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7630C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859FC">
            <w:pPr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UPS主机</w:t>
            </w:r>
          </w:p>
        </w:tc>
        <w:tc>
          <w:tcPr>
            <w:tcW w:w="3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2D378">
            <w:pP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（1）UPS主机容量需为10kVA，单进单出在线式产品，支持110-288VAC,50/60Hz电网体系，输入频率适应范围40～70Hz，提供最佳的供电质量与负载保护。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）输出电压可设置200VAC/208VAC/220VAC/230VAC/240VAC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）超强的负载适应性，超强的过载与短路能力。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）LED+LCD蓝底大液晶显示屏，方便操作。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）采用三电平逆变器，可适应各种半波负载，整机效率不低于95%。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）超宽输入电压与频率范围，适应恶劣电网环境，适应各种燃油发电机接入。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）提供浪涌保护功能，同时做了电磁传导和电磁辐射处理，减少UPS对电网中其它敏感设备的影响。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）所有电路板均需要采用三防工艺。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）电池组节数可进行16～24节设置，便于未来遭遇个别电池故障需要维护、更换时,可灵活调节电池节数的需要。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yellow"/>
                <w:shd w:val="clear" w:color="auto" w:fill="FF0000"/>
              </w:rPr>
              <w:t>（需提供设置界面截图）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）可支持并机数量不少于4台。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）误操作保护功能，如果UPS工作在逆变状态下，此时如果误将手动旁路闭合或静态旁路短路，将会有反灌电流冲击逆变器损坏逆变器，UPS要求在这种情况下保护逆变器不受损坏。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）具备自主老化模式即可进行系统满载测试，省去租用负载箱等。</w:t>
            </w:r>
          </w:p>
        </w:tc>
      </w:tr>
    </w:tbl>
    <w:p w14:paraId="40D9509B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06049DF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41355988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32508A26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徐州国衡项目管理有限公司</w:t>
      </w:r>
    </w:p>
    <w:p w14:paraId="113D485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3A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B2694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2694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02D7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32A85"/>
    <w:multiLevelType w:val="multilevel"/>
    <w:tmpl w:val="2B232A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890DB4"/>
    <w:rsid w:val="02922C89"/>
    <w:rsid w:val="02C815AA"/>
    <w:rsid w:val="02E33AD9"/>
    <w:rsid w:val="05827816"/>
    <w:rsid w:val="0823558D"/>
    <w:rsid w:val="09AC7472"/>
    <w:rsid w:val="0A3463D4"/>
    <w:rsid w:val="0C7404DD"/>
    <w:rsid w:val="0C782C2D"/>
    <w:rsid w:val="0C9E2834"/>
    <w:rsid w:val="0D6F1AE7"/>
    <w:rsid w:val="0F3E749B"/>
    <w:rsid w:val="104355C3"/>
    <w:rsid w:val="10DC0B00"/>
    <w:rsid w:val="10E9332B"/>
    <w:rsid w:val="14DD282F"/>
    <w:rsid w:val="15C1659B"/>
    <w:rsid w:val="167F6766"/>
    <w:rsid w:val="16DD5577"/>
    <w:rsid w:val="18607FBE"/>
    <w:rsid w:val="1B401D9B"/>
    <w:rsid w:val="1B902687"/>
    <w:rsid w:val="1C2A74FC"/>
    <w:rsid w:val="1D954D97"/>
    <w:rsid w:val="1FB679B5"/>
    <w:rsid w:val="2086330A"/>
    <w:rsid w:val="24441E6F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DC2444"/>
    <w:rsid w:val="2AEB79C7"/>
    <w:rsid w:val="2C1F0678"/>
    <w:rsid w:val="2DAB3E52"/>
    <w:rsid w:val="2EC67A09"/>
    <w:rsid w:val="301756A9"/>
    <w:rsid w:val="30B10190"/>
    <w:rsid w:val="310C3314"/>
    <w:rsid w:val="320F30FF"/>
    <w:rsid w:val="340D657C"/>
    <w:rsid w:val="34583667"/>
    <w:rsid w:val="352F2468"/>
    <w:rsid w:val="37533878"/>
    <w:rsid w:val="375872F6"/>
    <w:rsid w:val="389E4603"/>
    <w:rsid w:val="39333B77"/>
    <w:rsid w:val="3B5D41C1"/>
    <w:rsid w:val="3C427E66"/>
    <w:rsid w:val="3C4B3356"/>
    <w:rsid w:val="3D886646"/>
    <w:rsid w:val="3F3B78C9"/>
    <w:rsid w:val="3F632CDC"/>
    <w:rsid w:val="3F780536"/>
    <w:rsid w:val="3FFB2F15"/>
    <w:rsid w:val="405853AC"/>
    <w:rsid w:val="415A622B"/>
    <w:rsid w:val="432133A9"/>
    <w:rsid w:val="438B4F0F"/>
    <w:rsid w:val="458B228A"/>
    <w:rsid w:val="458E3E27"/>
    <w:rsid w:val="45BD631A"/>
    <w:rsid w:val="45F63CA4"/>
    <w:rsid w:val="463F5DC1"/>
    <w:rsid w:val="47330752"/>
    <w:rsid w:val="487603F4"/>
    <w:rsid w:val="48ED443A"/>
    <w:rsid w:val="49745C74"/>
    <w:rsid w:val="49F52C08"/>
    <w:rsid w:val="4A1B48DF"/>
    <w:rsid w:val="4CDE2884"/>
    <w:rsid w:val="4D04165B"/>
    <w:rsid w:val="4DBD2CCC"/>
    <w:rsid w:val="4EDB288F"/>
    <w:rsid w:val="52750C27"/>
    <w:rsid w:val="541A750C"/>
    <w:rsid w:val="546F56A3"/>
    <w:rsid w:val="54AA4E50"/>
    <w:rsid w:val="570771E8"/>
    <w:rsid w:val="57245669"/>
    <w:rsid w:val="577506D9"/>
    <w:rsid w:val="57E163A1"/>
    <w:rsid w:val="58310F22"/>
    <w:rsid w:val="58571BAD"/>
    <w:rsid w:val="5BFB5BBB"/>
    <w:rsid w:val="5E2A221D"/>
    <w:rsid w:val="5F2A1314"/>
    <w:rsid w:val="5FE0381B"/>
    <w:rsid w:val="60716BAF"/>
    <w:rsid w:val="61CA01FE"/>
    <w:rsid w:val="636C0CA7"/>
    <w:rsid w:val="64B474FA"/>
    <w:rsid w:val="66D64666"/>
    <w:rsid w:val="67A13823"/>
    <w:rsid w:val="686B482C"/>
    <w:rsid w:val="69FF6FDA"/>
    <w:rsid w:val="6B414B62"/>
    <w:rsid w:val="6BDB45CA"/>
    <w:rsid w:val="6C0450F6"/>
    <w:rsid w:val="6F1409C0"/>
    <w:rsid w:val="70141C02"/>
    <w:rsid w:val="703916D6"/>
    <w:rsid w:val="70ED51C6"/>
    <w:rsid w:val="72396FDF"/>
    <w:rsid w:val="739C1D3D"/>
    <w:rsid w:val="73F65774"/>
    <w:rsid w:val="746C0AE1"/>
    <w:rsid w:val="75B919C4"/>
    <w:rsid w:val="77456248"/>
    <w:rsid w:val="7807098E"/>
    <w:rsid w:val="790F4B68"/>
    <w:rsid w:val="7995307C"/>
    <w:rsid w:val="7AE26EB5"/>
    <w:rsid w:val="7B4F32C3"/>
    <w:rsid w:val="7C5F1B5A"/>
    <w:rsid w:val="7D4B76B4"/>
    <w:rsid w:val="7D915A70"/>
    <w:rsid w:val="7EA146AC"/>
    <w:rsid w:val="7EED78F1"/>
    <w:rsid w:val="7F1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5">
    <w:name w:val="Body Text Indent"/>
    <w:basedOn w:val="1"/>
    <w:next w:val="6"/>
    <w:qFormat/>
    <w:uiPriority w:val="0"/>
    <w:pPr>
      <w:widowControl w:val="0"/>
      <w:spacing w:after="120" w:line="240" w:lineRule="auto"/>
      <w:ind w:left="420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6">
    <w:name w:val="envelope return"/>
    <w:basedOn w:val="1"/>
    <w:qFormat/>
    <w:uiPriority w:val="99"/>
    <w:rPr>
      <w:rFonts w:ascii="Arial" w:hAnsi="Arial" w:cs="Arial"/>
    </w:rPr>
  </w:style>
  <w:style w:type="paragraph" w:styleId="7">
    <w:name w:val="Block Text"/>
    <w:basedOn w:val="1"/>
    <w:next w:val="1"/>
    <w:qFormat/>
    <w:uiPriority w:val="0"/>
    <w:pPr>
      <w:spacing w:after="120"/>
      <w:ind w:left="14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文本113"/>
    <w:next w:val="1"/>
    <w:qFormat/>
    <w:uiPriority w:val="0"/>
    <w:pPr>
      <w:widowControl w:val="0"/>
      <w:spacing w:after="1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目录 111"/>
    <w:basedOn w:val="17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9">
    <w:name w:val="脚注文本11"/>
    <w:basedOn w:val="1"/>
    <w:next w:val="20"/>
    <w:unhideWhenUsed/>
    <w:qFormat/>
    <w:uiPriority w:val="0"/>
    <w:pPr>
      <w:spacing w:after="40"/>
    </w:pPr>
    <w:rPr>
      <w:sz w:val="18"/>
    </w:rPr>
  </w:style>
  <w:style w:type="paragraph" w:customStyle="1" w:styleId="20">
    <w:name w:val="索引 511"/>
    <w:basedOn w:val="1"/>
    <w:next w:val="17"/>
    <w:qFormat/>
    <w:uiPriority w:val="0"/>
    <w:pPr>
      <w:ind w:left="798"/>
    </w:pPr>
  </w:style>
  <w:style w:type="paragraph" w:customStyle="1" w:styleId="21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2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4">
    <w:name w:val="页码1"/>
    <w:basedOn w:val="2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unhideWhenUsed/>
    <w:qFormat/>
    <w:uiPriority w:val="1"/>
  </w:style>
  <w:style w:type="character" w:customStyle="1" w:styleId="26">
    <w:name w:val="标题 1 Char"/>
    <w:link w:val="27"/>
    <w:qFormat/>
    <w:uiPriority w:val="0"/>
    <w:rPr>
      <w:rFonts w:eastAsia="新宋体"/>
      <w:b/>
      <w:bCs/>
      <w:sz w:val="30"/>
      <w:szCs w:val="44"/>
    </w:rPr>
  </w:style>
  <w:style w:type="paragraph" w:customStyle="1" w:styleId="27">
    <w:name w:val="标题 11"/>
    <w:basedOn w:val="28"/>
    <w:next w:val="28"/>
    <w:link w:val="26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8">
    <w:name w:val="正文1"/>
    <w:basedOn w:val="17"/>
    <w:next w:val="29"/>
    <w:qFormat/>
    <w:uiPriority w:val="0"/>
  </w:style>
  <w:style w:type="paragraph" w:customStyle="1" w:styleId="29">
    <w:name w:val="正文文本1"/>
    <w:basedOn w:val="30"/>
    <w:next w:val="32"/>
    <w:qFormat/>
    <w:uiPriority w:val="0"/>
    <w:pPr>
      <w:spacing w:after="120"/>
    </w:pPr>
    <w:rPr>
      <w:rFonts w:ascii="Calibri" w:hAnsi="Calibri"/>
      <w:lang w:eastAsia="en-US"/>
    </w:rPr>
  </w:style>
  <w:style w:type="paragraph" w:customStyle="1" w:styleId="30">
    <w:name w:val="正文11"/>
    <w:next w:val="3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1">
    <w:name w:val="目录 11"/>
    <w:basedOn w:val="1"/>
    <w:next w:val="17"/>
    <w:unhideWhenUsed/>
    <w:qFormat/>
    <w:uiPriority w:val="39"/>
    <w:pPr>
      <w:spacing w:after="57"/>
      <w:ind w:left="0" w:right="0" w:firstLine="0"/>
    </w:pPr>
  </w:style>
  <w:style w:type="paragraph" w:customStyle="1" w:styleId="32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">
    <w:name w:val="文本块1"/>
    <w:next w:val="34"/>
    <w:qFormat/>
    <w:uiPriority w:val="0"/>
    <w:pPr>
      <w:widowControl w:val="0"/>
      <w:spacing w:after="120"/>
      <w:ind w:left="1440" w:right="144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4">
    <w:name w:val="标题 41"/>
    <w:next w:val="30"/>
    <w:qFormat/>
    <w:uiPriority w:val="0"/>
    <w:pPr>
      <w:keepNext/>
      <w:keepLines/>
      <w:widowControl w:val="0"/>
      <w:spacing w:before="280" w:after="290" w:line="376" w:lineRule="auto"/>
      <w:ind w:firstLine="723"/>
      <w:jc w:val="both"/>
      <w:outlineLvl w:val="3"/>
    </w:pPr>
    <w:rPr>
      <w:rFonts w:hint="default" w:ascii="Cambria" w:hAnsi="Cambria" w:eastAsia="宋体" w:cs="Times New Roman"/>
      <w:b/>
      <w:bCs/>
      <w:sz w:val="28"/>
      <w:szCs w:val="28"/>
      <w:lang w:val="en-US" w:eastAsia="zh-CN" w:bidi="ar-SA"/>
    </w:rPr>
  </w:style>
  <w:style w:type="paragraph" w:customStyle="1" w:styleId="35">
    <w:name w:val="脚注文本1"/>
    <w:next w:val="36"/>
    <w:qFormat/>
    <w:uiPriority w:val="0"/>
    <w:pPr>
      <w:widowControl w:val="0"/>
      <w:jc w:val="left"/>
    </w:pPr>
    <w:rPr>
      <w:rFonts w:hint="default" w:ascii="宋体" w:hAnsi="Times New Roman" w:eastAsia="Times New Roman" w:cs="Times New Roman"/>
      <w:sz w:val="18"/>
      <w:szCs w:val="18"/>
      <w:lang w:val="en-US" w:eastAsia="zh-CN" w:bidi="ar-SA"/>
    </w:rPr>
  </w:style>
  <w:style w:type="paragraph" w:customStyle="1" w:styleId="36">
    <w:name w:val="索引 51"/>
    <w:next w:val="28"/>
    <w:qFormat/>
    <w:uiPriority w:val="0"/>
    <w:pPr>
      <w:widowControl w:val="0"/>
      <w:ind w:left="798"/>
      <w:jc w:val="left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7">
    <w:name w:val="正文12"/>
    <w:next w:val="38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正文文本111"/>
    <w:next w:val="3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Footer1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1374</Words>
  <Characters>1485</Characters>
  <Lines>0</Lines>
  <Paragraphs>0</Paragraphs>
  <TotalTime>2</TotalTime>
  <ScaleCrop>false</ScaleCrop>
  <LinksUpToDate>false</LinksUpToDate>
  <CharactersWithSpaces>1502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WPS_1527994771</cp:lastModifiedBy>
  <dcterms:modified xsi:type="dcterms:W3CDTF">2025-12-02T02:48:12Z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7CB7F978A99445CE85CB969DA12A11CC_13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