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20CAB">
      <w:pPr>
        <w:autoSpaceDE/>
        <w:autoSpaceDN/>
        <w:snapToGrid/>
        <w:spacing w:before="0" w:after="0" w:line="240" w:lineRule="auto"/>
        <w:ind w:left="0" w:firstLine="0"/>
        <w:jc w:val="center"/>
        <w:rPr>
          <w:rFonts w:hint="eastAsia" w:ascii="Times New Roman" w:hAnsi="Times New Roman" w:eastAsia="宋体"/>
          <w:b/>
          <w:w w:val="100"/>
          <w:sz w:val="52"/>
          <w:lang w:eastAsia="zh-CN"/>
        </w:rPr>
      </w:pPr>
      <w:r>
        <w:rPr>
          <w:rFonts w:hint="eastAsia" w:ascii="Times New Roman" w:hAnsi="Times New Roman" w:eastAsia="宋体"/>
          <w:b/>
          <w:w w:val="100"/>
          <w:sz w:val="52"/>
          <w:lang w:eastAsia="zh-CN"/>
        </w:rPr>
        <w:t>总  说  明</w:t>
      </w:r>
    </w:p>
    <w:p w14:paraId="35283666">
      <w:pPr>
        <w:widowControl/>
        <w:autoSpaceDE/>
        <w:autoSpaceDN/>
        <w:snapToGrid/>
        <w:spacing w:before="0" w:after="0" w:line="240" w:lineRule="auto"/>
        <w:ind w:left="0" w:firstLine="0"/>
        <w:jc w:val="left"/>
        <w:rPr>
          <w:rFonts w:hint="eastAsia" w:ascii="Times New Roman" w:hAnsi="Times New Roman" w:eastAsia="宋体"/>
          <w:w w:val="100"/>
          <w:sz w:val="30"/>
          <w:lang w:val="en-US" w:eastAsia="zh-CN"/>
        </w:rPr>
      </w:pPr>
      <w:r>
        <w:rPr>
          <w:rFonts w:hint="eastAsia" w:ascii="Times New Roman" w:hAnsi="Times New Roman" w:eastAsia="宋体"/>
          <w:w w:val="100"/>
          <w:sz w:val="30"/>
          <w:lang w:eastAsia="zh-CN"/>
        </w:rPr>
        <w:t>工程名称：双沟镇爱民路（104国道—新华路）建设工程</w:t>
      </w:r>
    </w:p>
    <w:tbl>
      <w:tblPr>
        <w:tblStyle w:val="2"/>
        <w:tblW w:w="0" w:type="auto"/>
        <w:tblInd w:w="108" w:type="dxa"/>
        <w:tblLayout w:type="fixed"/>
        <w:tblCellMar>
          <w:top w:w="0" w:type="dxa"/>
          <w:left w:w="0" w:type="dxa"/>
          <w:bottom w:w="0" w:type="dxa"/>
          <w:right w:w="0" w:type="dxa"/>
        </w:tblCellMar>
      </w:tblPr>
      <w:tblGrid>
        <w:gridCol w:w="9540"/>
      </w:tblGrid>
      <w:tr w14:paraId="6B96B027">
        <w:tblPrEx>
          <w:tblCellMar>
            <w:top w:w="0" w:type="dxa"/>
            <w:left w:w="0" w:type="dxa"/>
            <w:bottom w:w="0" w:type="dxa"/>
            <w:right w:w="0" w:type="dxa"/>
          </w:tblCellMar>
        </w:tblPrEx>
        <w:trPr>
          <w:trHeight w:val="6141" w:hRule="atLeast"/>
        </w:trPr>
        <w:tc>
          <w:tcPr>
            <w:tcW w:w="95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5FE1227">
            <w:pPr>
              <w:autoSpaceDE/>
              <w:autoSpaceDN/>
              <w:snapToGrid/>
              <w:spacing w:before="0" w:after="0" w:line="240" w:lineRule="auto"/>
              <w:ind w:left="0" w:firstLine="0"/>
              <w:jc w:val="both"/>
              <w:rPr>
                <w:rFonts w:hint="eastAsia" w:ascii="Times New Roman" w:hAnsi="Times New Roman" w:eastAsia="宋体"/>
                <w:w w:val="100"/>
                <w:sz w:val="30"/>
                <w:lang w:eastAsia="zh-CN"/>
              </w:rPr>
            </w:pPr>
            <w:r>
              <w:rPr>
                <w:rFonts w:hint="eastAsia" w:ascii="Times New Roman" w:hAnsi="Times New Roman" w:eastAsia="宋体"/>
                <w:w w:val="100"/>
                <w:sz w:val="30"/>
                <w:lang w:eastAsia="zh-CN"/>
              </w:rPr>
              <w:t>工程概况：双沟镇爱民路（104国道—新华路）建设工程）</w:t>
            </w:r>
          </w:p>
          <w:p w14:paraId="0CC6C659">
            <w:pPr>
              <w:autoSpaceDE/>
              <w:autoSpaceDN/>
              <w:snapToGrid/>
              <w:spacing w:before="0" w:after="0" w:line="240" w:lineRule="auto"/>
              <w:ind w:left="0" w:firstLine="0"/>
              <w:jc w:val="both"/>
              <w:rPr>
                <w:rFonts w:hint="eastAsia" w:ascii="Times New Roman" w:hAnsi="Times New Roman" w:eastAsia="宋体"/>
                <w:w w:val="100"/>
                <w:sz w:val="30"/>
                <w:lang w:eastAsia="zh-CN"/>
              </w:rPr>
            </w:pPr>
            <w:r>
              <w:rPr>
                <w:rFonts w:hint="eastAsia" w:ascii="Times New Roman" w:hAnsi="Times New Roman" w:eastAsia="宋体"/>
                <w:w w:val="100"/>
                <w:sz w:val="30"/>
                <w:lang w:eastAsia="zh-CN"/>
              </w:rPr>
              <w:t>1、工程概算范围：图纸</w:t>
            </w:r>
            <w:r>
              <w:rPr>
                <w:rFonts w:hint="eastAsia" w:ascii="Times New Roman" w:hAnsi="Times New Roman" w:eastAsia="宋体"/>
                <w:w w:val="100"/>
                <w:sz w:val="30"/>
                <w:lang w:val="en-US" w:eastAsia="zh-CN"/>
              </w:rPr>
              <w:t>所示</w:t>
            </w:r>
            <w:r>
              <w:rPr>
                <w:rFonts w:hint="eastAsia" w:ascii="Times New Roman" w:hAnsi="Times New Roman" w:eastAsia="宋体"/>
                <w:w w:val="100"/>
                <w:sz w:val="30"/>
                <w:lang w:eastAsia="zh-CN"/>
              </w:rPr>
              <w:t>及工程量清单所包含的全部内容。</w:t>
            </w:r>
          </w:p>
          <w:p w14:paraId="16BCCAC8">
            <w:pPr>
              <w:widowControl/>
              <w:autoSpaceDE/>
              <w:autoSpaceDN/>
              <w:snapToGrid/>
              <w:spacing w:before="0" w:after="0" w:line="240" w:lineRule="auto"/>
              <w:ind w:left="0" w:firstLine="0"/>
              <w:jc w:val="left"/>
              <w:rPr>
                <w:rFonts w:hint="eastAsia" w:ascii="Times New Roman" w:hAnsi="Times New Roman" w:eastAsia="宋体"/>
                <w:w w:val="100"/>
                <w:sz w:val="30"/>
                <w:lang w:eastAsia="zh-CN"/>
              </w:rPr>
            </w:pPr>
            <w:r>
              <w:rPr>
                <w:rFonts w:hint="eastAsia" w:ascii="Times New Roman" w:hAnsi="Times New Roman" w:eastAsia="宋体"/>
                <w:w w:val="100"/>
                <w:sz w:val="30"/>
                <w:lang w:eastAsia="zh-CN"/>
              </w:rPr>
              <w:t>工程清单编制依据：图纸、《建设工程工程量清单计价规范》（GB50500-2013）、《建设工程工程量计算规范》(GB50854-2013)、《市政工程工程量计算规范》(GB 50857-2013</w:t>
            </w:r>
            <w:r>
              <w:rPr>
                <w:rFonts w:hint="eastAsia"/>
                <w:w w:val="100"/>
                <w:sz w:val="30"/>
                <w:lang w:eastAsia="zh-CN"/>
              </w:rPr>
              <w:t>、</w:t>
            </w:r>
            <w:r>
              <w:rPr>
                <w:rFonts w:hint="eastAsia" w:ascii="Times New Roman" w:hAnsi="Times New Roman" w:eastAsia="宋体"/>
                <w:w w:val="100"/>
                <w:sz w:val="30"/>
                <w:lang w:eastAsia="zh-CN"/>
              </w:rPr>
              <w:t>《江苏省建筑与装饰工程计价定额》（2014版）、《江苏省安装工程计价定额》（2014版）、《江苏省市政工程计价定额》（2014版）、《江苏省建设工程费用定额》（2014年）营改增等。</w:t>
            </w:r>
          </w:p>
          <w:p w14:paraId="353E08CF">
            <w:pPr>
              <w:autoSpaceDE/>
              <w:autoSpaceDN/>
              <w:snapToGrid/>
              <w:spacing w:before="0" w:after="0" w:line="240" w:lineRule="auto"/>
              <w:ind w:left="0" w:firstLine="0"/>
              <w:jc w:val="both"/>
              <w:rPr>
                <w:rFonts w:hint="default" w:ascii="Times New Roman" w:hAnsi="Times New Roman" w:eastAsia="宋体"/>
                <w:w w:val="100"/>
                <w:sz w:val="30"/>
                <w:lang w:val="en-US" w:eastAsia="zh-CN"/>
              </w:rPr>
            </w:pPr>
            <w:r>
              <w:rPr>
                <w:rFonts w:hint="eastAsia" w:ascii="Times New Roman" w:hAnsi="Times New Roman" w:eastAsia="宋体"/>
                <w:w w:val="100"/>
                <w:sz w:val="30"/>
                <w:lang w:eastAsia="zh-CN"/>
              </w:rPr>
              <w:t>2、工程类别：市政道路三类工程、</w:t>
            </w:r>
            <w:r>
              <w:rPr>
                <w:rFonts w:hint="eastAsia" w:ascii="Times New Roman" w:hAnsi="Times New Roman" w:eastAsia="宋体"/>
                <w:w w:val="100"/>
                <w:sz w:val="30"/>
                <w:lang w:val="en-US" w:eastAsia="zh-CN"/>
              </w:rPr>
              <w:t>大型土石方</w:t>
            </w:r>
            <w:r>
              <w:rPr>
                <w:rFonts w:hint="eastAsia"/>
                <w:w w:val="100"/>
                <w:sz w:val="30"/>
                <w:lang w:eastAsia="zh-CN"/>
              </w:rPr>
              <w:t>、</w:t>
            </w:r>
            <w:r>
              <w:rPr>
                <w:rFonts w:hint="eastAsia"/>
                <w:w w:val="100"/>
                <w:sz w:val="30"/>
                <w:lang w:val="en-US" w:eastAsia="zh-CN"/>
              </w:rPr>
              <w:t>路灯及交通设施工程</w:t>
            </w:r>
          </w:p>
          <w:p w14:paraId="7975B938">
            <w:pPr>
              <w:autoSpaceDE/>
              <w:autoSpaceDN/>
              <w:snapToGrid/>
              <w:spacing w:before="0" w:after="0" w:line="240" w:lineRule="auto"/>
              <w:ind w:left="0" w:firstLine="0"/>
              <w:jc w:val="both"/>
              <w:rPr>
                <w:rFonts w:hint="eastAsia" w:ascii="Times New Roman" w:hAnsi="Times New Roman" w:eastAsia="宋体"/>
                <w:w w:val="100"/>
                <w:sz w:val="30"/>
                <w:lang w:eastAsia="zh-CN"/>
              </w:rPr>
            </w:pPr>
            <w:r>
              <w:rPr>
                <w:rFonts w:hint="eastAsia" w:ascii="Times New Roman" w:hAnsi="Times New Roman" w:eastAsia="宋体"/>
                <w:w w:val="100"/>
                <w:sz w:val="30"/>
                <w:lang w:eastAsia="zh-CN"/>
              </w:rPr>
              <w:t>3、工程质量要求：合格。</w:t>
            </w:r>
          </w:p>
          <w:p w14:paraId="2CE21240">
            <w:pPr>
              <w:autoSpaceDE/>
              <w:autoSpaceDN/>
              <w:snapToGrid/>
              <w:spacing w:before="0" w:after="0" w:line="240" w:lineRule="auto"/>
              <w:ind w:left="0" w:firstLine="0"/>
              <w:jc w:val="both"/>
              <w:rPr>
                <w:rFonts w:hint="eastAsia" w:ascii="Times New Roman" w:hAnsi="Times New Roman" w:eastAsia="宋体"/>
                <w:w w:val="100"/>
                <w:sz w:val="30"/>
                <w:lang w:eastAsia="zh-CN"/>
              </w:rPr>
            </w:pPr>
            <w:r>
              <w:rPr>
                <w:rFonts w:hint="eastAsia" w:ascii="Times New Roman" w:hAnsi="Times New Roman" w:eastAsia="宋体"/>
                <w:w w:val="100"/>
                <w:sz w:val="30"/>
                <w:lang w:eastAsia="zh-CN"/>
              </w:rPr>
              <w:t>4、建筑业增值税计价政策调整详见：苏建函价[2019]178号文。</w:t>
            </w:r>
          </w:p>
          <w:p w14:paraId="454D1697">
            <w:pPr>
              <w:autoSpaceDE/>
              <w:autoSpaceDN/>
              <w:snapToGrid/>
              <w:spacing w:before="0" w:after="0" w:line="240" w:lineRule="auto"/>
              <w:ind w:left="0" w:firstLine="0"/>
              <w:jc w:val="both"/>
              <w:rPr>
                <w:rFonts w:hint="eastAsia" w:ascii="Times New Roman" w:hAnsi="Times New Roman" w:eastAsia="宋体"/>
                <w:w w:val="100"/>
                <w:sz w:val="30"/>
                <w:lang w:eastAsia="zh-CN"/>
              </w:rPr>
            </w:pPr>
            <w:r>
              <w:rPr>
                <w:rFonts w:hint="eastAsia" w:ascii="Times New Roman" w:hAnsi="Times New Roman" w:eastAsia="宋体"/>
                <w:w w:val="100"/>
                <w:sz w:val="30"/>
                <w:lang w:eastAsia="zh-CN"/>
              </w:rPr>
              <w:t>5、工程造价的组成：</w:t>
            </w:r>
          </w:p>
          <w:p w14:paraId="1063CD7F">
            <w:pPr>
              <w:autoSpaceDE/>
              <w:autoSpaceDN/>
              <w:snapToGrid/>
              <w:spacing w:before="0" w:after="0" w:line="240" w:lineRule="auto"/>
              <w:ind w:left="0" w:firstLine="0"/>
              <w:jc w:val="both"/>
              <w:rPr>
                <w:rFonts w:hint="eastAsia" w:ascii="Times New Roman" w:hAnsi="Times New Roman" w:eastAsia="宋体"/>
                <w:w w:val="100"/>
                <w:sz w:val="30"/>
                <w:lang w:eastAsia="zh-CN"/>
              </w:rPr>
            </w:pPr>
            <w:r>
              <w:rPr>
                <w:rFonts w:hint="eastAsia" w:ascii="Times New Roman" w:hAnsi="Times New Roman" w:eastAsia="宋体"/>
                <w:w w:val="100"/>
                <w:sz w:val="30"/>
                <w:lang w:eastAsia="zh-CN"/>
              </w:rPr>
              <w:t>（1）分部分项工程：《建设工程工程量清单计价规范》 （GB50500-2013）、《市政工程工程量计算规范》(GB 50857-2013)</w:t>
            </w:r>
            <w:r>
              <w:rPr>
                <w:rFonts w:hint="eastAsia"/>
                <w:w w:val="100"/>
                <w:sz w:val="30"/>
                <w:lang w:eastAsia="zh-CN"/>
              </w:rPr>
              <w:t>、</w:t>
            </w:r>
            <w:r>
              <w:rPr>
                <w:rFonts w:hint="eastAsia" w:ascii="Times New Roman" w:hAnsi="Times New Roman" w:eastAsia="宋体"/>
                <w:w w:val="100"/>
                <w:sz w:val="30"/>
                <w:lang w:eastAsia="zh-CN"/>
              </w:rPr>
              <w:t>《江苏省建筑与装饰工程计价定额》（2014版）、《江苏省安装工程计价定额》（2014版）、《江苏省市政工程计价定额》（2014版）、《江苏省建设工程费用定额》（2014年）营改增等；</w:t>
            </w:r>
          </w:p>
          <w:p w14:paraId="51E9B9F5">
            <w:pPr>
              <w:autoSpaceDE/>
              <w:autoSpaceDN/>
              <w:snapToGrid/>
              <w:spacing w:before="0" w:after="0" w:line="240" w:lineRule="auto"/>
              <w:ind w:left="0" w:firstLine="0"/>
              <w:jc w:val="both"/>
              <w:rPr>
                <w:rFonts w:hint="eastAsia" w:ascii="Times New Roman" w:hAnsi="Times New Roman" w:eastAsia="宋体"/>
                <w:w w:val="100"/>
                <w:sz w:val="30"/>
                <w:lang w:eastAsia="zh-CN"/>
              </w:rPr>
            </w:pPr>
            <w:r>
              <w:rPr>
                <w:rFonts w:hint="eastAsia" w:ascii="Times New Roman" w:hAnsi="Times New Roman" w:eastAsia="宋体"/>
                <w:w w:val="100"/>
                <w:sz w:val="30"/>
                <w:lang w:eastAsia="zh-CN"/>
              </w:rPr>
              <w:t>（2）措施项目费：</w:t>
            </w:r>
          </w:p>
          <w:p w14:paraId="1E373DE7">
            <w:pPr>
              <w:autoSpaceDE/>
              <w:autoSpaceDN/>
              <w:snapToGrid/>
              <w:spacing w:before="0" w:after="0" w:line="240" w:lineRule="auto"/>
              <w:ind w:left="0" w:firstLine="0"/>
              <w:jc w:val="both"/>
              <w:rPr>
                <w:rFonts w:hint="eastAsia" w:ascii="Times New Roman" w:hAnsi="Times New Roman" w:eastAsia="宋体"/>
                <w:w w:val="100"/>
                <w:sz w:val="30"/>
                <w:lang w:eastAsia="zh-CN"/>
              </w:rPr>
            </w:pPr>
            <w:r>
              <w:rPr>
                <w:rFonts w:hint="eastAsia" w:ascii="Times New Roman" w:hAnsi="Times New Roman" w:eastAsia="宋体"/>
                <w:w w:val="100"/>
                <w:sz w:val="30"/>
                <w:lang w:eastAsia="zh-CN"/>
              </w:rPr>
              <w:t>一、总价措施费：</w:t>
            </w:r>
          </w:p>
          <w:p w14:paraId="3C3F282D">
            <w:pPr>
              <w:numPr>
                <w:ilvl w:val="0"/>
                <w:numId w:val="0"/>
              </w:numPr>
              <w:autoSpaceDE/>
              <w:autoSpaceDN/>
              <w:snapToGrid/>
              <w:spacing w:before="0" w:after="0" w:line="240" w:lineRule="auto"/>
              <w:ind w:leftChars="0"/>
              <w:jc w:val="both"/>
              <w:rPr>
                <w:rFonts w:hint="eastAsia" w:ascii="Times New Roman" w:hAnsi="Times New Roman" w:eastAsia="宋体"/>
                <w:color w:val="auto"/>
                <w:w w:val="100"/>
                <w:sz w:val="30"/>
                <w:lang w:eastAsia="zh-CN"/>
              </w:rPr>
            </w:pPr>
            <w:r>
              <w:rPr>
                <w:rFonts w:hint="eastAsia" w:ascii="Times New Roman" w:hAnsi="Times New Roman" w:eastAsia="宋体"/>
                <w:w w:val="100"/>
                <w:sz w:val="30"/>
                <w:lang w:val="en-US" w:eastAsia="zh-CN"/>
              </w:rPr>
              <w:t>1）</w:t>
            </w:r>
            <w:r>
              <w:rPr>
                <w:rFonts w:hint="eastAsia" w:ascii="Times New Roman" w:hAnsi="Times New Roman" w:eastAsia="宋体"/>
                <w:w w:val="100"/>
                <w:sz w:val="30"/>
                <w:lang w:eastAsia="zh-CN"/>
              </w:rPr>
              <w:t>安全文明施工措施费：</w:t>
            </w:r>
          </w:p>
          <w:p w14:paraId="6FF25922">
            <w:pPr>
              <w:autoSpaceDE/>
              <w:autoSpaceDN/>
              <w:snapToGrid/>
              <w:spacing w:before="0" w:after="0" w:line="240" w:lineRule="auto"/>
              <w:ind w:left="596" w:firstLine="0"/>
              <w:jc w:val="both"/>
              <w:rPr>
                <w:rFonts w:hint="eastAsia" w:ascii="Times New Roman" w:hAnsi="Times New Roman" w:eastAsia="宋体"/>
                <w:color w:val="auto"/>
                <w:w w:val="100"/>
                <w:sz w:val="30"/>
                <w:lang w:eastAsia="zh-CN"/>
              </w:rPr>
            </w:pPr>
            <w:r>
              <w:rPr>
                <w:rFonts w:hint="eastAsia" w:ascii="Times New Roman" w:hAnsi="Times New Roman" w:eastAsia="宋体"/>
                <w:color w:val="auto"/>
                <w:w w:val="100"/>
                <w:sz w:val="30"/>
                <w:lang w:val="en-US" w:eastAsia="zh-CN"/>
              </w:rPr>
              <w:t>市政：</w:t>
            </w:r>
            <w:r>
              <w:rPr>
                <w:rFonts w:hint="eastAsia" w:ascii="Times New Roman" w:hAnsi="Times New Roman" w:eastAsia="宋体"/>
                <w:color w:val="auto"/>
                <w:w w:val="100"/>
                <w:sz w:val="30"/>
                <w:lang w:eastAsia="zh-CN"/>
              </w:rPr>
              <w:t>基本费按</w:t>
            </w:r>
            <w:r>
              <w:rPr>
                <w:rFonts w:hint="eastAsia" w:ascii="Times New Roman" w:hAnsi="Times New Roman" w:eastAsia="宋体"/>
                <w:color w:val="auto"/>
                <w:w w:val="100"/>
                <w:sz w:val="30"/>
                <w:lang w:val="en-US" w:eastAsia="zh-CN"/>
              </w:rPr>
              <w:t>1.5</w:t>
            </w:r>
            <w:r>
              <w:rPr>
                <w:rFonts w:hint="eastAsia" w:ascii="Times New Roman" w:hAnsi="Times New Roman" w:eastAsia="宋体"/>
                <w:color w:val="auto"/>
                <w:w w:val="100"/>
                <w:sz w:val="30"/>
                <w:lang w:eastAsia="zh-CN"/>
              </w:rPr>
              <w:t>%计取，增加费暂不计取，扬尘污染防治费增加费按</w:t>
            </w:r>
            <w:r>
              <w:rPr>
                <w:rFonts w:hint="eastAsia" w:ascii="Times New Roman" w:hAnsi="Times New Roman" w:eastAsia="宋体"/>
                <w:color w:val="auto"/>
                <w:w w:val="100"/>
                <w:sz w:val="30"/>
                <w:lang w:val="en-US" w:eastAsia="zh-CN"/>
              </w:rPr>
              <w:t>0.31</w:t>
            </w:r>
            <w:r>
              <w:rPr>
                <w:rFonts w:hint="eastAsia" w:ascii="Times New Roman" w:hAnsi="Times New Roman" w:eastAsia="宋体"/>
                <w:color w:val="auto"/>
                <w:w w:val="100"/>
                <w:sz w:val="30"/>
                <w:lang w:eastAsia="zh-CN"/>
              </w:rPr>
              <w:t>%计取；</w:t>
            </w:r>
          </w:p>
          <w:p w14:paraId="74DB2323">
            <w:pPr>
              <w:autoSpaceDE/>
              <w:autoSpaceDN/>
              <w:snapToGrid/>
              <w:spacing w:before="0" w:after="0" w:line="240" w:lineRule="auto"/>
              <w:ind w:left="596" w:firstLine="0"/>
              <w:jc w:val="both"/>
              <w:rPr>
                <w:rFonts w:hint="eastAsia" w:ascii="Times New Roman" w:hAnsi="Times New Roman" w:eastAsia="宋体"/>
                <w:color w:val="auto"/>
                <w:w w:val="100"/>
                <w:sz w:val="30"/>
                <w:lang w:eastAsia="zh-CN"/>
              </w:rPr>
            </w:pPr>
            <w:r>
              <w:rPr>
                <w:rFonts w:hint="eastAsia" w:ascii="Times New Roman" w:hAnsi="Times New Roman" w:eastAsia="宋体"/>
                <w:color w:val="auto"/>
                <w:w w:val="100"/>
                <w:sz w:val="30"/>
                <w:lang w:val="en-US" w:eastAsia="zh-CN"/>
              </w:rPr>
              <w:t>大型土石方：</w:t>
            </w:r>
            <w:r>
              <w:rPr>
                <w:rFonts w:hint="eastAsia" w:ascii="Times New Roman" w:hAnsi="Times New Roman" w:eastAsia="宋体"/>
                <w:color w:val="auto"/>
                <w:w w:val="100"/>
                <w:sz w:val="30"/>
                <w:lang w:eastAsia="zh-CN"/>
              </w:rPr>
              <w:t>基本费按</w:t>
            </w:r>
            <w:r>
              <w:rPr>
                <w:rFonts w:hint="eastAsia" w:ascii="Times New Roman" w:hAnsi="Times New Roman" w:eastAsia="宋体"/>
                <w:color w:val="auto"/>
                <w:w w:val="100"/>
                <w:sz w:val="30"/>
                <w:lang w:val="en-US" w:eastAsia="zh-CN"/>
              </w:rPr>
              <w:t>1.5</w:t>
            </w:r>
            <w:r>
              <w:rPr>
                <w:rFonts w:hint="eastAsia" w:ascii="Times New Roman" w:hAnsi="Times New Roman" w:eastAsia="宋体"/>
                <w:color w:val="auto"/>
                <w:w w:val="100"/>
                <w:sz w:val="30"/>
                <w:lang w:eastAsia="zh-CN"/>
              </w:rPr>
              <w:t>%计取，增加费暂不计取，扬尘污染防治费增加费按</w:t>
            </w:r>
            <w:r>
              <w:rPr>
                <w:rFonts w:hint="eastAsia" w:ascii="Times New Roman" w:hAnsi="Times New Roman" w:eastAsia="宋体"/>
                <w:color w:val="auto"/>
                <w:w w:val="100"/>
                <w:sz w:val="30"/>
                <w:lang w:val="en-US" w:eastAsia="zh-CN"/>
              </w:rPr>
              <w:t>0.42</w:t>
            </w:r>
            <w:r>
              <w:rPr>
                <w:rFonts w:hint="eastAsia" w:ascii="Times New Roman" w:hAnsi="Times New Roman" w:eastAsia="宋体"/>
                <w:color w:val="auto"/>
                <w:w w:val="100"/>
                <w:sz w:val="30"/>
                <w:lang w:eastAsia="zh-CN"/>
              </w:rPr>
              <w:t>%计取</w:t>
            </w:r>
          </w:p>
          <w:p w14:paraId="41AFC169">
            <w:pPr>
              <w:autoSpaceDE/>
              <w:autoSpaceDN/>
              <w:snapToGrid/>
              <w:spacing w:before="0" w:after="0" w:line="240" w:lineRule="auto"/>
              <w:ind w:left="596" w:firstLine="0"/>
              <w:jc w:val="both"/>
              <w:rPr>
                <w:rFonts w:hint="default" w:ascii="Times New Roman" w:hAnsi="Times New Roman" w:eastAsia="宋体"/>
                <w:color w:val="auto"/>
                <w:w w:val="100"/>
                <w:sz w:val="30"/>
                <w:lang w:val="en-US" w:eastAsia="zh-CN"/>
              </w:rPr>
            </w:pPr>
            <w:r>
              <w:rPr>
                <w:rFonts w:hint="eastAsia"/>
                <w:w w:val="100"/>
                <w:sz w:val="30"/>
                <w:lang w:val="en-US" w:eastAsia="zh-CN"/>
              </w:rPr>
              <w:t>路灯及交通设施：</w:t>
            </w:r>
            <w:r>
              <w:rPr>
                <w:rFonts w:hint="eastAsia" w:ascii="Times New Roman" w:hAnsi="Times New Roman" w:eastAsia="宋体"/>
                <w:color w:val="auto"/>
                <w:w w:val="100"/>
                <w:sz w:val="30"/>
                <w:lang w:eastAsia="zh-CN"/>
              </w:rPr>
              <w:t>基本费按</w:t>
            </w:r>
            <w:r>
              <w:rPr>
                <w:rFonts w:hint="eastAsia" w:ascii="Times New Roman" w:hAnsi="Times New Roman" w:eastAsia="宋体"/>
                <w:color w:val="auto"/>
                <w:w w:val="100"/>
                <w:sz w:val="30"/>
                <w:lang w:val="en-US" w:eastAsia="zh-CN"/>
              </w:rPr>
              <w:t>1.</w:t>
            </w:r>
            <w:r>
              <w:rPr>
                <w:rFonts w:hint="eastAsia"/>
                <w:color w:val="auto"/>
                <w:w w:val="100"/>
                <w:sz w:val="30"/>
                <w:lang w:val="en-US" w:eastAsia="zh-CN"/>
              </w:rPr>
              <w:t>2</w:t>
            </w:r>
            <w:r>
              <w:rPr>
                <w:rFonts w:hint="eastAsia" w:ascii="Times New Roman" w:hAnsi="Times New Roman" w:eastAsia="宋体"/>
                <w:color w:val="auto"/>
                <w:w w:val="100"/>
                <w:sz w:val="30"/>
                <w:lang w:eastAsia="zh-CN"/>
              </w:rPr>
              <w:t>%计取，增加费暂不计取，扬尘污染防治费增加费按</w:t>
            </w:r>
            <w:r>
              <w:rPr>
                <w:rFonts w:hint="eastAsia" w:ascii="Times New Roman" w:hAnsi="Times New Roman" w:eastAsia="宋体"/>
                <w:color w:val="auto"/>
                <w:w w:val="100"/>
                <w:sz w:val="30"/>
                <w:lang w:val="en-US" w:eastAsia="zh-CN"/>
              </w:rPr>
              <w:t>0.</w:t>
            </w:r>
            <w:r>
              <w:rPr>
                <w:rFonts w:hint="eastAsia"/>
                <w:color w:val="auto"/>
                <w:w w:val="100"/>
                <w:sz w:val="30"/>
                <w:lang w:val="en-US" w:eastAsia="zh-CN"/>
              </w:rPr>
              <w:t>1</w:t>
            </w:r>
            <w:r>
              <w:rPr>
                <w:rFonts w:hint="eastAsia" w:ascii="Times New Roman" w:hAnsi="Times New Roman" w:eastAsia="宋体"/>
                <w:color w:val="auto"/>
                <w:w w:val="100"/>
                <w:sz w:val="30"/>
                <w:lang w:eastAsia="zh-CN"/>
              </w:rPr>
              <w:t>%计取</w:t>
            </w:r>
          </w:p>
          <w:p w14:paraId="6145138A">
            <w:pPr>
              <w:autoSpaceDE/>
              <w:autoSpaceDN/>
              <w:snapToGrid/>
              <w:spacing w:before="0" w:after="0" w:line="240" w:lineRule="auto"/>
              <w:ind w:left="596" w:firstLine="0"/>
              <w:jc w:val="both"/>
              <w:rPr>
                <w:rFonts w:hint="eastAsia" w:ascii="Times New Roman" w:hAnsi="Times New Roman" w:eastAsia="宋体"/>
                <w:color w:val="auto"/>
                <w:w w:val="100"/>
                <w:sz w:val="30"/>
                <w:lang w:eastAsia="zh-CN"/>
              </w:rPr>
            </w:pPr>
            <w:r>
              <w:rPr>
                <w:rFonts w:hint="eastAsia" w:ascii="Times New Roman" w:hAnsi="Times New Roman" w:eastAsia="宋体"/>
                <w:color w:val="auto"/>
                <w:w w:val="100"/>
                <w:sz w:val="30"/>
                <w:lang w:eastAsia="zh-CN"/>
              </w:rPr>
              <w:t>扬尘污染防治费基本费计取详见《省住房和城乡建设厅关于调整建设工程按质论价费等费用计取方法的公告》（2018）第24号文件；</w:t>
            </w:r>
          </w:p>
          <w:p w14:paraId="468B18CB">
            <w:pPr>
              <w:numPr>
                <w:ilvl w:val="0"/>
                <w:numId w:val="0"/>
              </w:numPr>
              <w:autoSpaceDE/>
              <w:autoSpaceDN/>
              <w:snapToGrid/>
              <w:spacing w:before="0" w:after="0" w:line="240" w:lineRule="auto"/>
              <w:jc w:val="both"/>
              <w:rPr>
                <w:rFonts w:hint="default" w:ascii="Times New Roman" w:hAnsi="Times New Roman" w:eastAsia="宋体"/>
                <w:color w:val="auto"/>
                <w:w w:val="100"/>
                <w:sz w:val="30"/>
                <w:lang w:val="en-US" w:eastAsia="zh-CN"/>
              </w:rPr>
            </w:pPr>
            <w:r>
              <w:rPr>
                <w:rFonts w:hint="eastAsia" w:ascii="Times New Roman" w:hAnsi="Times New Roman" w:eastAsia="宋体"/>
                <w:color w:val="auto"/>
                <w:w w:val="100"/>
                <w:sz w:val="30"/>
                <w:lang w:val="en-US" w:eastAsia="zh-CN"/>
              </w:rPr>
              <w:t>2）</w:t>
            </w:r>
            <w:r>
              <w:rPr>
                <w:rFonts w:hint="eastAsia" w:ascii="Times New Roman" w:hAnsi="Times New Roman" w:eastAsia="宋体"/>
                <w:color w:val="auto"/>
                <w:w w:val="100"/>
                <w:sz w:val="30"/>
                <w:lang w:eastAsia="zh-CN"/>
              </w:rPr>
              <w:t>临时设施费：</w:t>
            </w:r>
            <w:r>
              <w:rPr>
                <w:rFonts w:hint="eastAsia" w:ascii="Times New Roman" w:hAnsi="Times New Roman" w:eastAsia="宋体"/>
                <w:color w:val="auto"/>
                <w:w w:val="100"/>
                <w:sz w:val="30"/>
                <w:lang w:val="en-US" w:eastAsia="zh-CN"/>
              </w:rPr>
              <w:t>市政按1.</w:t>
            </w:r>
            <w:r>
              <w:rPr>
                <w:rFonts w:hint="eastAsia"/>
                <w:color w:val="auto"/>
                <w:w w:val="100"/>
                <w:sz w:val="30"/>
                <w:lang w:val="en-US" w:eastAsia="zh-CN"/>
              </w:rPr>
              <w:t>1</w:t>
            </w:r>
            <w:r>
              <w:rPr>
                <w:rFonts w:hint="eastAsia" w:ascii="Times New Roman" w:hAnsi="Times New Roman" w:eastAsia="宋体"/>
                <w:color w:val="auto"/>
                <w:w w:val="100"/>
                <w:sz w:val="30"/>
                <w:lang w:val="en-US" w:eastAsia="zh-CN"/>
              </w:rPr>
              <w:t>%计取；</w:t>
            </w:r>
            <w:r>
              <w:rPr>
                <w:rFonts w:hint="eastAsia"/>
                <w:w w:val="100"/>
                <w:sz w:val="30"/>
                <w:lang w:val="en-US" w:eastAsia="zh-CN"/>
              </w:rPr>
              <w:t>路灯及交通设施按1.1%计取；</w:t>
            </w:r>
            <w:r>
              <w:rPr>
                <w:rFonts w:hint="eastAsia" w:ascii="Times New Roman" w:hAnsi="Times New Roman" w:eastAsia="宋体"/>
                <w:color w:val="auto"/>
                <w:w w:val="100"/>
                <w:sz w:val="30"/>
                <w:lang w:val="en-US" w:eastAsia="zh-CN"/>
              </w:rPr>
              <w:t>大型土石方按1.</w:t>
            </w:r>
            <w:r>
              <w:rPr>
                <w:rFonts w:hint="eastAsia"/>
                <w:color w:val="auto"/>
                <w:w w:val="100"/>
                <w:sz w:val="30"/>
                <w:lang w:val="en-US" w:eastAsia="zh-CN"/>
              </w:rPr>
              <w:t>1</w:t>
            </w:r>
            <w:r>
              <w:rPr>
                <w:rFonts w:hint="eastAsia" w:ascii="Times New Roman" w:hAnsi="Times New Roman" w:eastAsia="宋体"/>
                <w:color w:val="auto"/>
                <w:w w:val="100"/>
                <w:sz w:val="30"/>
                <w:lang w:val="en-US" w:eastAsia="zh-CN"/>
              </w:rPr>
              <w:t>％计取。</w:t>
            </w:r>
          </w:p>
          <w:p w14:paraId="18083E51">
            <w:pPr>
              <w:autoSpaceDE/>
              <w:autoSpaceDN/>
              <w:snapToGrid/>
              <w:spacing w:before="0" w:after="0" w:line="240" w:lineRule="auto"/>
              <w:ind w:left="0" w:firstLine="0"/>
              <w:jc w:val="both"/>
              <w:rPr>
                <w:rFonts w:hint="default" w:ascii="Times New Roman" w:hAnsi="Times New Roman" w:eastAsia="宋体"/>
                <w:color w:val="auto"/>
                <w:w w:val="100"/>
                <w:sz w:val="30"/>
                <w:lang w:val="en-US" w:eastAsia="zh-CN"/>
              </w:rPr>
            </w:pPr>
            <w:r>
              <w:rPr>
                <w:rFonts w:hint="eastAsia" w:ascii="Times New Roman" w:hAnsi="Times New Roman" w:eastAsia="宋体"/>
                <w:color w:val="auto"/>
                <w:w w:val="100"/>
                <w:sz w:val="30"/>
                <w:lang w:val="en-US" w:eastAsia="zh-CN"/>
              </w:rPr>
              <w:t>3）</w:t>
            </w:r>
            <w:r>
              <w:rPr>
                <w:rFonts w:hint="eastAsia" w:ascii="Times New Roman" w:hAnsi="Times New Roman" w:eastAsia="宋体"/>
                <w:color w:val="auto"/>
                <w:w w:val="100"/>
                <w:sz w:val="30"/>
                <w:lang w:eastAsia="zh-CN"/>
              </w:rPr>
              <w:t>建筑工人实名制费用：</w:t>
            </w:r>
            <w:r>
              <w:rPr>
                <w:rFonts w:hint="eastAsia" w:ascii="Times New Roman" w:hAnsi="Times New Roman" w:eastAsia="宋体"/>
                <w:color w:val="auto"/>
                <w:w w:val="100"/>
                <w:sz w:val="30"/>
                <w:lang w:val="en-US" w:eastAsia="zh-CN"/>
              </w:rPr>
              <w:t>市政按0.03%计取；</w:t>
            </w:r>
            <w:r>
              <w:rPr>
                <w:rFonts w:hint="eastAsia"/>
                <w:w w:val="100"/>
                <w:sz w:val="30"/>
                <w:lang w:val="en-US" w:eastAsia="zh-CN"/>
              </w:rPr>
              <w:t>路灯及交通设施</w:t>
            </w:r>
            <w:r>
              <w:rPr>
                <w:rFonts w:hint="eastAsia" w:ascii="Times New Roman" w:hAnsi="Times New Roman" w:eastAsia="宋体"/>
                <w:color w:val="auto"/>
                <w:w w:val="100"/>
                <w:sz w:val="30"/>
                <w:lang w:val="en-US" w:eastAsia="zh-CN"/>
              </w:rPr>
              <w:t>按0.03%计取；大型土石方按0.02％计取。</w:t>
            </w:r>
          </w:p>
          <w:p w14:paraId="006E23B3">
            <w:pPr>
              <w:autoSpaceDE/>
              <w:autoSpaceDN/>
              <w:snapToGrid/>
              <w:spacing w:before="0" w:after="0" w:line="240" w:lineRule="auto"/>
              <w:ind w:left="0" w:firstLine="0"/>
              <w:jc w:val="both"/>
              <w:rPr>
                <w:rFonts w:hint="eastAsia" w:ascii="Times New Roman" w:hAnsi="Times New Roman" w:eastAsia="宋体" w:cs="Times New Roman"/>
                <w:color w:val="auto"/>
                <w:w w:val="100"/>
                <w:sz w:val="30"/>
                <w:lang w:eastAsia="zh-CN"/>
              </w:rPr>
            </w:pPr>
            <w:r>
              <w:rPr>
                <w:rFonts w:hint="eastAsia" w:ascii="Times New Roman" w:hAnsi="Times New Roman" w:eastAsia="宋体"/>
                <w:color w:val="auto"/>
                <w:w w:val="100"/>
                <w:sz w:val="30"/>
                <w:lang w:eastAsia="zh-CN"/>
              </w:rPr>
              <w:t xml:space="preserve">   建筑工人实名制费用计取详见《省住房和城乡建设厅关</w:t>
            </w:r>
            <w:r>
              <w:rPr>
                <w:rFonts w:hint="eastAsia" w:ascii="Times New Roman" w:hAnsi="Times New Roman" w:eastAsia="宋体" w:cs="Times New Roman"/>
                <w:color w:val="auto"/>
                <w:w w:val="100"/>
                <w:sz w:val="30"/>
                <w:lang w:eastAsia="zh-CN"/>
              </w:rPr>
              <w:t>于建筑工人实名制费用计取办法的公告》（2019）第19号文件；</w:t>
            </w:r>
          </w:p>
          <w:p w14:paraId="2E6AF7C5">
            <w:pPr>
              <w:autoSpaceDE/>
              <w:autoSpaceDN/>
              <w:snapToGrid/>
              <w:spacing w:before="0" w:after="0" w:line="240" w:lineRule="auto"/>
              <w:ind w:left="0" w:firstLine="0"/>
              <w:jc w:val="both"/>
              <w:rPr>
                <w:rFonts w:hint="default" w:ascii="Times New Roman" w:hAnsi="Times New Roman" w:eastAsia="宋体" w:cs="Times New Roman"/>
                <w:color w:val="auto"/>
                <w:w w:val="100"/>
                <w:sz w:val="30"/>
                <w:lang w:val="en-US" w:eastAsia="zh-CN"/>
              </w:rPr>
            </w:pPr>
            <w:r>
              <w:rPr>
                <w:rFonts w:hint="eastAsia" w:ascii="Times New Roman" w:hAnsi="Times New Roman" w:eastAsia="宋体" w:cs="Times New Roman"/>
                <w:color w:val="auto"/>
                <w:w w:val="100"/>
                <w:sz w:val="30"/>
                <w:lang w:val="en-US" w:eastAsia="zh-CN"/>
              </w:rPr>
              <w:t>4）智慧工地：</w:t>
            </w:r>
            <w:r>
              <w:rPr>
                <w:rFonts w:hint="eastAsia" w:cs="Times New Roman"/>
                <w:color w:val="auto"/>
                <w:w w:val="100"/>
                <w:sz w:val="30"/>
                <w:lang w:val="en-US" w:eastAsia="zh-CN"/>
              </w:rPr>
              <w:t>不</w:t>
            </w:r>
            <w:r>
              <w:rPr>
                <w:rFonts w:hint="eastAsia" w:ascii="Times New Roman" w:hAnsi="Times New Roman" w:eastAsia="宋体"/>
                <w:color w:val="auto"/>
                <w:w w:val="100"/>
                <w:sz w:val="30"/>
                <w:lang w:val="en-US" w:eastAsia="zh-CN"/>
              </w:rPr>
              <w:t>计取。</w:t>
            </w:r>
          </w:p>
          <w:p w14:paraId="2D429F2D">
            <w:pPr>
              <w:numPr>
                <w:ilvl w:val="0"/>
                <w:numId w:val="0"/>
              </w:numPr>
              <w:autoSpaceDE/>
              <w:autoSpaceDN/>
              <w:snapToGrid/>
              <w:spacing w:before="0" w:after="0" w:line="240" w:lineRule="auto"/>
              <w:ind w:leftChars="0"/>
              <w:jc w:val="both"/>
              <w:rPr>
                <w:rFonts w:hint="eastAsia" w:ascii="Times New Roman" w:hAnsi="Times New Roman" w:eastAsia="宋体"/>
                <w:w w:val="100"/>
                <w:sz w:val="30"/>
                <w:lang w:eastAsia="zh-CN"/>
              </w:rPr>
            </w:pPr>
            <w:r>
              <w:rPr>
                <w:rFonts w:hint="eastAsia"/>
                <w:w w:val="100"/>
                <w:sz w:val="30"/>
                <w:lang w:val="en-US" w:eastAsia="zh-CN"/>
              </w:rPr>
              <w:t>5</w:t>
            </w:r>
            <w:r>
              <w:rPr>
                <w:rFonts w:hint="eastAsia" w:ascii="Times New Roman" w:hAnsi="Times New Roman" w:eastAsia="宋体"/>
                <w:w w:val="100"/>
                <w:sz w:val="30"/>
                <w:lang w:val="en-US" w:eastAsia="zh-CN"/>
              </w:rPr>
              <w:t>）</w:t>
            </w:r>
            <w:r>
              <w:rPr>
                <w:rFonts w:hint="eastAsia" w:ascii="Times New Roman" w:hAnsi="Times New Roman" w:eastAsia="宋体"/>
                <w:w w:val="100"/>
                <w:sz w:val="30"/>
                <w:lang w:eastAsia="zh-CN"/>
              </w:rPr>
              <w:t>以下措施项目费用暂不计取：</w:t>
            </w:r>
            <w:r>
              <w:rPr>
                <w:rFonts w:hint="eastAsia" w:ascii="Times New Roman" w:hAnsi="Times New Roman" w:eastAsia="宋体"/>
                <w:color w:val="auto"/>
                <w:w w:val="100"/>
                <w:sz w:val="30"/>
                <w:lang w:eastAsia="zh-CN"/>
              </w:rPr>
              <w:t>夜间施工增加费；</w:t>
            </w:r>
            <w:r>
              <w:rPr>
                <w:rFonts w:hint="eastAsia" w:ascii="Times New Roman" w:hAnsi="Times New Roman" w:eastAsia="宋体"/>
                <w:color w:val="auto"/>
                <w:w w:val="100"/>
                <w:sz w:val="30"/>
                <w:lang w:val="en-US" w:eastAsia="zh-CN"/>
              </w:rPr>
              <w:t>赶工措施费；</w:t>
            </w:r>
            <w:r>
              <w:rPr>
                <w:rFonts w:hint="eastAsia" w:ascii="Times New Roman" w:hAnsi="Times New Roman" w:eastAsia="宋体"/>
                <w:w w:val="100"/>
                <w:sz w:val="30"/>
                <w:lang w:eastAsia="zh-CN"/>
              </w:rPr>
              <w:t>非夜间施工照明费；二次搬运费；冬雨季施工增加费；地上、地下设施、建筑物的临时保护费；已完工程及设备保护费；按质论价费；住宅分户验收；特殊条件下施工增加费。</w:t>
            </w:r>
          </w:p>
          <w:p w14:paraId="5B2B6580">
            <w:pPr>
              <w:autoSpaceDE/>
              <w:autoSpaceDN/>
              <w:snapToGrid/>
              <w:spacing w:before="0" w:after="0" w:line="240" w:lineRule="auto"/>
              <w:ind w:left="105" w:firstLine="0"/>
              <w:jc w:val="both"/>
              <w:rPr>
                <w:rFonts w:hint="eastAsia" w:ascii="Times New Roman" w:hAnsi="Times New Roman" w:eastAsia="宋体"/>
                <w:w w:val="100"/>
                <w:sz w:val="30"/>
                <w:lang w:eastAsia="zh-CN"/>
              </w:rPr>
            </w:pPr>
            <w:r>
              <w:rPr>
                <w:rFonts w:hint="eastAsia" w:ascii="Times New Roman" w:hAnsi="Times New Roman" w:eastAsia="宋体"/>
                <w:w w:val="100"/>
                <w:sz w:val="30"/>
                <w:lang w:eastAsia="zh-CN"/>
              </w:rPr>
              <w:t>二、单价措施费：</w:t>
            </w:r>
          </w:p>
          <w:p w14:paraId="398E97DF">
            <w:pPr>
              <w:numPr>
                <w:ilvl w:val="0"/>
                <w:numId w:val="0"/>
              </w:numPr>
              <w:autoSpaceDE/>
              <w:autoSpaceDN/>
              <w:snapToGrid/>
              <w:spacing w:before="0" w:after="0" w:line="240" w:lineRule="auto"/>
              <w:ind w:leftChars="0"/>
              <w:jc w:val="both"/>
              <w:rPr>
                <w:rFonts w:hint="eastAsia" w:ascii="Times New Roman" w:hAnsi="Times New Roman" w:eastAsia="宋体"/>
                <w:w w:val="100"/>
                <w:sz w:val="30"/>
                <w:lang w:eastAsia="zh-CN"/>
              </w:rPr>
            </w:pPr>
            <w:r>
              <w:rPr>
                <w:rFonts w:hint="eastAsia" w:ascii="Times New Roman" w:hAnsi="Times New Roman" w:eastAsia="宋体"/>
                <w:w w:val="100"/>
                <w:sz w:val="30"/>
                <w:lang w:val="en-US" w:eastAsia="zh-CN"/>
              </w:rPr>
              <w:t>1）</w:t>
            </w:r>
            <w:r>
              <w:rPr>
                <w:rFonts w:hint="eastAsia" w:ascii="Times New Roman" w:hAnsi="Times New Roman" w:eastAsia="宋体"/>
                <w:w w:val="100"/>
                <w:sz w:val="30"/>
                <w:lang w:eastAsia="zh-CN"/>
              </w:rPr>
              <w:t>大型机械设备进退场及安拆：按《江苏省建筑与装饰工程定额》计算；</w:t>
            </w:r>
          </w:p>
          <w:p w14:paraId="498E6FED">
            <w:pPr>
              <w:autoSpaceDE/>
              <w:autoSpaceDN/>
              <w:snapToGrid/>
              <w:spacing w:before="0" w:after="0" w:line="240" w:lineRule="auto"/>
              <w:ind w:left="0" w:firstLine="0"/>
              <w:jc w:val="both"/>
              <w:rPr>
                <w:rFonts w:hint="eastAsia" w:ascii="Times New Roman" w:hAnsi="Times New Roman" w:eastAsia="宋体"/>
                <w:w w:val="100"/>
                <w:sz w:val="30"/>
                <w:lang w:eastAsia="zh-CN"/>
              </w:rPr>
            </w:pPr>
            <w:r>
              <w:rPr>
                <w:rFonts w:hint="eastAsia" w:ascii="Times New Roman" w:hAnsi="Times New Roman" w:eastAsia="宋体"/>
                <w:w w:val="100"/>
                <w:sz w:val="30"/>
                <w:lang w:eastAsia="zh-CN"/>
              </w:rPr>
              <w:t>三、其他项目费：</w:t>
            </w:r>
          </w:p>
          <w:p w14:paraId="0C802262">
            <w:pPr>
              <w:numPr>
                <w:ilvl w:val="0"/>
                <w:numId w:val="0"/>
              </w:numPr>
              <w:autoSpaceDE/>
              <w:autoSpaceDN/>
              <w:snapToGrid/>
              <w:spacing w:before="0" w:after="0" w:line="240" w:lineRule="auto"/>
              <w:ind w:leftChars="0"/>
              <w:jc w:val="both"/>
              <w:rPr>
                <w:rFonts w:hint="eastAsia" w:ascii="Times New Roman" w:hAnsi="Times New Roman" w:eastAsia="宋体"/>
                <w:w w:val="100"/>
                <w:sz w:val="30"/>
                <w:lang w:eastAsia="zh-CN"/>
              </w:rPr>
            </w:pPr>
            <w:r>
              <w:rPr>
                <w:rFonts w:hint="eastAsia" w:ascii="Times New Roman" w:hAnsi="Times New Roman" w:eastAsia="宋体"/>
                <w:w w:val="100"/>
                <w:sz w:val="30"/>
                <w:lang w:val="en-US" w:eastAsia="zh-CN"/>
              </w:rPr>
              <w:t>1）</w:t>
            </w:r>
            <w:r>
              <w:rPr>
                <w:rFonts w:hint="eastAsia" w:ascii="Times New Roman" w:hAnsi="Times New Roman" w:eastAsia="宋体"/>
                <w:w w:val="100"/>
                <w:sz w:val="30"/>
                <w:lang w:eastAsia="zh-CN"/>
              </w:rPr>
              <w:t>暂列金额：详见清单；</w:t>
            </w:r>
          </w:p>
          <w:p w14:paraId="0AFD9DC9">
            <w:pPr>
              <w:numPr>
                <w:ilvl w:val="0"/>
                <w:numId w:val="0"/>
              </w:numPr>
              <w:autoSpaceDE/>
              <w:autoSpaceDN/>
              <w:snapToGrid/>
              <w:spacing w:before="0" w:after="0" w:line="240" w:lineRule="auto"/>
              <w:ind w:leftChars="0"/>
              <w:jc w:val="both"/>
              <w:rPr>
                <w:rFonts w:hint="eastAsia" w:ascii="Times New Roman" w:hAnsi="Times New Roman" w:eastAsia="宋体"/>
                <w:w w:val="100"/>
                <w:sz w:val="30"/>
                <w:lang w:eastAsia="zh-CN"/>
              </w:rPr>
            </w:pPr>
            <w:r>
              <w:rPr>
                <w:rFonts w:hint="eastAsia" w:ascii="Times New Roman" w:hAnsi="Times New Roman" w:eastAsia="宋体"/>
                <w:w w:val="100"/>
                <w:sz w:val="30"/>
                <w:lang w:val="en-US" w:eastAsia="zh-CN"/>
              </w:rPr>
              <w:t>2）</w:t>
            </w:r>
            <w:r>
              <w:rPr>
                <w:rFonts w:hint="eastAsia" w:ascii="Times New Roman" w:hAnsi="Times New Roman" w:eastAsia="宋体"/>
                <w:w w:val="100"/>
                <w:sz w:val="30"/>
                <w:lang w:eastAsia="zh-CN"/>
              </w:rPr>
              <w:t>暂估价：无；</w:t>
            </w:r>
          </w:p>
          <w:p w14:paraId="73BF3251">
            <w:pPr>
              <w:numPr>
                <w:ilvl w:val="0"/>
                <w:numId w:val="0"/>
              </w:numPr>
              <w:autoSpaceDE/>
              <w:autoSpaceDN/>
              <w:snapToGrid/>
              <w:spacing w:before="0" w:after="0" w:line="240" w:lineRule="auto"/>
              <w:ind w:leftChars="0"/>
              <w:jc w:val="both"/>
              <w:rPr>
                <w:rFonts w:hint="eastAsia" w:ascii="Times New Roman" w:hAnsi="Times New Roman" w:eastAsia="宋体"/>
                <w:w w:val="100"/>
                <w:sz w:val="30"/>
                <w:lang w:eastAsia="zh-CN"/>
              </w:rPr>
            </w:pPr>
            <w:r>
              <w:rPr>
                <w:rFonts w:hint="eastAsia" w:ascii="Times New Roman" w:hAnsi="Times New Roman" w:eastAsia="宋体"/>
                <w:w w:val="100"/>
                <w:sz w:val="30"/>
                <w:lang w:val="en-US" w:eastAsia="zh-CN"/>
              </w:rPr>
              <w:t>3）</w:t>
            </w:r>
            <w:r>
              <w:rPr>
                <w:rFonts w:hint="eastAsia" w:ascii="Times New Roman" w:hAnsi="Times New Roman" w:eastAsia="宋体"/>
                <w:w w:val="100"/>
                <w:sz w:val="30"/>
                <w:lang w:eastAsia="zh-CN"/>
              </w:rPr>
              <w:t>计日工：本工程暂不计取；</w:t>
            </w:r>
          </w:p>
          <w:p w14:paraId="36130C81">
            <w:pPr>
              <w:numPr>
                <w:ilvl w:val="0"/>
                <w:numId w:val="0"/>
              </w:numPr>
              <w:autoSpaceDE/>
              <w:autoSpaceDN/>
              <w:snapToGrid/>
              <w:spacing w:before="0" w:after="0" w:line="240" w:lineRule="auto"/>
              <w:ind w:leftChars="0"/>
              <w:jc w:val="both"/>
              <w:rPr>
                <w:rFonts w:hint="eastAsia" w:ascii="Times New Roman" w:hAnsi="Times New Roman" w:eastAsia="宋体"/>
                <w:w w:val="100"/>
                <w:sz w:val="30"/>
                <w:lang w:eastAsia="zh-CN"/>
              </w:rPr>
            </w:pPr>
            <w:r>
              <w:rPr>
                <w:rFonts w:hint="eastAsia" w:ascii="Times New Roman" w:hAnsi="Times New Roman" w:eastAsia="宋体"/>
                <w:w w:val="100"/>
                <w:sz w:val="30"/>
                <w:lang w:val="en-US" w:eastAsia="zh-CN"/>
              </w:rPr>
              <w:t>4）</w:t>
            </w:r>
            <w:r>
              <w:rPr>
                <w:rFonts w:hint="eastAsia" w:ascii="Times New Roman" w:hAnsi="Times New Roman" w:eastAsia="宋体"/>
                <w:w w:val="100"/>
                <w:sz w:val="30"/>
                <w:lang w:eastAsia="zh-CN"/>
              </w:rPr>
              <w:t>总承包服务费：本工程暂不计取；</w:t>
            </w:r>
          </w:p>
          <w:p w14:paraId="7AC832B5">
            <w:pPr>
              <w:autoSpaceDE/>
              <w:autoSpaceDN/>
              <w:snapToGrid/>
              <w:spacing w:before="0" w:after="0" w:line="240" w:lineRule="auto"/>
              <w:ind w:left="105" w:firstLine="0"/>
              <w:jc w:val="both"/>
              <w:rPr>
                <w:rFonts w:hint="eastAsia" w:ascii="Times New Roman" w:hAnsi="Times New Roman" w:eastAsia="宋体"/>
                <w:w w:val="100"/>
                <w:sz w:val="30"/>
                <w:lang w:eastAsia="zh-CN"/>
              </w:rPr>
            </w:pPr>
            <w:r>
              <w:rPr>
                <w:rFonts w:hint="eastAsia" w:ascii="Times New Roman" w:hAnsi="Times New Roman" w:eastAsia="宋体"/>
                <w:w w:val="100"/>
                <w:sz w:val="30"/>
                <w:lang w:eastAsia="zh-CN"/>
              </w:rPr>
              <w:t>四、规费 ：</w:t>
            </w:r>
          </w:p>
          <w:p w14:paraId="38FC4840">
            <w:pPr>
              <w:numPr>
                <w:ilvl w:val="0"/>
                <w:numId w:val="1"/>
              </w:numPr>
              <w:autoSpaceDE/>
              <w:autoSpaceDN/>
              <w:snapToGrid/>
              <w:spacing w:before="0" w:after="0" w:line="240" w:lineRule="auto"/>
              <w:ind w:left="425" w:leftChars="0" w:hanging="425" w:firstLineChars="0"/>
              <w:jc w:val="both"/>
              <w:rPr>
                <w:rFonts w:hint="eastAsia" w:ascii="Times New Roman" w:hAnsi="Times New Roman" w:eastAsia="宋体"/>
                <w:w w:val="100"/>
                <w:sz w:val="30"/>
                <w:lang w:eastAsia="zh-CN"/>
              </w:rPr>
            </w:pPr>
            <w:r>
              <w:rPr>
                <w:rFonts w:hint="eastAsia" w:ascii="Times New Roman" w:hAnsi="Times New Roman" w:eastAsia="宋体"/>
                <w:w w:val="100"/>
                <w:sz w:val="30"/>
                <w:lang w:eastAsia="zh-CN"/>
              </w:rPr>
              <w:t>环境保护税(工程排污费)：本工程暂不计取，结算时按实缴纳计取；</w:t>
            </w:r>
          </w:p>
          <w:p w14:paraId="11856039">
            <w:pPr>
              <w:numPr>
                <w:ilvl w:val="0"/>
                <w:numId w:val="1"/>
              </w:numPr>
              <w:autoSpaceDE/>
              <w:autoSpaceDN/>
              <w:snapToGrid/>
              <w:spacing w:before="0" w:after="0" w:line="240" w:lineRule="auto"/>
              <w:ind w:left="425" w:leftChars="0" w:hanging="425" w:firstLineChars="0"/>
              <w:jc w:val="both"/>
              <w:rPr>
                <w:rFonts w:hint="eastAsia" w:ascii="Times New Roman" w:hAnsi="Times New Roman" w:eastAsia="宋体"/>
                <w:w w:val="100"/>
                <w:sz w:val="30"/>
                <w:lang w:eastAsia="zh-CN"/>
              </w:rPr>
            </w:pPr>
            <w:r>
              <w:rPr>
                <w:rFonts w:hint="eastAsia" w:ascii="Times New Roman" w:hAnsi="Times New Roman" w:eastAsia="宋体"/>
                <w:w w:val="100"/>
                <w:sz w:val="30"/>
                <w:lang w:eastAsia="zh-CN"/>
              </w:rPr>
              <w:t>社会保障费：</w:t>
            </w:r>
            <w:r>
              <w:rPr>
                <w:rFonts w:hint="eastAsia" w:ascii="Times New Roman" w:hAnsi="Times New Roman" w:eastAsia="宋体"/>
                <w:w w:val="100"/>
                <w:sz w:val="30"/>
                <w:lang w:val="en-US" w:eastAsia="zh-CN"/>
              </w:rPr>
              <w:t>市政</w:t>
            </w:r>
            <w:r>
              <w:rPr>
                <w:rFonts w:hint="eastAsia" w:ascii="Times New Roman" w:hAnsi="Times New Roman" w:eastAsia="宋体"/>
                <w:color w:val="auto"/>
                <w:w w:val="100"/>
                <w:sz w:val="30"/>
                <w:lang w:val="en-US" w:eastAsia="zh-CN"/>
              </w:rPr>
              <w:t>按2%计取；</w:t>
            </w:r>
            <w:r>
              <w:rPr>
                <w:rFonts w:hint="eastAsia"/>
                <w:w w:val="100"/>
                <w:sz w:val="30"/>
                <w:lang w:val="en-US" w:eastAsia="zh-CN"/>
              </w:rPr>
              <w:t>路灯及交通设施按</w:t>
            </w:r>
            <w:r>
              <w:rPr>
                <w:rFonts w:hint="eastAsia" w:ascii="Times New Roman" w:hAnsi="Times New Roman" w:eastAsia="宋体"/>
                <w:color w:val="auto"/>
                <w:w w:val="100"/>
                <w:sz w:val="30"/>
                <w:lang w:val="en-US" w:eastAsia="zh-CN"/>
              </w:rPr>
              <w:t>2</w:t>
            </w:r>
            <w:r>
              <w:rPr>
                <w:rFonts w:hint="eastAsia"/>
                <w:color w:val="auto"/>
                <w:w w:val="100"/>
                <w:sz w:val="30"/>
                <w:lang w:val="en-US" w:eastAsia="zh-CN"/>
              </w:rPr>
              <w:t>.1</w:t>
            </w:r>
            <w:r>
              <w:rPr>
                <w:rFonts w:hint="eastAsia" w:ascii="Times New Roman" w:hAnsi="Times New Roman" w:eastAsia="宋体"/>
                <w:color w:val="auto"/>
                <w:w w:val="100"/>
                <w:sz w:val="30"/>
                <w:lang w:val="en-US" w:eastAsia="zh-CN"/>
              </w:rPr>
              <w:t>%计取</w:t>
            </w:r>
            <w:r>
              <w:rPr>
                <w:rFonts w:hint="eastAsia"/>
                <w:color w:val="auto"/>
                <w:w w:val="100"/>
                <w:sz w:val="30"/>
                <w:lang w:val="en-US" w:eastAsia="zh-CN"/>
              </w:rPr>
              <w:t>，</w:t>
            </w:r>
            <w:r>
              <w:rPr>
                <w:rFonts w:hint="eastAsia" w:ascii="Times New Roman" w:hAnsi="Times New Roman" w:eastAsia="宋体"/>
                <w:color w:val="auto"/>
                <w:w w:val="100"/>
                <w:sz w:val="30"/>
                <w:lang w:val="en-US" w:eastAsia="zh-CN"/>
              </w:rPr>
              <w:t>大型土石方按1.3％计取</w:t>
            </w:r>
            <w:r>
              <w:rPr>
                <w:rFonts w:hint="eastAsia"/>
                <w:color w:val="auto"/>
                <w:w w:val="100"/>
                <w:sz w:val="30"/>
                <w:lang w:val="en-US" w:eastAsia="zh-CN"/>
              </w:rPr>
              <w:t>。</w:t>
            </w:r>
          </w:p>
          <w:p w14:paraId="2751FDEA">
            <w:pPr>
              <w:numPr>
                <w:ilvl w:val="0"/>
                <w:numId w:val="1"/>
              </w:numPr>
              <w:autoSpaceDE/>
              <w:autoSpaceDN/>
              <w:snapToGrid/>
              <w:spacing w:before="0" w:after="0" w:line="240" w:lineRule="auto"/>
              <w:ind w:left="425" w:leftChars="0" w:hanging="425" w:firstLineChars="0"/>
              <w:jc w:val="both"/>
              <w:rPr>
                <w:rFonts w:hint="eastAsia" w:ascii="Times New Roman" w:hAnsi="Times New Roman" w:eastAsia="宋体"/>
                <w:w w:val="100"/>
                <w:sz w:val="30"/>
                <w:lang w:eastAsia="zh-CN"/>
              </w:rPr>
            </w:pPr>
            <w:r>
              <w:rPr>
                <w:rFonts w:hint="eastAsia" w:ascii="Times New Roman" w:hAnsi="Times New Roman" w:eastAsia="宋体"/>
                <w:w w:val="100"/>
                <w:sz w:val="30"/>
                <w:lang w:eastAsia="zh-CN"/>
              </w:rPr>
              <w:t>住房公积金：</w:t>
            </w:r>
            <w:r>
              <w:rPr>
                <w:rFonts w:hint="eastAsia" w:ascii="Times New Roman" w:hAnsi="Times New Roman" w:eastAsia="宋体"/>
                <w:w w:val="100"/>
                <w:sz w:val="30"/>
                <w:lang w:val="en-US" w:eastAsia="zh-CN"/>
              </w:rPr>
              <w:t>市政</w:t>
            </w:r>
            <w:r>
              <w:rPr>
                <w:rFonts w:hint="eastAsia" w:ascii="Times New Roman" w:hAnsi="Times New Roman" w:eastAsia="宋体"/>
                <w:color w:val="auto"/>
                <w:w w:val="100"/>
                <w:sz w:val="30"/>
                <w:lang w:val="en-US" w:eastAsia="zh-CN"/>
              </w:rPr>
              <w:t>按0.34%计取</w:t>
            </w:r>
            <w:r>
              <w:rPr>
                <w:rFonts w:hint="eastAsia" w:ascii="Times New Roman" w:hAnsi="Times New Roman" w:eastAsia="宋体"/>
                <w:w w:val="100"/>
                <w:sz w:val="30"/>
                <w:lang w:eastAsia="zh-CN"/>
              </w:rPr>
              <w:t>；</w:t>
            </w:r>
            <w:r>
              <w:rPr>
                <w:rFonts w:hint="eastAsia"/>
                <w:w w:val="100"/>
                <w:sz w:val="30"/>
                <w:lang w:val="en-US" w:eastAsia="zh-CN"/>
              </w:rPr>
              <w:t>路灯及交通设施按</w:t>
            </w:r>
            <w:r>
              <w:rPr>
                <w:rFonts w:hint="eastAsia"/>
                <w:color w:val="auto"/>
                <w:w w:val="100"/>
                <w:sz w:val="30"/>
                <w:lang w:val="en-US" w:eastAsia="zh-CN"/>
              </w:rPr>
              <w:t>0.37</w:t>
            </w:r>
            <w:r>
              <w:rPr>
                <w:rFonts w:hint="eastAsia" w:ascii="Times New Roman" w:hAnsi="Times New Roman" w:eastAsia="宋体"/>
                <w:color w:val="auto"/>
                <w:w w:val="100"/>
                <w:sz w:val="30"/>
                <w:lang w:val="en-US" w:eastAsia="zh-CN"/>
              </w:rPr>
              <w:t>%计取</w:t>
            </w:r>
            <w:r>
              <w:rPr>
                <w:rFonts w:hint="eastAsia"/>
                <w:color w:val="auto"/>
                <w:w w:val="100"/>
                <w:sz w:val="30"/>
                <w:lang w:val="en-US" w:eastAsia="zh-CN"/>
              </w:rPr>
              <w:t>，</w:t>
            </w:r>
            <w:r>
              <w:rPr>
                <w:rFonts w:hint="eastAsia" w:ascii="Times New Roman" w:hAnsi="Times New Roman" w:eastAsia="宋体"/>
                <w:color w:val="auto"/>
                <w:w w:val="100"/>
                <w:sz w:val="30"/>
                <w:lang w:val="en-US" w:eastAsia="zh-CN"/>
              </w:rPr>
              <w:t>大型土石方按0.24％计取</w:t>
            </w:r>
          </w:p>
          <w:p w14:paraId="2F2EA14C">
            <w:pPr>
              <w:numPr>
                <w:ilvl w:val="0"/>
                <w:numId w:val="1"/>
              </w:numPr>
              <w:autoSpaceDE/>
              <w:autoSpaceDN/>
              <w:snapToGrid/>
              <w:spacing w:before="0" w:after="0" w:line="240" w:lineRule="auto"/>
              <w:ind w:left="425" w:leftChars="0" w:hanging="425" w:firstLineChars="0"/>
              <w:jc w:val="both"/>
              <w:rPr>
                <w:rFonts w:hint="eastAsia" w:ascii="Times New Roman" w:hAnsi="Times New Roman" w:eastAsia="宋体"/>
                <w:w w:val="100"/>
                <w:sz w:val="30"/>
                <w:lang w:eastAsia="zh-CN"/>
              </w:rPr>
            </w:pPr>
            <w:r>
              <w:rPr>
                <w:rFonts w:hint="eastAsia" w:ascii="Times New Roman" w:hAnsi="Times New Roman" w:eastAsia="宋体"/>
                <w:w w:val="100"/>
                <w:sz w:val="30"/>
                <w:lang w:eastAsia="zh-CN"/>
              </w:rPr>
              <w:t>税金：按9%计算；</w:t>
            </w:r>
          </w:p>
          <w:p w14:paraId="00018AB2">
            <w:pPr>
              <w:numPr>
                <w:ilvl w:val="0"/>
                <w:numId w:val="0"/>
              </w:numPr>
              <w:autoSpaceDE/>
              <w:autoSpaceDN/>
              <w:snapToGrid/>
              <w:spacing w:before="0" w:after="0" w:line="240" w:lineRule="auto"/>
              <w:ind w:firstLine="300" w:firstLineChars="100"/>
              <w:jc w:val="both"/>
              <w:rPr>
                <w:rFonts w:hint="eastAsia" w:ascii="Times New Roman" w:hAnsi="Times New Roman" w:eastAsia="宋体"/>
                <w:w w:val="100"/>
                <w:sz w:val="30"/>
                <w:lang w:eastAsia="zh-CN"/>
              </w:rPr>
            </w:pPr>
            <w:r>
              <w:rPr>
                <w:rFonts w:hint="eastAsia" w:ascii="Times New Roman" w:hAnsi="Times New Roman" w:eastAsia="宋体"/>
                <w:w w:val="100"/>
                <w:sz w:val="30"/>
                <w:lang w:val="en-US" w:eastAsia="zh-CN"/>
              </w:rPr>
              <w:t>五、</w:t>
            </w:r>
            <w:r>
              <w:rPr>
                <w:rFonts w:hint="eastAsia" w:ascii="Times New Roman" w:hAnsi="Times New Roman" w:eastAsia="宋体"/>
                <w:w w:val="100"/>
                <w:sz w:val="30"/>
                <w:lang w:eastAsia="zh-CN"/>
              </w:rPr>
              <w:t>其他须说明的问题：</w:t>
            </w:r>
          </w:p>
          <w:p w14:paraId="5B2586AC">
            <w:pPr>
              <w:numPr>
                <w:ilvl w:val="0"/>
                <w:numId w:val="2"/>
              </w:numPr>
              <w:autoSpaceDE/>
              <w:autoSpaceDN/>
              <w:snapToGrid/>
              <w:spacing w:before="0" w:after="0" w:line="240" w:lineRule="auto"/>
              <w:ind w:left="425" w:leftChars="0" w:hanging="425" w:firstLineChars="0"/>
              <w:jc w:val="both"/>
              <w:rPr>
                <w:rFonts w:hint="eastAsia" w:ascii="Times New Roman" w:hAnsi="Times New Roman" w:eastAsia="宋体"/>
                <w:w w:val="100"/>
                <w:sz w:val="30"/>
                <w:lang w:eastAsia="zh-CN"/>
              </w:rPr>
            </w:pPr>
            <w:r>
              <w:rPr>
                <w:rFonts w:hint="eastAsia" w:ascii="Times New Roman" w:hAnsi="Times New Roman" w:eastAsia="宋体"/>
                <w:w w:val="100"/>
                <w:sz w:val="30"/>
                <w:lang w:eastAsia="zh-CN"/>
              </w:rPr>
              <w:t>土方工程量按图纸</w:t>
            </w:r>
            <w:r>
              <w:rPr>
                <w:rFonts w:hint="eastAsia" w:ascii="Times New Roman" w:hAnsi="Times New Roman" w:eastAsia="宋体"/>
                <w:w w:val="100"/>
                <w:sz w:val="30"/>
                <w:lang w:val="en-US" w:eastAsia="zh-CN"/>
              </w:rPr>
              <w:t>计算</w:t>
            </w:r>
            <w:r>
              <w:rPr>
                <w:rFonts w:hint="eastAsia" w:ascii="Times New Roman" w:hAnsi="Times New Roman" w:eastAsia="宋体"/>
                <w:w w:val="100"/>
                <w:sz w:val="30"/>
                <w:lang w:eastAsia="zh-CN"/>
              </w:rPr>
              <w:t>计入，结算时按现场实际工程量计入</w:t>
            </w:r>
            <w:r>
              <w:rPr>
                <w:rFonts w:hint="eastAsia"/>
                <w:w w:val="100"/>
                <w:sz w:val="30"/>
                <w:lang w:eastAsia="zh-CN"/>
              </w:rPr>
              <w:t>。</w:t>
            </w:r>
            <w:r>
              <w:rPr>
                <w:rFonts w:hint="eastAsia" w:ascii="Times New Roman" w:hAnsi="Times New Roman" w:eastAsia="宋体"/>
                <w:w w:val="100"/>
                <w:sz w:val="30"/>
                <w:lang w:val="en-US" w:eastAsia="zh-CN"/>
              </w:rPr>
              <w:t>余土外运暂按</w:t>
            </w:r>
            <w:r>
              <w:rPr>
                <w:rFonts w:hint="eastAsia"/>
                <w:w w:val="100"/>
                <w:sz w:val="30"/>
                <w:lang w:val="en-US" w:eastAsia="zh-CN"/>
              </w:rPr>
              <w:t>3</w:t>
            </w:r>
            <w:r>
              <w:rPr>
                <w:rFonts w:hint="eastAsia" w:ascii="Times New Roman" w:hAnsi="Times New Roman" w:eastAsia="宋体"/>
                <w:w w:val="100"/>
                <w:sz w:val="30"/>
                <w:lang w:val="en-US" w:eastAsia="zh-CN"/>
              </w:rPr>
              <w:t>km考虑</w:t>
            </w:r>
            <w:r>
              <w:rPr>
                <w:rFonts w:hint="eastAsia"/>
                <w:w w:val="100"/>
                <w:sz w:val="30"/>
                <w:lang w:val="en-US" w:eastAsia="zh-CN"/>
              </w:rPr>
              <w:t>，结算时不在调整</w:t>
            </w:r>
            <w:r>
              <w:rPr>
                <w:rFonts w:hint="eastAsia" w:ascii="Times New Roman" w:hAnsi="Times New Roman" w:eastAsia="宋体"/>
                <w:w w:val="100"/>
                <w:sz w:val="30"/>
                <w:lang w:val="en-US" w:eastAsia="zh-CN"/>
              </w:rPr>
              <w:t>。</w:t>
            </w:r>
            <w:bookmarkStart w:id="0" w:name="_GoBack"/>
            <w:bookmarkEnd w:id="0"/>
          </w:p>
          <w:p w14:paraId="1EED3D45">
            <w:pPr>
              <w:numPr>
                <w:ilvl w:val="0"/>
                <w:numId w:val="2"/>
              </w:numPr>
              <w:autoSpaceDE/>
              <w:autoSpaceDN/>
              <w:snapToGrid/>
              <w:spacing w:before="0" w:after="0" w:line="240" w:lineRule="auto"/>
              <w:ind w:left="425" w:leftChars="0" w:hanging="425" w:firstLineChars="0"/>
              <w:jc w:val="both"/>
              <w:rPr>
                <w:rFonts w:hint="eastAsia" w:ascii="Times New Roman" w:hAnsi="Times New Roman" w:eastAsia="宋体"/>
                <w:w w:val="100"/>
                <w:sz w:val="30"/>
                <w:lang w:eastAsia="zh-CN"/>
              </w:rPr>
            </w:pPr>
            <w:r>
              <w:rPr>
                <w:rFonts w:hint="eastAsia" w:ascii="Times New Roman" w:hAnsi="Times New Roman" w:eastAsia="宋体"/>
                <w:w w:val="100"/>
                <w:sz w:val="30"/>
                <w:lang w:eastAsia="zh-CN"/>
              </w:rPr>
              <w:t>人工费机械费按苏建函价【20</w:t>
            </w:r>
            <w:r>
              <w:rPr>
                <w:rFonts w:hint="eastAsia" w:ascii="Times New Roman" w:hAnsi="Times New Roman" w:eastAsia="宋体"/>
                <w:w w:val="100"/>
                <w:sz w:val="30"/>
                <w:lang w:val="en-US" w:eastAsia="zh-CN"/>
              </w:rPr>
              <w:t>2</w:t>
            </w:r>
            <w:r>
              <w:rPr>
                <w:rFonts w:hint="eastAsia"/>
                <w:w w:val="100"/>
                <w:sz w:val="30"/>
                <w:lang w:val="en-US" w:eastAsia="zh-CN"/>
              </w:rPr>
              <w:t>5</w:t>
            </w:r>
            <w:r>
              <w:rPr>
                <w:rFonts w:hint="eastAsia" w:ascii="Times New Roman" w:hAnsi="Times New Roman" w:eastAsia="宋体"/>
                <w:w w:val="100"/>
                <w:sz w:val="30"/>
                <w:lang w:eastAsia="zh-CN"/>
              </w:rPr>
              <w:t>】</w:t>
            </w:r>
            <w:r>
              <w:rPr>
                <w:rFonts w:hint="eastAsia"/>
                <w:w w:val="100"/>
                <w:sz w:val="30"/>
                <w:lang w:val="en-US" w:eastAsia="zh-CN"/>
              </w:rPr>
              <w:t>273</w:t>
            </w:r>
            <w:r>
              <w:rPr>
                <w:rFonts w:hint="eastAsia" w:ascii="Times New Roman" w:hAnsi="Times New Roman" w:eastAsia="宋体"/>
                <w:w w:val="100"/>
                <w:sz w:val="30"/>
                <w:lang w:eastAsia="zh-CN"/>
              </w:rPr>
              <w:t>号文件执行；</w:t>
            </w:r>
          </w:p>
          <w:p w14:paraId="4874167A">
            <w:pPr>
              <w:numPr>
                <w:ilvl w:val="0"/>
                <w:numId w:val="2"/>
              </w:numPr>
              <w:autoSpaceDE/>
              <w:autoSpaceDN/>
              <w:snapToGrid/>
              <w:spacing w:before="0" w:after="0" w:line="240" w:lineRule="auto"/>
              <w:ind w:left="425" w:leftChars="0" w:hanging="425" w:firstLineChars="0"/>
              <w:jc w:val="both"/>
              <w:rPr>
                <w:rFonts w:hint="eastAsia" w:ascii="Times New Roman" w:hAnsi="Times New Roman" w:eastAsia="宋体"/>
                <w:w w:val="100"/>
                <w:sz w:val="30"/>
                <w:lang w:eastAsia="zh-CN"/>
              </w:rPr>
            </w:pPr>
            <w:r>
              <w:rPr>
                <w:rFonts w:hint="eastAsia" w:ascii="Times New Roman" w:hAnsi="Times New Roman" w:eastAsia="宋体"/>
                <w:w w:val="100"/>
                <w:sz w:val="30"/>
                <w:lang w:eastAsia="zh-CN"/>
              </w:rPr>
              <w:t>材料价格：按执行《睢宁县建筑工程部分建材综合价格</w:t>
            </w:r>
            <w:r>
              <w:rPr>
                <w:rFonts w:hint="eastAsia" w:ascii="宋体" w:hAnsi="宋体" w:eastAsia="宋体"/>
                <w:w w:val="100"/>
                <w:sz w:val="30"/>
                <w:lang w:eastAsia="zh-CN"/>
              </w:rPr>
              <w:t>》202</w:t>
            </w:r>
            <w:r>
              <w:rPr>
                <w:rFonts w:hint="eastAsia" w:ascii="宋体" w:hAnsi="宋体"/>
                <w:w w:val="100"/>
                <w:sz w:val="30"/>
                <w:lang w:val="en-US" w:eastAsia="zh-CN"/>
              </w:rPr>
              <w:t>5</w:t>
            </w:r>
            <w:r>
              <w:rPr>
                <w:rFonts w:hint="eastAsia" w:ascii="宋体" w:hAnsi="宋体" w:eastAsia="宋体"/>
                <w:w w:val="100"/>
                <w:sz w:val="30"/>
                <w:lang w:eastAsia="zh-CN"/>
              </w:rPr>
              <w:t>年</w:t>
            </w:r>
            <w:r>
              <w:rPr>
                <w:rFonts w:hint="eastAsia" w:ascii="宋体" w:hAnsi="宋体"/>
                <w:w w:val="100"/>
                <w:sz w:val="30"/>
                <w:lang w:val="en-US" w:eastAsia="zh-CN"/>
              </w:rPr>
              <w:t>10</w:t>
            </w:r>
            <w:r>
              <w:rPr>
                <w:rFonts w:hint="eastAsia" w:ascii="宋体" w:hAnsi="宋体" w:eastAsia="宋体"/>
                <w:w w:val="100"/>
                <w:sz w:val="30"/>
                <w:lang w:eastAsia="zh-CN"/>
              </w:rPr>
              <w:t>月</w:t>
            </w:r>
            <w:r>
              <w:rPr>
                <w:rFonts w:hint="eastAsia" w:ascii="Times New Roman" w:hAnsi="Times New Roman" w:eastAsia="宋体"/>
                <w:w w:val="100"/>
                <w:sz w:val="30"/>
                <w:lang w:eastAsia="zh-CN"/>
              </w:rPr>
              <w:t>，其中部分材料</w:t>
            </w:r>
            <w:r>
              <w:rPr>
                <w:rFonts w:hint="eastAsia" w:ascii="Times New Roman" w:hAnsi="Times New Roman" w:eastAsia="宋体"/>
                <w:w w:val="100"/>
                <w:sz w:val="30"/>
                <w:lang w:val="en-US" w:eastAsia="zh-CN"/>
              </w:rPr>
              <w:t>参考</w:t>
            </w:r>
            <w:r>
              <w:rPr>
                <w:rFonts w:hint="eastAsia" w:ascii="Times New Roman" w:hAnsi="Times New Roman" w:eastAsia="宋体"/>
                <w:w w:val="100"/>
                <w:sz w:val="30"/>
                <w:lang w:eastAsia="zh-CN"/>
              </w:rPr>
              <w:t>202</w:t>
            </w:r>
            <w:r>
              <w:rPr>
                <w:rFonts w:hint="eastAsia"/>
                <w:w w:val="100"/>
                <w:sz w:val="30"/>
                <w:lang w:val="en-US" w:eastAsia="zh-CN"/>
              </w:rPr>
              <w:t>5</w:t>
            </w:r>
            <w:r>
              <w:rPr>
                <w:rFonts w:hint="eastAsia" w:ascii="Times New Roman" w:hAnsi="Times New Roman" w:eastAsia="宋体"/>
                <w:w w:val="100"/>
                <w:sz w:val="30"/>
                <w:lang w:eastAsia="zh-CN"/>
              </w:rPr>
              <w:t>年</w:t>
            </w:r>
            <w:r>
              <w:rPr>
                <w:rFonts w:hint="eastAsia"/>
                <w:w w:val="100"/>
                <w:sz w:val="30"/>
                <w:lang w:val="en-US" w:eastAsia="zh-CN"/>
              </w:rPr>
              <w:t>10</w:t>
            </w:r>
            <w:r>
              <w:rPr>
                <w:rFonts w:hint="eastAsia" w:ascii="Times New Roman" w:hAnsi="Times New Roman" w:eastAsia="宋体"/>
                <w:w w:val="100"/>
                <w:sz w:val="30"/>
                <w:lang w:eastAsia="zh-CN"/>
              </w:rPr>
              <w:t>月《徐州工程造价信息》发布的指导价，</w:t>
            </w:r>
            <w:r>
              <w:rPr>
                <w:rFonts w:hint="eastAsia" w:ascii="Times New Roman" w:hAnsi="Times New Roman" w:eastAsia="宋体"/>
                <w:w w:val="100"/>
                <w:sz w:val="30"/>
                <w:lang w:val="en-US" w:eastAsia="zh-CN"/>
              </w:rPr>
              <w:t>并结合市场价格综合考虑</w:t>
            </w:r>
            <w:r>
              <w:rPr>
                <w:rFonts w:hint="eastAsia" w:ascii="Times New Roman" w:hAnsi="Times New Roman" w:eastAsia="宋体"/>
                <w:w w:val="100"/>
                <w:sz w:val="30"/>
                <w:lang w:eastAsia="zh-CN"/>
              </w:rPr>
              <w:t>，其他无指导价的材料采用同期市场</w:t>
            </w:r>
            <w:r>
              <w:rPr>
                <w:rFonts w:hint="eastAsia" w:ascii="Times New Roman" w:hAnsi="Times New Roman" w:eastAsia="宋体"/>
                <w:w w:val="100"/>
                <w:sz w:val="30"/>
                <w:lang w:val="en-US" w:eastAsia="zh-CN"/>
              </w:rPr>
              <w:t>价格</w:t>
            </w:r>
            <w:r>
              <w:rPr>
                <w:rFonts w:hint="eastAsia" w:ascii="Times New Roman" w:hAnsi="Times New Roman" w:eastAsia="宋体"/>
                <w:w w:val="100"/>
                <w:sz w:val="30"/>
                <w:lang w:eastAsia="zh-CN"/>
              </w:rPr>
              <w:t>计算。</w:t>
            </w:r>
          </w:p>
          <w:p w14:paraId="54E670A3">
            <w:pPr>
              <w:numPr>
                <w:ilvl w:val="0"/>
                <w:numId w:val="2"/>
              </w:numPr>
              <w:autoSpaceDE/>
              <w:autoSpaceDN/>
              <w:snapToGrid/>
              <w:spacing w:before="0" w:after="0" w:line="240" w:lineRule="auto"/>
              <w:ind w:left="425" w:leftChars="0" w:hanging="425" w:firstLineChars="0"/>
              <w:jc w:val="both"/>
              <w:rPr>
                <w:rFonts w:hint="eastAsia" w:ascii="Times New Roman" w:hAnsi="Times New Roman" w:eastAsia="宋体"/>
                <w:w w:val="100"/>
                <w:sz w:val="30"/>
                <w:lang w:eastAsia="zh-CN"/>
              </w:rPr>
            </w:pPr>
            <w:r>
              <w:rPr>
                <w:rFonts w:hint="eastAsia" w:ascii="Times New Roman" w:hAnsi="Times New Roman" w:eastAsia="宋体"/>
                <w:w w:val="100"/>
                <w:sz w:val="30"/>
                <w:lang w:eastAsia="zh-CN"/>
              </w:rPr>
              <w:t>未尽事项按委托方通知说明、设计要求及相关规范执行。</w:t>
            </w:r>
          </w:p>
        </w:tc>
      </w:tr>
    </w:tbl>
    <w:p w14:paraId="1531F5A9">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9AEC02"/>
    <w:multiLevelType w:val="singleLevel"/>
    <w:tmpl w:val="2F9AEC02"/>
    <w:lvl w:ilvl="0" w:tentative="0">
      <w:start w:val="1"/>
      <w:numFmt w:val="decimal"/>
      <w:lvlText w:val="%1)"/>
      <w:lvlJc w:val="left"/>
      <w:pPr>
        <w:ind w:left="425" w:hanging="425"/>
      </w:pPr>
      <w:rPr>
        <w:rFonts w:hint="default"/>
      </w:rPr>
    </w:lvl>
  </w:abstractNum>
  <w:abstractNum w:abstractNumId="1">
    <w:nsid w:val="7678D165"/>
    <w:multiLevelType w:val="singleLevel"/>
    <w:tmpl w:val="7678D165"/>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DB7F52"/>
    <w:rsid w:val="31644F41"/>
    <w:rsid w:val="591748FE"/>
    <w:rsid w:val="63277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utoSpaceDE/>
      <w:autoSpaceDN/>
      <w:spacing w:before="0" w:after="0" w:line="240" w:lineRule="auto"/>
      <w:ind w:left="0" w:firstLine="3584"/>
      <w:jc w:val="both"/>
    </w:pPr>
    <w:rPr>
      <w:rFonts w:ascii="Times New Roman" w:hAnsi="Times New Roman" w:eastAsia="宋体" w:cs="Times New Roman"/>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6</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2025-11-10T03:31:51Z</dcterms:created>
  <dc:creator>Administrator</dc:creator>
  <cp:lastModifiedBy>塞翁失马</cp:lastModifiedBy>
  <dcterms:modified xsi:type="dcterms:W3CDTF">2025-11-10T03:42:20Z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eyJoZGlkIjoiOWZhNmNjYjI3YTM3ZDg0M2VkZTg5NTFiM2Y3YjljMGEiLCJ1c2VySWQiOiI0MzA1ODA3NDIifQ==</vt:lpwstr>
  </property>
  <property fmtid="{D5CDD505-2E9C-101B-9397-08002B2CF9AE}" pid="4" name="ICV">
    <vt:lpwstr>FA733FF03B4D4E0FAE9C588DBD0507E5_12</vt:lpwstr>
  </property>
</Properties>
</file>