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77726">
      <w:pPr>
        <w:spacing w:line="360" w:lineRule="auto"/>
        <w:ind w:firstLine="480" w:firstLineChars="200"/>
        <w:rPr>
          <w:rFonts w:hint="eastAsia" w:ascii="宋体" w:hAnsi="宋体" w:eastAsia="宋体" w:cs="Times New Roman"/>
          <w:color w:val="auto"/>
          <w:sz w:val="24"/>
          <w:szCs w:val="24"/>
          <w:highlight w:val="none"/>
        </w:rPr>
      </w:pPr>
      <w:bookmarkStart w:id="1" w:name="_GoBack"/>
      <w:bookmarkStart w:id="0" w:name="OLE_LINK3"/>
      <w:r>
        <w:rPr>
          <w:rFonts w:hint="eastAsia" w:ascii="宋体" w:hAnsi="宋体" w:eastAsia="宋体" w:cs="Times New Roman"/>
          <w:color w:val="auto"/>
          <w:sz w:val="24"/>
          <w:szCs w:val="24"/>
          <w:highlight w:val="none"/>
        </w:rPr>
        <w:t>如有建议或意见，请以书面形式并加盖公章、注明联系人、联系方式，于</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日</w:t>
      </w:r>
      <w:r>
        <w:rPr>
          <w:rFonts w:hint="eastAsia" w:ascii="宋体" w:hAnsi="宋体" w:eastAsia="宋体" w:cs="Times New Roman"/>
          <w:color w:val="auto"/>
          <w:sz w:val="24"/>
          <w:szCs w:val="24"/>
          <w:highlight w:val="none"/>
        </w:rPr>
        <w:t>17:00之前送至我单位，逾期不受理（如邮寄，</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日</w:t>
      </w:r>
      <w:r>
        <w:rPr>
          <w:rFonts w:hint="eastAsia" w:ascii="宋体" w:hAnsi="宋体" w:eastAsia="宋体" w:cs="Times New Roman"/>
          <w:color w:val="auto"/>
          <w:sz w:val="24"/>
          <w:szCs w:val="24"/>
          <w:highlight w:val="none"/>
        </w:rPr>
        <w:t>17:00之后到达本公司的邮件将不再受理）。</w:t>
      </w:r>
    </w:p>
    <w:p w14:paraId="6A153B25">
      <w:pPr>
        <w:spacing w:line="360" w:lineRule="auto"/>
        <w:ind w:firstLine="480" w:firstLineChars="200"/>
        <w:rPr>
          <w:rFonts w:hint="eastAsia" w:ascii="宋体" w:hAnsi="宋体" w:eastAsia="宋体" w:cs="Times New Roman"/>
          <w:color w:val="auto"/>
          <w:sz w:val="24"/>
          <w:szCs w:val="24"/>
          <w:highlight w:val="none"/>
        </w:rPr>
      </w:pPr>
    </w:p>
    <w:p w14:paraId="0A15DCAA">
      <w:pPr>
        <w:spacing w:line="360" w:lineRule="auto"/>
        <w:ind w:firstLine="480" w:firstLineChars="200"/>
        <w:rPr>
          <w:rFonts w:hint="eastAsia" w:ascii="宋体" w:hAnsi="宋体" w:eastAsia="宋体" w:cs="Times New Roman"/>
          <w:color w:val="auto"/>
          <w:sz w:val="24"/>
          <w:szCs w:val="24"/>
          <w:highlight w:val="none"/>
        </w:rPr>
      </w:pPr>
    </w:p>
    <w:p w14:paraId="071D887F">
      <w:pPr>
        <w:spacing w:line="360" w:lineRule="auto"/>
        <w:ind w:firstLine="480" w:firstLineChars="200"/>
        <w:rPr>
          <w:rFonts w:hint="eastAsia" w:ascii="宋体" w:hAnsi="宋体" w:eastAsia="宋体" w:cs="Times New Roman"/>
          <w:color w:val="auto"/>
          <w:sz w:val="24"/>
          <w:szCs w:val="24"/>
          <w:highlight w:val="none"/>
        </w:rPr>
      </w:pPr>
    </w:p>
    <w:p w14:paraId="416915F7">
      <w:pPr>
        <w:spacing w:line="360" w:lineRule="auto"/>
        <w:ind w:firstLine="480" w:firstLineChars="200"/>
        <w:rPr>
          <w:rFonts w:hint="eastAsia" w:ascii="宋体" w:hAnsi="宋体" w:eastAsia="宋体" w:cs="Times New Roman"/>
          <w:color w:val="auto"/>
          <w:sz w:val="24"/>
          <w:szCs w:val="24"/>
          <w:highlight w:val="none"/>
        </w:rPr>
      </w:pPr>
    </w:p>
    <w:p w14:paraId="3C4481D9">
      <w:pPr>
        <w:spacing w:line="360" w:lineRule="auto"/>
        <w:ind w:firstLine="480" w:firstLineChars="200"/>
        <w:rPr>
          <w:rFonts w:hint="eastAsia" w:ascii="宋体" w:hAnsi="宋体" w:eastAsia="宋体" w:cs="Times New Roman"/>
          <w:color w:val="auto"/>
          <w:sz w:val="24"/>
          <w:szCs w:val="24"/>
          <w:highlight w:val="none"/>
        </w:rPr>
      </w:pPr>
    </w:p>
    <w:p w14:paraId="3B44F99C">
      <w:pPr>
        <w:spacing w:line="360" w:lineRule="auto"/>
        <w:ind w:firstLine="480" w:firstLineChars="200"/>
        <w:rPr>
          <w:rFonts w:hint="eastAsia" w:ascii="宋体" w:hAnsi="宋体" w:eastAsia="宋体" w:cs="Times New Roman"/>
          <w:color w:val="auto"/>
          <w:sz w:val="24"/>
          <w:szCs w:val="24"/>
          <w:highlight w:val="none"/>
        </w:rPr>
      </w:pPr>
    </w:p>
    <w:p w14:paraId="71E050F8">
      <w:pPr>
        <w:spacing w:line="360" w:lineRule="auto"/>
        <w:ind w:firstLine="480" w:firstLineChars="200"/>
        <w:rPr>
          <w:rFonts w:hint="eastAsia" w:ascii="宋体" w:hAnsi="宋体" w:eastAsia="宋体" w:cs="Times New Roman"/>
          <w:color w:val="auto"/>
          <w:sz w:val="24"/>
          <w:szCs w:val="24"/>
          <w:highlight w:val="none"/>
        </w:rPr>
      </w:pPr>
    </w:p>
    <w:p w14:paraId="5D7E0F8C">
      <w:pPr>
        <w:spacing w:line="360" w:lineRule="auto"/>
        <w:ind w:firstLine="480" w:firstLineChars="200"/>
        <w:rPr>
          <w:rFonts w:hint="eastAsia" w:ascii="宋体" w:hAnsi="宋体" w:eastAsia="宋体" w:cs="Times New Roman"/>
          <w:color w:val="auto"/>
          <w:sz w:val="24"/>
          <w:szCs w:val="24"/>
          <w:highlight w:val="none"/>
        </w:rPr>
      </w:pPr>
    </w:p>
    <w:p w14:paraId="54AC4DA2">
      <w:pPr>
        <w:spacing w:line="360" w:lineRule="auto"/>
        <w:ind w:firstLine="480" w:firstLineChars="200"/>
        <w:rPr>
          <w:rFonts w:hint="eastAsia" w:ascii="宋体" w:hAnsi="宋体" w:eastAsia="宋体" w:cs="Times New Roman"/>
          <w:color w:val="auto"/>
          <w:sz w:val="24"/>
          <w:szCs w:val="24"/>
          <w:highlight w:val="none"/>
        </w:rPr>
      </w:pPr>
    </w:p>
    <w:p w14:paraId="6D449B7F">
      <w:pPr>
        <w:spacing w:line="360" w:lineRule="auto"/>
        <w:ind w:firstLine="480" w:firstLineChars="200"/>
        <w:rPr>
          <w:rFonts w:hint="eastAsia" w:ascii="宋体" w:hAnsi="宋体" w:eastAsia="宋体" w:cs="Times New Roman"/>
          <w:color w:val="auto"/>
          <w:sz w:val="24"/>
          <w:szCs w:val="24"/>
          <w:highlight w:val="none"/>
        </w:rPr>
      </w:pPr>
    </w:p>
    <w:p w14:paraId="4760D77C">
      <w:pPr>
        <w:spacing w:line="360" w:lineRule="auto"/>
        <w:ind w:firstLine="480" w:firstLineChars="200"/>
        <w:rPr>
          <w:rFonts w:hint="eastAsia" w:ascii="宋体" w:hAnsi="宋体" w:eastAsia="宋体" w:cs="Times New Roman"/>
          <w:color w:val="auto"/>
          <w:sz w:val="24"/>
          <w:szCs w:val="24"/>
          <w:highlight w:val="none"/>
        </w:rPr>
      </w:pPr>
    </w:p>
    <w:p w14:paraId="24155377">
      <w:pPr>
        <w:spacing w:line="360" w:lineRule="auto"/>
        <w:ind w:firstLine="480" w:firstLineChars="200"/>
        <w:rPr>
          <w:rFonts w:hint="eastAsia" w:ascii="宋体" w:hAnsi="宋体" w:eastAsia="宋体" w:cs="Times New Roman"/>
          <w:color w:val="auto"/>
          <w:sz w:val="24"/>
          <w:szCs w:val="24"/>
          <w:highlight w:val="none"/>
        </w:rPr>
      </w:pPr>
    </w:p>
    <w:p w14:paraId="1E69349F">
      <w:pPr>
        <w:spacing w:line="360" w:lineRule="auto"/>
        <w:ind w:firstLine="480" w:firstLineChars="200"/>
        <w:rPr>
          <w:rFonts w:hint="eastAsia" w:ascii="宋体" w:hAnsi="宋体" w:eastAsia="宋体" w:cs="Times New Roman"/>
          <w:color w:val="auto"/>
          <w:sz w:val="24"/>
          <w:szCs w:val="24"/>
          <w:highlight w:val="none"/>
        </w:rPr>
      </w:pPr>
    </w:p>
    <w:p w14:paraId="7BD4243A">
      <w:pPr>
        <w:spacing w:line="360" w:lineRule="auto"/>
        <w:ind w:firstLine="480" w:firstLineChars="200"/>
        <w:rPr>
          <w:rFonts w:hint="eastAsia" w:ascii="宋体" w:hAnsi="宋体" w:eastAsia="宋体" w:cs="Times New Roman"/>
          <w:color w:val="auto"/>
          <w:sz w:val="24"/>
          <w:szCs w:val="24"/>
          <w:highlight w:val="none"/>
        </w:rPr>
      </w:pPr>
    </w:p>
    <w:p w14:paraId="6DE20FAD">
      <w:pPr>
        <w:spacing w:line="360" w:lineRule="auto"/>
        <w:ind w:firstLine="480" w:firstLineChars="200"/>
        <w:rPr>
          <w:rFonts w:hint="eastAsia" w:ascii="宋体" w:hAnsi="宋体" w:eastAsia="宋体" w:cs="Times New Roman"/>
          <w:color w:val="auto"/>
          <w:sz w:val="24"/>
          <w:szCs w:val="24"/>
          <w:highlight w:val="none"/>
        </w:rPr>
      </w:pPr>
    </w:p>
    <w:p w14:paraId="24BFFEAC">
      <w:pPr>
        <w:spacing w:line="360" w:lineRule="auto"/>
        <w:ind w:firstLine="480" w:firstLineChars="200"/>
        <w:rPr>
          <w:rFonts w:hint="eastAsia" w:ascii="宋体" w:hAnsi="宋体" w:eastAsia="宋体" w:cs="Times New Roman"/>
          <w:color w:val="auto"/>
          <w:sz w:val="24"/>
          <w:szCs w:val="24"/>
          <w:highlight w:val="none"/>
        </w:rPr>
      </w:pPr>
    </w:p>
    <w:p w14:paraId="7520EC15">
      <w:pPr>
        <w:spacing w:line="360" w:lineRule="auto"/>
        <w:ind w:firstLine="480" w:firstLineChars="200"/>
        <w:rPr>
          <w:rFonts w:hint="eastAsia" w:ascii="宋体" w:hAnsi="宋体" w:eastAsia="宋体" w:cs="Times New Roman"/>
          <w:color w:val="auto"/>
          <w:sz w:val="24"/>
          <w:szCs w:val="24"/>
          <w:highlight w:val="none"/>
        </w:rPr>
      </w:pPr>
    </w:p>
    <w:p w14:paraId="74955FBB">
      <w:pPr>
        <w:spacing w:line="360" w:lineRule="auto"/>
        <w:ind w:firstLine="480" w:firstLineChars="200"/>
        <w:rPr>
          <w:rFonts w:hint="eastAsia" w:ascii="宋体" w:hAnsi="宋体" w:eastAsia="宋体" w:cs="Times New Roman"/>
          <w:color w:val="auto"/>
          <w:sz w:val="24"/>
          <w:szCs w:val="24"/>
          <w:highlight w:val="none"/>
        </w:rPr>
      </w:pPr>
    </w:p>
    <w:p w14:paraId="04F5B769">
      <w:pPr>
        <w:spacing w:line="360" w:lineRule="auto"/>
        <w:ind w:firstLine="480" w:firstLineChars="200"/>
        <w:rPr>
          <w:rFonts w:hint="eastAsia" w:ascii="宋体" w:hAnsi="宋体" w:eastAsia="宋体" w:cs="Times New Roman"/>
          <w:color w:val="auto"/>
          <w:sz w:val="24"/>
          <w:szCs w:val="24"/>
          <w:highlight w:val="none"/>
        </w:rPr>
      </w:pPr>
    </w:p>
    <w:p w14:paraId="4BA65563">
      <w:pPr>
        <w:spacing w:line="360" w:lineRule="auto"/>
        <w:ind w:firstLine="480" w:firstLineChars="200"/>
        <w:rPr>
          <w:rFonts w:hint="eastAsia" w:ascii="宋体" w:hAnsi="宋体" w:eastAsia="宋体" w:cs="Times New Roman"/>
          <w:color w:val="auto"/>
          <w:sz w:val="24"/>
          <w:szCs w:val="24"/>
          <w:highlight w:val="none"/>
        </w:rPr>
      </w:pPr>
    </w:p>
    <w:p w14:paraId="503F9EC0">
      <w:pPr>
        <w:spacing w:line="360" w:lineRule="auto"/>
        <w:ind w:firstLine="480" w:firstLineChars="200"/>
        <w:rPr>
          <w:rFonts w:hint="eastAsia" w:ascii="宋体" w:hAnsi="宋体" w:eastAsia="宋体" w:cs="Times New Roman"/>
          <w:color w:val="auto"/>
          <w:sz w:val="24"/>
          <w:szCs w:val="24"/>
          <w:highlight w:val="none"/>
        </w:rPr>
      </w:pPr>
    </w:p>
    <w:p w14:paraId="18240E7E">
      <w:pPr>
        <w:spacing w:line="360" w:lineRule="auto"/>
        <w:ind w:firstLine="480" w:firstLineChars="200"/>
        <w:rPr>
          <w:rFonts w:hint="eastAsia" w:ascii="宋体" w:hAnsi="宋体" w:eastAsia="宋体" w:cs="Times New Roman"/>
          <w:color w:val="auto"/>
          <w:sz w:val="24"/>
          <w:szCs w:val="24"/>
          <w:highlight w:val="none"/>
        </w:rPr>
      </w:pPr>
    </w:p>
    <w:p w14:paraId="79B67DD3">
      <w:pPr>
        <w:spacing w:line="360" w:lineRule="auto"/>
        <w:ind w:firstLine="480" w:firstLineChars="200"/>
        <w:rPr>
          <w:rFonts w:hint="eastAsia" w:ascii="宋体" w:hAnsi="宋体" w:eastAsia="宋体" w:cs="Times New Roman"/>
          <w:color w:val="auto"/>
          <w:sz w:val="24"/>
          <w:szCs w:val="24"/>
          <w:highlight w:val="none"/>
        </w:rPr>
      </w:pPr>
    </w:p>
    <w:p w14:paraId="5F867AE7">
      <w:pPr>
        <w:spacing w:line="360" w:lineRule="auto"/>
        <w:ind w:firstLine="480" w:firstLineChars="200"/>
        <w:rPr>
          <w:rFonts w:hint="eastAsia" w:ascii="宋体" w:hAnsi="宋体" w:eastAsia="宋体" w:cs="Times New Roman"/>
          <w:color w:val="auto"/>
          <w:sz w:val="24"/>
          <w:szCs w:val="24"/>
          <w:highlight w:val="none"/>
        </w:rPr>
      </w:pPr>
    </w:p>
    <w:p w14:paraId="44EA6088">
      <w:pPr>
        <w:spacing w:line="360" w:lineRule="auto"/>
        <w:ind w:firstLine="480" w:firstLineChars="200"/>
        <w:rPr>
          <w:rFonts w:hint="eastAsia" w:ascii="宋体" w:hAnsi="宋体" w:eastAsia="宋体" w:cs="Times New Roman"/>
          <w:color w:val="auto"/>
          <w:sz w:val="24"/>
          <w:szCs w:val="24"/>
          <w:highlight w:val="none"/>
        </w:rPr>
      </w:pPr>
    </w:p>
    <w:p w14:paraId="2F05F728">
      <w:pPr>
        <w:spacing w:line="360" w:lineRule="auto"/>
        <w:ind w:firstLine="480" w:firstLineChars="200"/>
        <w:rPr>
          <w:rFonts w:hint="eastAsia" w:ascii="宋体" w:hAnsi="宋体" w:eastAsia="宋体" w:cs="Times New Roman"/>
          <w:color w:val="auto"/>
          <w:sz w:val="24"/>
          <w:szCs w:val="24"/>
          <w:highlight w:val="none"/>
        </w:rPr>
      </w:pPr>
    </w:p>
    <w:p w14:paraId="380A8615">
      <w:pPr>
        <w:pBdr>
          <w:top w:val="none" w:color="000000" w:sz="0" w:space="0"/>
          <w:left w:val="none" w:color="000000" w:sz="0" w:space="0"/>
          <w:bottom w:val="none" w:color="000000" w:sz="0" w:space="0"/>
          <w:right w:val="none" w:color="000000" w:sz="0" w:space="0"/>
        </w:pBdr>
        <w:spacing w:before="0" w:after="0"/>
        <w:ind w:left="0" w:right="0" w:firstLine="300"/>
        <w:jc w:val="center"/>
        <w:rPr>
          <w:rFonts w:ascii="宋体" w:hAnsi="宋体" w:eastAsia="宋体" w:cs="宋体"/>
          <w:color w:val="auto"/>
          <w:sz w:val="30"/>
          <w:szCs w:val="30"/>
          <w:highlight w:val="none"/>
        </w:rPr>
      </w:pPr>
    </w:p>
    <w:p w14:paraId="59304889">
      <w:pPr>
        <w:pBdr>
          <w:top w:val="none" w:color="000000" w:sz="0" w:space="0"/>
          <w:left w:val="none" w:color="000000" w:sz="0" w:space="0"/>
          <w:bottom w:val="none" w:color="000000" w:sz="0" w:space="0"/>
          <w:right w:val="none" w:color="000000" w:sz="0" w:space="0"/>
        </w:pBdr>
        <w:spacing w:before="0" w:after="0"/>
        <w:ind w:left="0" w:right="0" w:firstLine="300"/>
        <w:jc w:val="center"/>
        <w:rPr>
          <w:color w:val="auto"/>
          <w:sz w:val="30"/>
          <w:szCs w:val="30"/>
          <w:highlight w:val="none"/>
        </w:rPr>
      </w:pPr>
      <w:r>
        <w:rPr>
          <w:rFonts w:ascii="宋体" w:hAnsi="宋体" w:eastAsia="宋体" w:cs="宋体"/>
          <w:color w:val="auto"/>
          <w:sz w:val="30"/>
          <w:szCs w:val="30"/>
          <w:highlight w:val="none"/>
        </w:rPr>
        <w:t>第六章</w:t>
      </w:r>
      <w:r>
        <w:rPr>
          <w:rFonts w:hint="eastAsia" w:ascii="宋体" w:hAnsi="宋体" w:cs="宋体"/>
          <w:color w:val="auto"/>
          <w:sz w:val="30"/>
          <w:szCs w:val="30"/>
          <w:highlight w:val="none"/>
          <w:lang w:val="en-US" w:eastAsia="zh-CN"/>
        </w:rPr>
        <w:t xml:space="preserve"> </w:t>
      </w:r>
      <w:r>
        <w:rPr>
          <w:rFonts w:ascii="宋体" w:hAnsi="宋体" w:eastAsia="宋体" w:cs="宋体"/>
          <w:color w:val="auto"/>
          <w:sz w:val="30"/>
          <w:szCs w:val="30"/>
          <w:highlight w:val="none"/>
        </w:rPr>
        <w:t>采购需求</w:t>
      </w:r>
    </w:p>
    <w:bookmarkEnd w:id="0"/>
    <w:p w14:paraId="79644ADB">
      <w:pPr>
        <w:pBdr>
          <w:top w:val="none" w:color="000000" w:sz="0" w:space="0"/>
          <w:left w:val="none" w:color="000000" w:sz="0" w:space="0"/>
          <w:bottom w:val="none" w:color="000000" w:sz="0" w:space="0"/>
          <w:right w:val="none" w:color="000000" w:sz="0" w:space="0"/>
        </w:pBd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rPr>
        <w:t>、项目名称：2025-2026年度高新区规划技术服务和详规调整维护</w:t>
      </w:r>
    </w:p>
    <w:p w14:paraId="0234B7A5">
      <w:pPr>
        <w:pBdr>
          <w:top w:val="none" w:color="000000" w:sz="0" w:space="0"/>
          <w:left w:val="none" w:color="000000" w:sz="0" w:space="0"/>
          <w:bottom w:val="none" w:color="000000" w:sz="0" w:space="0"/>
          <w:right w:val="none" w:color="000000" w:sz="0" w:space="0"/>
        </w:pBd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二、采购预算：本项目不接受超过</w:t>
      </w:r>
      <w:r>
        <w:rPr>
          <w:rFonts w:hint="eastAsia" w:ascii="宋体" w:hAnsi="宋体" w:cs="宋体"/>
          <w:b/>
          <w:color w:val="auto"/>
          <w:sz w:val="24"/>
          <w:highlight w:val="none"/>
        </w:rPr>
        <w:t>75万元</w:t>
      </w:r>
      <w:r>
        <w:rPr>
          <w:rFonts w:hint="eastAsia" w:ascii="宋体" w:hAnsi="宋体" w:cs="宋体"/>
          <w:b/>
          <w:color w:val="auto"/>
          <w:sz w:val="24"/>
          <w:highlight w:val="none"/>
        </w:rPr>
        <w:t>（采购项目预算金额）的报价，其中</w:t>
      </w:r>
      <w:r>
        <w:rPr>
          <w:rFonts w:hint="eastAsia" w:ascii="宋体" w:hAnsi="宋体" w:cs="宋体"/>
          <w:b/>
          <w:color w:val="auto"/>
          <w:sz w:val="24"/>
          <w:highlight w:val="none"/>
        </w:rPr>
        <w:t>每项单项报价不接受超过采购预算单价的报价</w:t>
      </w:r>
      <w:r>
        <w:rPr>
          <w:rFonts w:hint="eastAsia" w:ascii="宋体" w:hAnsi="宋体" w:cs="宋体"/>
          <w:b/>
          <w:color w:val="auto"/>
          <w:sz w:val="24"/>
          <w:highlight w:val="none"/>
        </w:rPr>
        <w:t>。</w:t>
      </w:r>
    </w:p>
    <w:p w14:paraId="418C4CB4">
      <w:pPr>
        <w:pBdr>
          <w:top w:val="none" w:color="000000" w:sz="0" w:space="0"/>
          <w:left w:val="none" w:color="000000" w:sz="0" w:space="0"/>
          <w:bottom w:val="none" w:color="000000" w:sz="0" w:space="0"/>
          <w:right w:val="none" w:color="000000" w:sz="0" w:space="0"/>
        </w:pBd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报价包括服务、税金、检验、保险、验收等全部费用。采购人不再支付报价以外的任何费用。</w:t>
      </w:r>
    </w:p>
    <w:p w14:paraId="22DAD4E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b/>
          <w:color w:val="auto"/>
          <w:sz w:val="24"/>
          <w:highlight w:val="none"/>
        </w:rPr>
        <w:t>服务项目及计费标准：</w:t>
      </w:r>
    </w:p>
    <w:tbl>
      <w:tblPr>
        <w:tblStyle w:val="3"/>
        <w:tblW w:w="8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4"/>
        <w:gridCol w:w="2329"/>
        <w:gridCol w:w="1072"/>
        <w:gridCol w:w="1601"/>
        <w:gridCol w:w="2940"/>
      </w:tblGrid>
      <w:tr w14:paraId="672B4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634" w:type="dxa"/>
            <w:shd w:val="clear" w:color="auto" w:fill="auto"/>
            <w:noWrap w:val="0"/>
            <w:textDirection w:val="tbRlV"/>
            <w:vAlign w:val="center"/>
          </w:tcPr>
          <w:p w14:paraId="17FBCFEE">
            <w:pPr>
              <w:pStyle w:val="5"/>
              <w:jc w:val="center"/>
              <w:rPr>
                <w:rFonts w:hint="eastAsia"/>
                <w:color w:val="auto"/>
                <w:sz w:val="24"/>
                <w:szCs w:val="24"/>
                <w:highlight w:val="none"/>
              </w:rPr>
            </w:pPr>
            <w:r>
              <w:rPr>
                <w:rFonts w:hint="eastAsia"/>
                <w:color w:val="auto"/>
                <w:sz w:val="24"/>
                <w:szCs w:val="24"/>
                <w:highlight w:val="none"/>
              </w:rPr>
              <w:t>序</w:t>
            </w:r>
            <w:r>
              <w:rPr>
                <w:rFonts w:hint="eastAsia"/>
                <w:color w:val="auto"/>
                <w:spacing w:val="24"/>
                <w:sz w:val="24"/>
                <w:szCs w:val="24"/>
                <w:highlight w:val="none"/>
              </w:rPr>
              <w:t xml:space="preserve"> </w:t>
            </w:r>
            <w:r>
              <w:rPr>
                <w:rFonts w:hint="eastAsia"/>
                <w:color w:val="auto"/>
                <w:sz w:val="24"/>
                <w:szCs w:val="24"/>
                <w:highlight w:val="none"/>
              </w:rPr>
              <w:t>号</w:t>
            </w:r>
          </w:p>
        </w:tc>
        <w:tc>
          <w:tcPr>
            <w:tcW w:w="2329" w:type="dxa"/>
            <w:shd w:val="clear" w:color="auto" w:fill="auto"/>
            <w:noWrap w:val="0"/>
            <w:vAlign w:val="center"/>
          </w:tcPr>
          <w:p w14:paraId="1BA84F71">
            <w:pPr>
              <w:pStyle w:val="5"/>
              <w:ind w:firstLine="708" w:firstLineChars="300"/>
              <w:rPr>
                <w:rFonts w:hint="eastAsia"/>
                <w:color w:val="auto"/>
                <w:sz w:val="24"/>
                <w:szCs w:val="24"/>
                <w:highlight w:val="none"/>
              </w:rPr>
            </w:pPr>
            <w:r>
              <w:rPr>
                <w:rFonts w:hint="eastAsia"/>
                <w:color w:val="auto"/>
                <w:spacing w:val="-2"/>
                <w:sz w:val="24"/>
                <w:szCs w:val="24"/>
                <w:highlight w:val="none"/>
              </w:rPr>
              <w:t>项目类型</w:t>
            </w:r>
          </w:p>
        </w:tc>
        <w:tc>
          <w:tcPr>
            <w:tcW w:w="1072" w:type="dxa"/>
            <w:shd w:val="clear" w:color="auto" w:fill="auto"/>
            <w:noWrap w:val="0"/>
            <w:vAlign w:val="center"/>
          </w:tcPr>
          <w:p w14:paraId="0C42AEA0">
            <w:pPr>
              <w:pStyle w:val="5"/>
              <w:rPr>
                <w:rFonts w:hint="eastAsia"/>
                <w:color w:val="auto"/>
                <w:sz w:val="24"/>
                <w:szCs w:val="24"/>
                <w:highlight w:val="none"/>
              </w:rPr>
            </w:pPr>
            <w:r>
              <w:rPr>
                <w:rFonts w:hint="eastAsia"/>
                <w:color w:val="auto"/>
                <w:spacing w:val="-2"/>
                <w:sz w:val="24"/>
                <w:szCs w:val="24"/>
                <w:highlight w:val="none"/>
              </w:rPr>
              <w:t>计费单位</w:t>
            </w:r>
          </w:p>
        </w:tc>
        <w:tc>
          <w:tcPr>
            <w:tcW w:w="1601" w:type="dxa"/>
            <w:shd w:val="clear" w:color="auto" w:fill="auto"/>
            <w:noWrap w:val="0"/>
            <w:vAlign w:val="center"/>
          </w:tcPr>
          <w:p w14:paraId="1A7D0FBF">
            <w:pPr>
              <w:pBdr>
                <w:top w:val="none" w:color="000000" w:sz="0" w:space="0"/>
                <w:left w:val="none" w:color="000000" w:sz="0" w:space="0"/>
                <w:bottom w:val="none" w:color="000000" w:sz="0" w:space="0"/>
                <w:right w:val="none" w:color="000000" w:sz="0" w:space="0"/>
              </w:pBdr>
              <w:spacing w:line="419" w:lineRule="atLeast"/>
              <w:jc w:val="center"/>
              <w:rPr>
                <w:rFonts w:hint="eastAsia" w:ascii="宋体" w:hAnsi="宋体" w:cs="宋体"/>
                <w:color w:val="auto"/>
                <w:sz w:val="24"/>
                <w:highlight w:val="none"/>
              </w:rPr>
            </w:pPr>
            <w:r>
              <w:rPr>
                <w:rFonts w:hint="eastAsia" w:ascii="宋体" w:hAnsi="宋体" w:cs="宋体"/>
                <w:color w:val="auto"/>
                <w:sz w:val="24"/>
                <w:highlight w:val="none"/>
              </w:rPr>
              <w:t>采购预算单价</w:t>
            </w:r>
          </w:p>
        </w:tc>
        <w:tc>
          <w:tcPr>
            <w:tcW w:w="2940" w:type="dxa"/>
            <w:shd w:val="clear" w:color="auto" w:fill="auto"/>
            <w:noWrap w:val="0"/>
            <w:vAlign w:val="center"/>
          </w:tcPr>
          <w:p w14:paraId="6C69DFEC">
            <w:pPr>
              <w:pBdr>
                <w:top w:val="none" w:color="000000" w:sz="0" w:space="0"/>
                <w:left w:val="none" w:color="000000" w:sz="0" w:space="0"/>
                <w:bottom w:val="none" w:color="000000" w:sz="0" w:space="0"/>
                <w:right w:val="none" w:color="000000" w:sz="0" w:space="0"/>
              </w:pBdr>
              <w:spacing w:line="419"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E7B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634" w:type="dxa"/>
            <w:shd w:val="clear" w:color="auto" w:fill="auto"/>
            <w:noWrap w:val="0"/>
            <w:vAlign w:val="center"/>
          </w:tcPr>
          <w:p w14:paraId="52D28B86">
            <w:pPr>
              <w:pStyle w:val="5"/>
              <w:jc w:val="center"/>
              <w:rPr>
                <w:rFonts w:hint="eastAsia"/>
                <w:color w:val="auto"/>
                <w:sz w:val="24"/>
                <w:szCs w:val="24"/>
                <w:highlight w:val="none"/>
              </w:rPr>
            </w:pPr>
            <w:r>
              <w:rPr>
                <w:rFonts w:hint="eastAsia"/>
                <w:color w:val="auto"/>
                <w:sz w:val="24"/>
                <w:szCs w:val="24"/>
                <w:highlight w:val="none"/>
              </w:rPr>
              <w:t>1</w:t>
            </w:r>
          </w:p>
        </w:tc>
        <w:tc>
          <w:tcPr>
            <w:tcW w:w="2329" w:type="dxa"/>
            <w:shd w:val="clear" w:color="auto" w:fill="auto"/>
            <w:noWrap w:val="0"/>
            <w:vAlign w:val="center"/>
          </w:tcPr>
          <w:p w14:paraId="53B520AC">
            <w:pPr>
              <w:pStyle w:val="5"/>
              <w:jc w:val="center"/>
              <w:rPr>
                <w:rFonts w:hint="eastAsia"/>
                <w:color w:val="auto"/>
                <w:sz w:val="24"/>
                <w:szCs w:val="24"/>
                <w:highlight w:val="none"/>
              </w:rPr>
            </w:pPr>
            <w:r>
              <w:rPr>
                <w:rFonts w:hint="eastAsia"/>
                <w:color w:val="auto"/>
                <w:sz w:val="24"/>
                <w:szCs w:val="24"/>
                <w:highlight w:val="none"/>
              </w:rPr>
              <w:t>出让地块精细化研</w:t>
            </w:r>
            <w:r>
              <w:rPr>
                <w:rFonts w:hint="eastAsia"/>
                <w:color w:val="auto"/>
                <w:spacing w:val="1"/>
                <w:sz w:val="24"/>
                <w:szCs w:val="24"/>
                <w:highlight w:val="none"/>
              </w:rPr>
              <w:t>究和规划条件编制</w:t>
            </w:r>
          </w:p>
        </w:tc>
        <w:tc>
          <w:tcPr>
            <w:tcW w:w="1072" w:type="dxa"/>
            <w:shd w:val="clear" w:color="auto" w:fill="auto"/>
            <w:noWrap w:val="0"/>
            <w:vAlign w:val="center"/>
          </w:tcPr>
          <w:p w14:paraId="162CAE0A">
            <w:pPr>
              <w:pStyle w:val="5"/>
              <w:jc w:val="center"/>
              <w:rPr>
                <w:rFonts w:hint="eastAsia"/>
                <w:color w:val="auto"/>
                <w:sz w:val="24"/>
                <w:szCs w:val="24"/>
                <w:highlight w:val="none"/>
              </w:rPr>
            </w:pPr>
            <w:r>
              <w:rPr>
                <w:rFonts w:hint="eastAsia"/>
                <w:color w:val="auto"/>
                <w:sz w:val="24"/>
                <w:szCs w:val="24"/>
                <w:highlight w:val="none"/>
              </w:rPr>
              <w:t>个</w:t>
            </w:r>
          </w:p>
        </w:tc>
        <w:tc>
          <w:tcPr>
            <w:tcW w:w="1601" w:type="dxa"/>
            <w:shd w:val="clear" w:color="auto" w:fill="auto"/>
            <w:noWrap w:val="0"/>
            <w:vAlign w:val="center"/>
          </w:tcPr>
          <w:p w14:paraId="2525AF81">
            <w:pPr>
              <w:pStyle w:val="5"/>
              <w:jc w:val="center"/>
              <w:rPr>
                <w:rFonts w:hint="eastAsia"/>
                <w:color w:val="auto"/>
                <w:sz w:val="24"/>
                <w:szCs w:val="24"/>
                <w:highlight w:val="none"/>
              </w:rPr>
            </w:pPr>
            <w:r>
              <w:rPr>
                <w:rFonts w:hint="eastAsia"/>
                <w:color w:val="auto"/>
                <w:spacing w:val="-1"/>
                <w:sz w:val="24"/>
                <w:szCs w:val="24"/>
                <w:highlight w:val="none"/>
              </w:rPr>
              <w:t>45000元</w:t>
            </w:r>
          </w:p>
        </w:tc>
        <w:tc>
          <w:tcPr>
            <w:tcW w:w="2940" w:type="dxa"/>
            <w:shd w:val="clear" w:color="auto" w:fill="auto"/>
            <w:noWrap w:val="0"/>
            <w:vAlign w:val="center"/>
          </w:tcPr>
          <w:p w14:paraId="5BF32BD1">
            <w:pPr>
              <w:pStyle w:val="5"/>
              <w:jc w:val="center"/>
              <w:rPr>
                <w:rFonts w:hint="eastAsia"/>
                <w:color w:val="auto"/>
                <w:spacing w:val="-1"/>
                <w:sz w:val="24"/>
                <w:szCs w:val="24"/>
                <w:highlight w:val="none"/>
              </w:rPr>
            </w:pPr>
            <w:r>
              <w:rPr>
                <w:rFonts w:hint="eastAsia"/>
                <w:color w:val="auto"/>
                <w:spacing w:val="-2"/>
                <w:sz w:val="24"/>
                <w:szCs w:val="24"/>
                <w:highlight w:val="none"/>
              </w:rPr>
              <w:t>8个(按实际工作量结算，超过8个的按8个结算)</w:t>
            </w:r>
          </w:p>
        </w:tc>
      </w:tr>
      <w:tr w14:paraId="31405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34" w:type="dxa"/>
            <w:shd w:val="clear" w:color="auto" w:fill="auto"/>
            <w:noWrap w:val="0"/>
            <w:vAlign w:val="center"/>
          </w:tcPr>
          <w:p w14:paraId="79B49EC4">
            <w:pPr>
              <w:pStyle w:val="5"/>
              <w:jc w:val="center"/>
              <w:rPr>
                <w:rFonts w:hint="eastAsia"/>
                <w:color w:val="auto"/>
                <w:sz w:val="24"/>
                <w:szCs w:val="24"/>
                <w:highlight w:val="none"/>
              </w:rPr>
            </w:pPr>
            <w:r>
              <w:rPr>
                <w:rFonts w:hint="eastAsia"/>
                <w:color w:val="auto"/>
                <w:sz w:val="24"/>
                <w:szCs w:val="24"/>
                <w:highlight w:val="none"/>
              </w:rPr>
              <w:t>2</w:t>
            </w:r>
          </w:p>
        </w:tc>
        <w:tc>
          <w:tcPr>
            <w:tcW w:w="2329" w:type="dxa"/>
            <w:shd w:val="clear" w:color="auto" w:fill="auto"/>
            <w:noWrap w:val="0"/>
            <w:vAlign w:val="center"/>
          </w:tcPr>
          <w:p w14:paraId="3A209B81">
            <w:pPr>
              <w:pStyle w:val="5"/>
              <w:jc w:val="center"/>
              <w:rPr>
                <w:rFonts w:hint="eastAsia"/>
                <w:color w:val="auto"/>
                <w:sz w:val="24"/>
                <w:szCs w:val="24"/>
                <w:highlight w:val="none"/>
              </w:rPr>
            </w:pPr>
            <w:r>
              <w:rPr>
                <w:rFonts w:hint="eastAsia"/>
                <w:color w:val="auto"/>
                <w:spacing w:val="-1"/>
                <w:sz w:val="24"/>
                <w:szCs w:val="24"/>
                <w:highlight w:val="none"/>
              </w:rPr>
              <w:t>重点片区规划用地</w:t>
            </w:r>
            <w:r>
              <w:rPr>
                <w:rFonts w:hint="eastAsia"/>
                <w:color w:val="auto"/>
                <w:spacing w:val="-2"/>
                <w:sz w:val="24"/>
                <w:szCs w:val="24"/>
                <w:highlight w:val="none"/>
              </w:rPr>
              <w:t>优化研究</w:t>
            </w:r>
          </w:p>
        </w:tc>
        <w:tc>
          <w:tcPr>
            <w:tcW w:w="1072" w:type="dxa"/>
            <w:shd w:val="clear" w:color="auto" w:fill="auto"/>
            <w:noWrap w:val="0"/>
            <w:vAlign w:val="center"/>
          </w:tcPr>
          <w:p w14:paraId="58261501">
            <w:pPr>
              <w:pStyle w:val="5"/>
              <w:jc w:val="center"/>
              <w:rPr>
                <w:rFonts w:hint="eastAsia"/>
                <w:color w:val="auto"/>
                <w:sz w:val="24"/>
                <w:szCs w:val="24"/>
                <w:highlight w:val="none"/>
              </w:rPr>
            </w:pPr>
            <w:r>
              <w:rPr>
                <w:rFonts w:hint="eastAsia"/>
                <w:color w:val="auto"/>
                <w:spacing w:val="4"/>
                <w:sz w:val="24"/>
                <w:szCs w:val="24"/>
                <w:highlight w:val="none"/>
              </w:rPr>
              <w:t>公顷</w:t>
            </w:r>
          </w:p>
        </w:tc>
        <w:tc>
          <w:tcPr>
            <w:tcW w:w="1601" w:type="dxa"/>
            <w:shd w:val="clear" w:color="auto" w:fill="auto"/>
            <w:noWrap w:val="0"/>
            <w:vAlign w:val="center"/>
          </w:tcPr>
          <w:p w14:paraId="63BD56D3">
            <w:pPr>
              <w:pStyle w:val="5"/>
              <w:jc w:val="center"/>
              <w:rPr>
                <w:rFonts w:hint="eastAsia"/>
                <w:color w:val="auto"/>
                <w:sz w:val="24"/>
                <w:szCs w:val="24"/>
                <w:highlight w:val="none"/>
              </w:rPr>
            </w:pPr>
            <w:r>
              <w:rPr>
                <w:rFonts w:hint="eastAsia"/>
                <w:color w:val="auto"/>
                <w:spacing w:val="-2"/>
                <w:sz w:val="24"/>
                <w:szCs w:val="24"/>
                <w:highlight w:val="none"/>
              </w:rPr>
              <w:t>1200元</w:t>
            </w:r>
          </w:p>
        </w:tc>
        <w:tc>
          <w:tcPr>
            <w:tcW w:w="2940" w:type="dxa"/>
            <w:shd w:val="clear" w:color="auto" w:fill="auto"/>
            <w:noWrap w:val="0"/>
            <w:vAlign w:val="center"/>
          </w:tcPr>
          <w:p w14:paraId="3C239285">
            <w:pPr>
              <w:pStyle w:val="5"/>
              <w:jc w:val="center"/>
              <w:rPr>
                <w:rFonts w:hint="eastAsia"/>
                <w:color w:val="auto"/>
                <w:spacing w:val="-2"/>
                <w:sz w:val="24"/>
                <w:szCs w:val="24"/>
                <w:highlight w:val="none"/>
              </w:rPr>
            </w:pPr>
            <w:r>
              <w:rPr>
                <w:rFonts w:hint="eastAsia"/>
                <w:color w:val="auto"/>
                <w:sz w:val="24"/>
                <w:szCs w:val="24"/>
                <w:highlight w:val="none"/>
              </w:rPr>
              <w:t>10公顷(</w:t>
            </w:r>
            <w:r>
              <w:rPr>
                <w:rFonts w:hint="eastAsia"/>
                <w:color w:val="auto"/>
                <w:spacing w:val="-1"/>
                <w:sz w:val="24"/>
                <w:szCs w:val="24"/>
                <w:highlight w:val="none"/>
              </w:rPr>
              <w:t>按实际工作量结算，超过10公顷按10公顷结算）</w:t>
            </w:r>
          </w:p>
        </w:tc>
      </w:tr>
      <w:tr w14:paraId="763A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634" w:type="dxa"/>
            <w:shd w:val="clear" w:color="auto" w:fill="auto"/>
            <w:noWrap w:val="0"/>
            <w:vAlign w:val="center"/>
          </w:tcPr>
          <w:p w14:paraId="0EC4B4F3">
            <w:pPr>
              <w:pStyle w:val="5"/>
              <w:jc w:val="center"/>
              <w:rPr>
                <w:rFonts w:hint="eastAsia"/>
                <w:color w:val="auto"/>
                <w:sz w:val="24"/>
                <w:szCs w:val="24"/>
                <w:highlight w:val="none"/>
              </w:rPr>
            </w:pPr>
            <w:r>
              <w:rPr>
                <w:rFonts w:hint="eastAsia"/>
                <w:color w:val="auto"/>
                <w:sz w:val="24"/>
                <w:szCs w:val="24"/>
                <w:highlight w:val="none"/>
              </w:rPr>
              <w:t>3</w:t>
            </w:r>
          </w:p>
        </w:tc>
        <w:tc>
          <w:tcPr>
            <w:tcW w:w="2329" w:type="dxa"/>
            <w:shd w:val="clear" w:color="auto" w:fill="auto"/>
            <w:noWrap w:val="0"/>
            <w:vAlign w:val="center"/>
          </w:tcPr>
          <w:p w14:paraId="63244F49">
            <w:pPr>
              <w:pStyle w:val="5"/>
              <w:jc w:val="center"/>
              <w:rPr>
                <w:rFonts w:hint="eastAsia"/>
                <w:color w:val="auto"/>
                <w:sz w:val="24"/>
                <w:szCs w:val="24"/>
                <w:highlight w:val="none"/>
              </w:rPr>
            </w:pPr>
            <w:r>
              <w:rPr>
                <w:rFonts w:hint="eastAsia"/>
                <w:color w:val="auto"/>
                <w:spacing w:val="-1"/>
                <w:sz w:val="24"/>
                <w:szCs w:val="24"/>
                <w:highlight w:val="none"/>
              </w:rPr>
              <w:t>重点项目选址研究</w:t>
            </w:r>
            <w:r>
              <w:rPr>
                <w:rFonts w:hint="eastAsia"/>
                <w:color w:val="auto"/>
                <w:spacing w:val="3"/>
                <w:sz w:val="24"/>
                <w:szCs w:val="24"/>
                <w:highlight w:val="none"/>
              </w:rPr>
              <w:t xml:space="preserve">(公共服务设施及 </w:t>
            </w:r>
            <w:r>
              <w:rPr>
                <w:rFonts w:hint="eastAsia"/>
                <w:color w:val="auto"/>
                <w:spacing w:val="5"/>
                <w:sz w:val="24"/>
                <w:szCs w:val="24"/>
                <w:highlight w:val="none"/>
              </w:rPr>
              <w:t>一般市政设施)</w:t>
            </w:r>
          </w:p>
        </w:tc>
        <w:tc>
          <w:tcPr>
            <w:tcW w:w="1072" w:type="dxa"/>
            <w:shd w:val="clear" w:color="auto" w:fill="auto"/>
            <w:noWrap w:val="0"/>
            <w:vAlign w:val="center"/>
          </w:tcPr>
          <w:p w14:paraId="13EB01E5">
            <w:pPr>
              <w:pStyle w:val="5"/>
              <w:jc w:val="center"/>
              <w:rPr>
                <w:rFonts w:hint="eastAsia"/>
                <w:color w:val="auto"/>
                <w:sz w:val="24"/>
                <w:szCs w:val="24"/>
                <w:highlight w:val="none"/>
              </w:rPr>
            </w:pPr>
            <w:r>
              <w:rPr>
                <w:rFonts w:hint="eastAsia"/>
                <w:color w:val="auto"/>
                <w:sz w:val="24"/>
                <w:szCs w:val="24"/>
                <w:highlight w:val="none"/>
              </w:rPr>
              <w:t>个</w:t>
            </w:r>
          </w:p>
        </w:tc>
        <w:tc>
          <w:tcPr>
            <w:tcW w:w="1601" w:type="dxa"/>
            <w:shd w:val="clear" w:color="auto" w:fill="auto"/>
            <w:noWrap w:val="0"/>
            <w:vAlign w:val="center"/>
          </w:tcPr>
          <w:p w14:paraId="35651EB8">
            <w:pPr>
              <w:pStyle w:val="5"/>
              <w:jc w:val="center"/>
              <w:rPr>
                <w:rFonts w:hint="eastAsia"/>
                <w:color w:val="auto"/>
                <w:sz w:val="24"/>
                <w:szCs w:val="24"/>
                <w:highlight w:val="none"/>
              </w:rPr>
            </w:pPr>
            <w:r>
              <w:rPr>
                <w:rFonts w:hint="eastAsia"/>
                <w:color w:val="auto"/>
                <w:spacing w:val="-2"/>
                <w:sz w:val="24"/>
                <w:szCs w:val="24"/>
                <w:highlight w:val="none"/>
              </w:rPr>
              <w:t>14000元</w:t>
            </w:r>
          </w:p>
        </w:tc>
        <w:tc>
          <w:tcPr>
            <w:tcW w:w="2940" w:type="dxa"/>
            <w:shd w:val="clear" w:color="auto" w:fill="auto"/>
            <w:noWrap w:val="0"/>
            <w:vAlign w:val="center"/>
          </w:tcPr>
          <w:p w14:paraId="7FDD0E70">
            <w:pPr>
              <w:pStyle w:val="5"/>
              <w:jc w:val="center"/>
              <w:rPr>
                <w:rFonts w:hint="eastAsia"/>
                <w:color w:val="auto"/>
                <w:spacing w:val="-2"/>
                <w:sz w:val="24"/>
                <w:szCs w:val="24"/>
                <w:highlight w:val="none"/>
              </w:rPr>
            </w:pPr>
            <w:r>
              <w:rPr>
                <w:rFonts w:hint="eastAsia"/>
                <w:color w:val="auto"/>
                <w:spacing w:val="-1"/>
                <w:sz w:val="24"/>
                <w:szCs w:val="24"/>
                <w:highlight w:val="none"/>
              </w:rPr>
              <w:t>2个(实际工作量结算，超过2个按2个结算)</w:t>
            </w:r>
          </w:p>
        </w:tc>
      </w:tr>
      <w:tr w14:paraId="571BB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634" w:type="dxa"/>
            <w:shd w:val="clear" w:color="auto" w:fill="auto"/>
            <w:noWrap w:val="0"/>
            <w:vAlign w:val="center"/>
          </w:tcPr>
          <w:p w14:paraId="269AF990">
            <w:pPr>
              <w:pStyle w:val="5"/>
              <w:jc w:val="center"/>
              <w:rPr>
                <w:rFonts w:hint="eastAsia"/>
                <w:color w:val="auto"/>
                <w:sz w:val="24"/>
                <w:szCs w:val="24"/>
                <w:highlight w:val="none"/>
              </w:rPr>
            </w:pPr>
            <w:r>
              <w:rPr>
                <w:rFonts w:hint="eastAsia"/>
                <w:color w:val="auto"/>
                <w:sz w:val="24"/>
                <w:szCs w:val="24"/>
                <w:highlight w:val="none"/>
              </w:rPr>
              <w:t>4</w:t>
            </w:r>
          </w:p>
        </w:tc>
        <w:tc>
          <w:tcPr>
            <w:tcW w:w="2329" w:type="dxa"/>
            <w:shd w:val="clear" w:color="auto" w:fill="auto"/>
            <w:noWrap w:val="0"/>
            <w:vAlign w:val="center"/>
          </w:tcPr>
          <w:p w14:paraId="62D3547A">
            <w:pPr>
              <w:pStyle w:val="5"/>
              <w:jc w:val="center"/>
              <w:rPr>
                <w:rFonts w:hint="eastAsia"/>
                <w:color w:val="auto"/>
                <w:spacing w:val="-1"/>
                <w:sz w:val="24"/>
                <w:szCs w:val="24"/>
                <w:highlight w:val="none"/>
              </w:rPr>
            </w:pPr>
            <w:r>
              <w:rPr>
                <w:rFonts w:hint="eastAsia"/>
                <w:color w:val="auto"/>
                <w:spacing w:val="-1"/>
                <w:sz w:val="24"/>
                <w:szCs w:val="24"/>
                <w:highlight w:val="none"/>
              </w:rPr>
              <w:t>控规维护</w:t>
            </w:r>
          </w:p>
        </w:tc>
        <w:tc>
          <w:tcPr>
            <w:tcW w:w="1072" w:type="dxa"/>
            <w:shd w:val="clear" w:color="auto" w:fill="auto"/>
            <w:noWrap w:val="0"/>
            <w:vAlign w:val="center"/>
          </w:tcPr>
          <w:p w14:paraId="15CBCE1C">
            <w:pPr>
              <w:pStyle w:val="5"/>
              <w:jc w:val="center"/>
              <w:rPr>
                <w:rFonts w:hint="eastAsia"/>
                <w:color w:val="auto"/>
                <w:sz w:val="24"/>
                <w:szCs w:val="24"/>
                <w:highlight w:val="none"/>
              </w:rPr>
            </w:pPr>
            <w:r>
              <w:rPr>
                <w:rFonts w:hint="eastAsia"/>
                <w:color w:val="auto"/>
                <w:sz w:val="24"/>
                <w:szCs w:val="24"/>
                <w:highlight w:val="none"/>
              </w:rPr>
              <w:t>个</w:t>
            </w:r>
          </w:p>
        </w:tc>
        <w:tc>
          <w:tcPr>
            <w:tcW w:w="1601" w:type="dxa"/>
            <w:shd w:val="clear" w:color="auto" w:fill="auto"/>
            <w:noWrap w:val="0"/>
            <w:vAlign w:val="center"/>
          </w:tcPr>
          <w:p w14:paraId="3302E675">
            <w:pPr>
              <w:pStyle w:val="5"/>
              <w:jc w:val="center"/>
              <w:rPr>
                <w:rFonts w:hint="eastAsia"/>
                <w:color w:val="auto"/>
                <w:spacing w:val="-2"/>
                <w:sz w:val="24"/>
                <w:szCs w:val="24"/>
                <w:highlight w:val="none"/>
              </w:rPr>
            </w:pPr>
            <w:r>
              <w:rPr>
                <w:rFonts w:hint="eastAsia"/>
                <w:color w:val="auto"/>
                <w:spacing w:val="-2"/>
                <w:sz w:val="24"/>
                <w:szCs w:val="24"/>
                <w:highlight w:val="none"/>
              </w:rPr>
              <w:t>55000元</w:t>
            </w:r>
          </w:p>
        </w:tc>
        <w:tc>
          <w:tcPr>
            <w:tcW w:w="2940" w:type="dxa"/>
            <w:shd w:val="clear" w:color="auto" w:fill="auto"/>
            <w:noWrap w:val="0"/>
            <w:vAlign w:val="center"/>
          </w:tcPr>
          <w:p w14:paraId="3592F19A">
            <w:pPr>
              <w:pStyle w:val="5"/>
              <w:jc w:val="center"/>
              <w:rPr>
                <w:rFonts w:hint="eastAsia"/>
                <w:color w:val="auto"/>
                <w:spacing w:val="-2"/>
                <w:sz w:val="24"/>
                <w:szCs w:val="24"/>
                <w:highlight w:val="none"/>
              </w:rPr>
            </w:pPr>
            <w:r>
              <w:rPr>
                <w:rFonts w:hint="eastAsia"/>
                <w:color w:val="auto"/>
                <w:spacing w:val="-1"/>
                <w:sz w:val="24"/>
                <w:szCs w:val="24"/>
                <w:highlight w:val="none"/>
              </w:rPr>
              <w:t>5个(按实际工作量结算，超过5个按5个结算)</w:t>
            </w:r>
          </w:p>
        </w:tc>
      </w:tr>
      <w:tr w14:paraId="26B3F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634" w:type="dxa"/>
            <w:shd w:val="clear" w:color="auto" w:fill="auto"/>
            <w:noWrap w:val="0"/>
            <w:vAlign w:val="center"/>
          </w:tcPr>
          <w:p w14:paraId="2D967F02">
            <w:pPr>
              <w:pStyle w:val="5"/>
              <w:jc w:val="center"/>
              <w:rPr>
                <w:rFonts w:hint="eastAsia"/>
                <w:color w:val="auto"/>
                <w:sz w:val="24"/>
                <w:szCs w:val="24"/>
                <w:highlight w:val="none"/>
              </w:rPr>
            </w:pPr>
            <w:r>
              <w:rPr>
                <w:rFonts w:hint="eastAsia"/>
                <w:color w:val="auto"/>
                <w:sz w:val="24"/>
                <w:szCs w:val="24"/>
                <w:highlight w:val="none"/>
              </w:rPr>
              <w:t>5</w:t>
            </w:r>
          </w:p>
        </w:tc>
        <w:tc>
          <w:tcPr>
            <w:tcW w:w="2329" w:type="dxa"/>
            <w:shd w:val="clear" w:color="auto" w:fill="auto"/>
            <w:noWrap w:val="0"/>
            <w:vAlign w:val="center"/>
          </w:tcPr>
          <w:p w14:paraId="3448EF4C">
            <w:pPr>
              <w:pStyle w:val="5"/>
              <w:jc w:val="center"/>
              <w:rPr>
                <w:rFonts w:hint="eastAsia"/>
                <w:color w:val="auto"/>
                <w:spacing w:val="-1"/>
                <w:sz w:val="24"/>
                <w:szCs w:val="24"/>
                <w:highlight w:val="none"/>
              </w:rPr>
            </w:pPr>
            <w:r>
              <w:rPr>
                <w:rFonts w:hint="eastAsia"/>
                <w:color w:val="auto"/>
                <w:spacing w:val="-1"/>
                <w:sz w:val="24"/>
                <w:szCs w:val="24"/>
                <w:highlight w:val="none"/>
              </w:rPr>
              <w:t>修建性详细规划、建筑单体设计的规划指标复核</w:t>
            </w:r>
          </w:p>
        </w:tc>
        <w:tc>
          <w:tcPr>
            <w:tcW w:w="1072" w:type="dxa"/>
            <w:shd w:val="clear" w:color="auto" w:fill="auto"/>
            <w:noWrap w:val="0"/>
            <w:vAlign w:val="center"/>
          </w:tcPr>
          <w:p w14:paraId="12183E78">
            <w:pPr>
              <w:pStyle w:val="5"/>
              <w:jc w:val="center"/>
              <w:rPr>
                <w:rFonts w:hint="eastAsia"/>
                <w:color w:val="auto"/>
                <w:sz w:val="24"/>
                <w:szCs w:val="24"/>
                <w:highlight w:val="none"/>
              </w:rPr>
            </w:pPr>
            <w:r>
              <w:rPr>
                <w:rFonts w:hint="eastAsia"/>
                <w:color w:val="auto"/>
                <w:sz w:val="24"/>
                <w:szCs w:val="24"/>
                <w:highlight w:val="none"/>
              </w:rPr>
              <w:t>平方米</w:t>
            </w:r>
          </w:p>
        </w:tc>
        <w:tc>
          <w:tcPr>
            <w:tcW w:w="1601" w:type="dxa"/>
            <w:shd w:val="clear" w:color="auto" w:fill="auto"/>
            <w:noWrap w:val="0"/>
            <w:vAlign w:val="center"/>
          </w:tcPr>
          <w:p w14:paraId="1780CF19">
            <w:pPr>
              <w:pStyle w:val="5"/>
              <w:jc w:val="center"/>
              <w:rPr>
                <w:rFonts w:hint="eastAsia"/>
                <w:color w:val="auto"/>
                <w:spacing w:val="-2"/>
                <w:sz w:val="24"/>
                <w:szCs w:val="24"/>
                <w:highlight w:val="none"/>
              </w:rPr>
            </w:pPr>
            <w:r>
              <w:rPr>
                <w:rFonts w:hint="eastAsia"/>
                <w:color w:val="auto"/>
                <w:spacing w:val="-2"/>
                <w:sz w:val="24"/>
                <w:szCs w:val="24"/>
                <w:highlight w:val="none"/>
              </w:rPr>
              <w:t>0.5元</w:t>
            </w:r>
          </w:p>
        </w:tc>
        <w:tc>
          <w:tcPr>
            <w:tcW w:w="2940" w:type="dxa"/>
            <w:shd w:val="clear" w:color="auto" w:fill="auto"/>
            <w:noWrap w:val="0"/>
            <w:vAlign w:val="center"/>
          </w:tcPr>
          <w:p w14:paraId="5CE13CE5">
            <w:pPr>
              <w:pStyle w:val="5"/>
              <w:jc w:val="center"/>
              <w:rPr>
                <w:rFonts w:hint="eastAsia"/>
                <w:color w:val="auto"/>
                <w:spacing w:val="-2"/>
                <w:sz w:val="24"/>
                <w:szCs w:val="24"/>
                <w:highlight w:val="none"/>
              </w:rPr>
            </w:pPr>
            <w:r>
              <w:rPr>
                <w:rFonts w:hint="eastAsia"/>
                <w:color w:val="auto"/>
                <w:spacing w:val="-1"/>
                <w:sz w:val="24"/>
                <w:szCs w:val="24"/>
                <w:highlight w:val="none"/>
              </w:rPr>
              <w:t>150000平方米（按实际工作量结算，超出150000平方米按150000平方米结算）</w:t>
            </w:r>
          </w:p>
        </w:tc>
      </w:tr>
    </w:tbl>
    <w:p w14:paraId="0B94BCFF">
      <w:pPr>
        <w:widowControl/>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三、服务期限：1年。</w:t>
      </w:r>
      <w:r>
        <w:rPr>
          <w:rFonts w:hint="eastAsia" w:ascii="宋体" w:hAnsi="宋体" w:cs="宋体"/>
          <w:b/>
          <w:color w:val="auto"/>
          <w:sz w:val="24"/>
          <w:highlight w:val="none"/>
        </w:rPr>
        <w:t>（合同履行期间已经启动的项目，服务期至项目审批完成，不受服务期的限制。）</w:t>
      </w:r>
    </w:p>
    <w:p w14:paraId="1E6DB04C">
      <w:pPr>
        <w:widowControl/>
        <w:pBdr>
          <w:top w:val="none" w:color="000000" w:sz="0" w:space="0"/>
          <w:left w:val="none" w:color="000000" w:sz="0" w:space="0"/>
          <w:bottom w:val="none" w:color="000000" w:sz="0" w:space="0"/>
          <w:right w:val="none" w:color="000000" w:sz="0" w:space="0"/>
        </w:pBd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四、规划背景</w:t>
      </w:r>
    </w:p>
    <w:p w14:paraId="3D7CAA6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规划条件是在城市、镇规划区内以出让方式提供国有土地使用权的，在国有土地使用权出让前，由城市、县人民政府城乡规划主管部门依据控制性详细规划，所提出的出让地块的位置、使用性质、开发强度等控制要求。地块规划设计条件是国有土地使用权出让合同的重要组成部分。相关法规中规定，未确定规划条件的地块，不得出让国有土地使用权。</w:t>
      </w:r>
    </w:p>
    <w:p w14:paraId="0B3BA71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为了适应当前高质量发展的时代背景，推进城市精细化管理，打造城市高品质形象，需要从地块功能定位、空间形态、建筑风貌等方面加强对地块的管控，进一步强化控制重点、强化建筑引导、强化城市管理、强化基础设施配套、强化部门责任的同时，对地块规划设计条件编制工作提出了更高的要求。</w:t>
      </w:r>
    </w:p>
    <w:p w14:paraId="4895D671">
      <w:pP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五、规划范围与服务内容</w:t>
      </w:r>
    </w:p>
    <w:p w14:paraId="11544B6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（一）规划范围</w:t>
      </w:r>
    </w:p>
    <w:p w14:paraId="04954A3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徐州高新技术产业开发区全域。</w:t>
      </w:r>
    </w:p>
    <w:p w14:paraId="1BE31CAF">
      <w:pPr>
        <w:spacing w:line="360" w:lineRule="auto"/>
        <w:ind w:firstLine="480"/>
        <w:rPr>
          <w:rFonts w:hint="eastAsia" w:ascii="宋体" w:hAnsi="宋体" w:cs="宋体"/>
          <w:bCs/>
          <w:color w:val="auto"/>
          <w:sz w:val="24"/>
          <w:highlight w:val="none"/>
        </w:rPr>
      </w:pPr>
      <w:r>
        <w:rPr>
          <w:rFonts w:hint="eastAsia" w:ascii="宋体" w:hAnsi="宋体" w:cs="宋体"/>
          <w:color w:val="auto"/>
          <w:sz w:val="24"/>
          <w:highlight w:val="none"/>
        </w:rPr>
        <w:t>（二）服务内容</w:t>
      </w:r>
    </w:p>
    <w:p w14:paraId="0B05B1B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规划技术服务包含：</w:t>
      </w:r>
    </w:p>
    <w:p w14:paraId="0C085153">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1、年度拟出让地块精细化研究和规划条件编制；</w:t>
      </w:r>
    </w:p>
    <w:p w14:paraId="46DD98F6">
      <w:pPr>
        <w:spacing w:line="360" w:lineRule="auto"/>
        <w:ind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2、重点片区规划用地优化研究；</w:t>
      </w:r>
    </w:p>
    <w:p w14:paraId="28789E1F">
      <w:pPr>
        <w:spacing w:line="360" w:lineRule="auto"/>
        <w:ind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3、重点项目选址研究；</w:t>
      </w:r>
    </w:p>
    <w:p w14:paraId="6B4F4B34">
      <w:pPr>
        <w:spacing w:line="360" w:lineRule="auto"/>
        <w:ind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4、相关规划技术咨询服务等工作。</w:t>
      </w:r>
    </w:p>
    <w:p w14:paraId="3750CABA">
      <w:pPr>
        <w:spacing w:line="360" w:lineRule="auto"/>
        <w:ind w:firstLine="241" w:firstLineChars="100"/>
        <w:rPr>
          <w:rFonts w:hint="eastAsia" w:ascii="宋体" w:hAnsi="宋体" w:cs="宋体"/>
          <w:bCs/>
          <w:color w:val="auto"/>
          <w:sz w:val="24"/>
          <w:highlight w:val="none"/>
        </w:rPr>
      </w:pPr>
      <w:r>
        <w:rPr>
          <w:rFonts w:hint="eastAsia" w:ascii="宋体" w:hAnsi="宋体" w:cs="宋体"/>
          <w:b/>
          <w:color w:val="auto"/>
          <w:sz w:val="24"/>
          <w:highlight w:val="none"/>
        </w:rPr>
        <w:t>详规调整维护相关工作包含：</w:t>
      </w:r>
    </w:p>
    <w:p w14:paraId="54AE5895">
      <w:pPr>
        <w:spacing w:line="360" w:lineRule="auto"/>
        <w:ind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1、详细规划动态维护；</w:t>
      </w:r>
    </w:p>
    <w:p w14:paraId="4F5EBEF6">
      <w:pPr>
        <w:spacing w:line="360" w:lineRule="auto"/>
        <w:ind w:firstLine="240" w:firstLineChars="100"/>
        <w:rPr>
          <w:rFonts w:hint="eastAsia" w:ascii="宋体" w:hAnsi="宋体" w:cs="宋体"/>
          <w:color w:val="auto"/>
          <w:sz w:val="24"/>
          <w:highlight w:val="none"/>
        </w:rPr>
      </w:pPr>
      <w:r>
        <w:rPr>
          <w:rFonts w:hint="eastAsia" w:ascii="宋体" w:hAnsi="宋体" w:cs="宋体"/>
          <w:bCs/>
          <w:color w:val="auto"/>
          <w:sz w:val="24"/>
          <w:highlight w:val="none"/>
        </w:rPr>
        <w:t>2、详细规划调整；</w:t>
      </w:r>
    </w:p>
    <w:p w14:paraId="66B22584">
      <w:pPr>
        <w:spacing w:line="360" w:lineRule="auto"/>
        <w:ind w:firstLine="240" w:firstLineChars="100"/>
        <w:rPr>
          <w:rFonts w:hint="eastAsia" w:ascii="宋体" w:hAnsi="宋体" w:cs="宋体"/>
          <w:color w:val="auto"/>
          <w:sz w:val="24"/>
          <w:highlight w:val="none"/>
        </w:rPr>
      </w:pPr>
      <w:r>
        <w:rPr>
          <w:rFonts w:hint="eastAsia" w:ascii="宋体" w:hAnsi="宋体" w:cs="宋体"/>
          <w:bCs/>
          <w:color w:val="auto"/>
          <w:sz w:val="24"/>
          <w:highlight w:val="none"/>
        </w:rPr>
        <w:t>3、详细规划技术修正；</w:t>
      </w:r>
    </w:p>
    <w:p w14:paraId="02DA3597">
      <w:pPr>
        <w:spacing w:line="360" w:lineRule="auto"/>
        <w:ind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4、修建性详细规划、建筑单体设计的规划指标复核。</w:t>
      </w:r>
    </w:p>
    <w:p w14:paraId="6B58D4FF">
      <w:pPr>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六、规划内容及成果</w:t>
      </w:r>
    </w:p>
    <w:p w14:paraId="09EECE2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（一）地块规划条件</w:t>
      </w:r>
    </w:p>
    <w:p w14:paraId="09F54A5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1、航拍。对拟编制地块进行航拍，直观了解地块现状及周边建设情况，对城市重要节点、空间、标志建筑等需进行无人机航拍分析。</w:t>
      </w:r>
    </w:p>
    <w:p w14:paraId="2347DAB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2、规划条件编制。编制单位对现行相关规划的研究，依据行业及地方规范要求编制地块设计条件。</w:t>
      </w:r>
    </w:p>
    <w:p w14:paraId="401F661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3、平面及空间形态。根据条件的要求，初步设计项目的概念性总平面布置及空间形态效果，验证条件的可行性，为下一步方案设计做引导性要求。</w:t>
      </w:r>
    </w:p>
    <w:p w14:paraId="2E6FAC8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4、日照影响分析。编制有日照需求的地块的条件时，应对相应地块进行日照模拟方案分析，根据平面布局分析地块内部及周边的日照情况，确保规划指标能够实现。</w:t>
      </w:r>
    </w:p>
    <w:p w14:paraId="7C15681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（二）重点片区规划用地优化研究</w:t>
      </w:r>
    </w:p>
    <w:p w14:paraId="635600C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针对拟成片开发的重点片区，在详细规划基础上进行用地布局优化研究。</w:t>
      </w:r>
    </w:p>
    <w:p w14:paraId="3BCA0857">
      <w:pPr>
        <w:numPr>
          <w:ilvl w:val="0"/>
          <w:numId w:val="1"/>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重点项目选址研究</w:t>
      </w:r>
    </w:p>
    <w:p w14:paraId="0212B8B4">
      <w:pPr>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针对重点项目进行选址研究，提供比选方案。</w:t>
      </w:r>
    </w:p>
    <w:p w14:paraId="1B8AC26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（四）相关规划技术咨询服务等工作</w:t>
      </w:r>
    </w:p>
    <w:p w14:paraId="55B704C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提供规划条件编制、重点片区规划用地优化研究、重点项目选址研究有关问题的解释，以及相关的技术咨询服务等工作。</w:t>
      </w:r>
    </w:p>
    <w:p w14:paraId="02B5ACA0">
      <w:pPr>
        <w:pStyle w:val="7"/>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（五)</w:t>
      </w:r>
      <w:r>
        <w:rPr>
          <w:rFonts w:hint="eastAsia" w:ascii="宋体" w:hAnsi="宋体" w:cs="宋体"/>
          <w:bCs/>
          <w:color w:val="auto"/>
          <w:sz w:val="24"/>
          <w:highlight w:val="none"/>
        </w:rPr>
        <w:t>详细规划动态维护成果包括：专题报告、动态维护方案、数据库等。</w:t>
      </w:r>
    </w:p>
    <w:p w14:paraId="46B31A34">
      <w:pPr>
        <w:pStyle w:val="7"/>
        <w:spacing w:line="360" w:lineRule="auto"/>
        <w:ind w:right="-506" w:firstLine="480" w:firstLineChars="200"/>
        <w:rPr>
          <w:rFonts w:hint="eastAsia" w:ascii="宋体" w:hAnsi="宋体" w:cs="宋体"/>
          <w:bCs/>
          <w:color w:val="auto"/>
          <w:sz w:val="24"/>
          <w:highlight w:val="none"/>
        </w:rPr>
      </w:pPr>
      <w:r>
        <w:rPr>
          <w:rFonts w:hint="eastAsia" w:ascii="宋体" w:hAnsi="宋体" w:cs="宋体"/>
          <w:color w:val="auto"/>
          <w:sz w:val="24"/>
          <w:highlight w:val="none"/>
        </w:rPr>
        <w:t>（六)</w:t>
      </w:r>
      <w:r>
        <w:rPr>
          <w:rFonts w:hint="eastAsia" w:ascii="宋体" w:hAnsi="宋体" w:cs="宋体"/>
          <w:bCs/>
          <w:color w:val="auto"/>
          <w:sz w:val="24"/>
          <w:highlight w:val="none"/>
        </w:rPr>
        <w:t>详细规划调整主要成果包括：专题报告、调整方案、图件、数据库等。</w:t>
      </w:r>
    </w:p>
    <w:p w14:paraId="736ABAFC">
      <w:pPr>
        <w:pStyle w:val="7"/>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bCs/>
          <w:color w:val="auto"/>
          <w:sz w:val="24"/>
          <w:highlight w:val="none"/>
        </w:rPr>
        <w:t>详细规划技术修正成果包括：技术修正方案、数据库等。</w:t>
      </w:r>
    </w:p>
    <w:p w14:paraId="0434624D">
      <w:pPr>
        <w:pStyle w:val="12"/>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七、成果要求</w:t>
      </w:r>
    </w:p>
    <w:p w14:paraId="375EBCD0">
      <w:pPr>
        <w:pStyle w:val="7"/>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所提交的技术成果应严格按照相应的国家、省、市的有关技术标准和规范相关规定进行编制，成果应汇编成册，由技术单位校对审核签字盖章后提供，并同时提供电子档，最终成果需通过采购人及主管部门审查。</w:t>
      </w:r>
    </w:p>
    <w:p w14:paraId="0D93B15E">
      <w:pPr>
        <w:pStyle w:val="7"/>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八、技术团队要求</w:t>
      </w:r>
    </w:p>
    <w:p w14:paraId="378E6B84">
      <w:pPr>
        <w:pStyle w:val="7"/>
        <w:spacing w:line="360" w:lineRule="auto"/>
        <w:ind w:firstLine="480"/>
        <w:rPr>
          <w:rFonts w:hint="eastAsia" w:ascii="宋体" w:hAnsi="宋体" w:cs="宋体"/>
          <w:b/>
          <w:color w:val="auto"/>
          <w:sz w:val="24"/>
          <w:highlight w:val="none"/>
        </w:rPr>
      </w:pPr>
      <w:r>
        <w:rPr>
          <w:rFonts w:hint="eastAsia" w:ascii="宋体" w:hAnsi="宋体" w:cs="宋体"/>
          <w:bCs/>
          <w:color w:val="auto"/>
          <w:sz w:val="24"/>
          <w:highlight w:val="none"/>
        </w:rPr>
        <w:t>1.为了满足项目的要求及强度，响应供应商需提供专业的人员，详细列出用于本项目的负责人、各层次的专业技术人员、服务人员的名单。为了方便实施本项目，</w:t>
      </w:r>
      <w:r>
        <w:rPr>
          <w:rFonts w:hint="eastAsia" w:ascii="宋体" w:hAnsi="宋体" w:cs="宋体"/>
          <w:b/>
          <w:color w:val="auto"/>
          <w:sz w:val="24"/>
          <w:highlight w:val="none"/>
        </w:rPr>
        <w:t>响应供应商应保证至少有一名固定项目组成员常驻现场，未经采购人同意不得随意更换且擅自离岗。</w:t>
      </w:r>
    </w:p>
    <w:p w14:paraId="1415C36F">
      <w:pPr>
        <w:pStyle w:val="7"/>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2.响应供应商须组织及协调现场人员，维持现场秩序，保证工作有条不紊的进行，同时应对现场工作人员及其他第三方人员人身安全负责。</w:t>
      </w:r>
    </w:p>
    <w:p w14:paraId="2EA0FD0F">
      <w:pPr>
        <w:pStyle w:val="7"/>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九、验收要求：</w:t>
      </w:r>
    </w:p>
    <w:p w14:paraId="1050ECC0">
      <w:pPr>
        <w:pStyle w:val="7"/>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采购人按合同约定积极配合成交供应商履约，成交供应商履约到位后，以书面形式向采购单位提出验收申请，采购人接到申请后原则上在5个工作日内及时组织相关专业技术人员参与验收，并提出书面意见。</w:t>
      </w:r>
    </w:p>
    <w:p w14:paraId="67B55CC2">
      <w:pPr>
        <w:pStyle w:val="12"/>
        <w:rPr>
          <w:rFonts w:hint="eastAsia" w:ascii="宋体" w:hAnsi="宋体" w:cs="宋体"/>
          <w:color w:val="auto"/>
          <w:sz w:val="24"/>
          <w:highlight w:val="none"/>
        </w:rPr>
      </w:pPr>
      <w:r>
        <w:rPr>
          <w:rFonts w:hint="eastAsia" w:ascii="宋体" w:hAnsi="宋体" w:cs="宋体"/>
          <w:bCs/>
          <w:color w:val="auto"/>
          <w:sz w:val="24"/>
          <w:highlight w:val="none"/>
        </w:rPr>
        <w:t xml:space="preserve">    技术单位对所提供的成果负责，服务期满后如有</w:t>
      </w:r>
      <w:r>
        <w:rPr>
          <w:rFonts w:hint="eastAsia" w:ascii="宋体" w:hAnsi="宋体" w:cs="宋体"/>
          <w:bCs/>
          <w:color w:val="auto"/>
          <w:sz w:val="24"/>
          <w:highlight w:val="none"/>
        </w:rPr>
        <w:t>成果质量不合格</w:t>
      </w:r>
      <w:r>
        <w:rPr>
          <w:rFonts w:hint="eastAsia" w:ascii="宋体" w:hAnsi="宋体" w:cs="宋体"/>
          <w:bCs/>
          <w:color w:val="auto"/>
          <w:sz w:val="24"/>
          <w:highlight w:val="none"/>
        </w:rPr>
        <w:t>，应由技术单位无偿修改完善，造成严重后果的损失由技术单位负责。</w:t>
      </w:r>
    </w:p>
    <w:p w14:paraId="5B7305B6">
      <w:pPr>
        <w:pStyle w:val="7"/>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十、其他内容和要求：</w:t>
      </w:r>
    </w:p>
    <w:p w14:paraId="7E09C9B8">
      <w:pPr>
        <w:pStyle w:val="7"/>
        <w:spacing w:line="360" w:lineRule="auto"/>
        <w:ind w:firstLine="480"/>
        <w:rPr>
          <w:rFonts w:hint="eastAsia" w:ascii="宋体" w:hAnsi="宋体" w:cs="宋体"/>
          <w:bCs/>
          <w:color w:val="auto"/>
          <w:sz w:val="24"/>
          <w:highlight w:val="none"/>
        </w:rPr>
      </w:pPr>
      <w:r>
        <w:rPr>
          <w:rFonts w:hint="eastAsia" w:ascii="宋体" w:hAnsi="宋体" w:cs="宋体"/>
          <w:bCs/>
          <w:color w:val="auto"/>
          <w:sz w:val="24"/>
          <w:highlight w:val="none"/>
        </w:rPr>
        <w:t>1、方案未批准前，任何单位和个人未经采购人同意都无权以任何形式向社会公开展示设计成果。</w:t>
      </w:r>
    </w:p>
    <w:p w14:paraId="788801D1">
      <w:pPr>
        <w:pStyle w:val="7"/>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2、其他要求见磋商文件《拟签订的合同文本》。</w:t>
      </w:r>
    </w:p>
    <w:p w14:paraId="25D0191B">
      <w:pPr>
        <w:spacing w:line="400" w:lineRule="exact"/>
        <w:rPr>
          <w:color w:val="auto"/>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92A5C"/>
    <w:multiLevelType w:val="singleLevel"/>
    <w:tmpl w:val="48992A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2616C"/>
    <w:rsid w:val="018F4C90"/>
    <w:rsid w:val="041B0A5C"/>
    <w:rsid w:val="090E293E"/>
    <w:rsid w:val="0B2226D0"/>
    <w:rsid w:val="101A26CA"/>
    <w:rsid w:val="159B7C4F"/>
    <w:rsid w:val="1CA86E01"/>
    <w:rsid w:val="1DD261D8"/>
    <w:rsid w:val="22943A5C"/>
    <w:rsid w:val="26094761"/>
    <w:rsid w:val="2EEA15D4"/>
    <w:rsid w:val="3192385D"/>
    <w:rsid w:val="336938F9"/>
    <w:rsid w:val="34A22009"/>
    <w:rsid w:val="37F86E1F"/>
    <w:rsid w:val="388760E5"/>
    <w:rsid w:val="462A4F19"/>
    <w:rsid w:val="46430917"/>
    <w:rsid w:val="47A70AB2"/>
    <w:rsid w:val="505C17AE"/>
    <w:rsid w:val="51426BF5"/>
    <w:rsid w:val="5AF32D0E"/>
    <w:rsid w:val="5EEA61D6"/>
    <w:rsid w:val="5F622211"/>
    <w:rsid w:val="63A42106"/>
    <w:rsid w:val="668A4527"/>
    <w:rsid w:val="67A718C2"/>
    <w:rsid w:val="6AB724ED"/>
    <w:rsid w:val="6B52616C"/>
    <w:rsid w:val="6BE85984"/>
    <w:rsid w:val="6C117C07"/>
    <w:rsid w:val="6CD429A0"/>
    <w:rsid w:val="6F4D6A39"/>
    <w:rsid w:val="727221D6"/>
    <w:rsid w:val="7BF81ADB"/>
    <w:rsid w:val="7E92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Text"/>
    <w:basedOn w:val="1"/>
    <w:semiHidden/>
    <w:qFormat/>
    <w:uiPriority w:val="0"/>
    <w:rPr>
      <w:rFonts w:ascii="宋体" w:hAnsi="宋体" w:eastAsia="宋体" w:cs="宋体"/>
      <w:sz w:val="16"/>
      <w:szCs w:val="16"/>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正文1"/>
    <w:basedOn w:val="8"/>
    <w:next w:val="12"/>
    <w:qFormat/>
    <w:uiPriority w:val="0"/>
    <w:pPr>
      <w:widowControl w:val="0"/>
      <w:jc w:val="both"/>
    </w:pPr>
    <w:rPr>
      <w:rFonts w:hint="default" w:ascii="Calibri" w:hAnsi="Calibri" w:eastAsia="宋体" w:cs="Times New Roman"/>
      <w:sz w:val="21"/>
      <w:szCs w:val="24"/>
    </w:r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目录 111"/>
    <w:basedOn w:val="10"/>
    <w:next w:val="1"/>
    <w:qFormat/>
    <w:uiPriority w:val="0"/>
  </w:style>
  <w:style w:type="paragraph" w:customStyle="1" w:styleId="10">
    <w:name w:val="正文12"/>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文本111"/>
    <w:basedOn w:val="1"/>
    <w:next w:val="10"/>
    <w:qFormat/>
    <w:uiPriority w:val="0"/>
    <w:rPr>
      <w:rFonts w:ascii="楷体_GB2312" w:hAnsi="Arial" w:eastAsia="楷体_GB2312"/>
      <w:sz w:val="28"/>
      <w:szCs w:val="28"/>
      <w:lang w:eastAsia="en-US"/>
    </w:rPr>
  </w:style>
  <w:style w:type="paragraph" w:customStyle="1" w:styleId="12">
    <w:name w:val="目录 11"/>
    <w:basedOn w:val="13"/>
    <w:next w:val="10"/>
    <w:qFormat/>
    <w:uiPriority w:val="0"/>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首行缩进 21"/>
    <w:basedOn w:val="15"/>
    <w:next w:val="1"/>
    <w:qFormat/>
    <w:uiPriority w:val="0"/>
    <w:pPr>
      <w:ind w:firstLine="420"/>
    </w:pPr>
    <w:rPr>
      <w:rFonts w:ascii="宋体" w:hAnsi="宋体"/>
      <w:sz w:val="20"/>
      <w:szCs w:val="20"/>
    </w:rPr>
  </w:style>
  <w:style w:type="paragraph" w:customStyle="1" w:styleId="15">
    <w:name w:val="正文文本缩进1"/>
    <w:basedOn w:val="10"/>
    <w:next w:val="16"/>
    <w:unhideWhenUsed/>
    <w:qFormat/>
    <w:uiPriority w:val="99"/>
    <w:pPr>
      <w:spacing w:line="360" w:lineRule="auto"/>
      <w:ind w:firstLine="425"/>
    </w:pPr>
  </w:style>
  <w:style w:type="paragraph" w:customStyle="1" w:styleId="16">
    <w:name w:val="寄信人地址1"/>
    <w:basedOn w:val="13"/>
    <w:unhideWhenUsed/>
    <w:qFormat/>
    <w:uiPriority w:val="99"/>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1992</Words>
  <Characters>2054</Characters>
  <Lines>0</Lines>
  <Paragraphs>0</Paragraphs>
  <TotalTime>0</TotalTime>
  <ScaleCrop>false</ScaleCrop>
  <LinksUpToDate>false</LinksUpToDate>
  <CharactersWithSpaces>2063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2025-11-18T06:40:00Z</dcterms:created>
  <dc:creator>黑猫警长</dc:creator>
  <cp:lastModifiedBy>一路有你</cp:lastModifiedBy>
  <dcterms:modified xsi:type="dcterms:W3CDTF">2025-11-27T01:25:05Z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274BBF1378624CCDB239A84DFBE3D4EB_11</vt:lpwstr>
  </property>
  <property fmtid="{D5CDD505-2E9C-101B-9397-08002B2CF9AE}" pid="4" name="KSOTemplateDocerSaveRecord">
    <vt:lpwstr>eyJoZGlkIjoiNjZiZThmZTJiMWI1NTEwOTU4ODkwOWYyNTU0MDc2NzkiLCJ1c2VySWQiOiI2OTAyNzQzMjIifQ==</vt:lpwstr>
  </property>
</Properties>
</file>