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C9201">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ind w:left="0" w:right="0" w:firstLine="560"/>
        <w:jc w:val="both"/>
      </w:pPr>
      <w:r>
        <w:rPr>
          <w:rFonts w:hint="eastAsia" w:ascii="宋体" w:hAnsi="宋体" w:eastAsia="宋体" w:cs="宋体"/>
          <w:color w:val="000000"/>
          <w:sz w:val="28"/>
          <w:szCs w:val="28"/>
        </w:rPr>
        <w:t>如有建议或意见，请以书面形式并加盖公章、注明联系人、联系方式，于2025年</w:t>
      </w:r>
      <w:r>
        <w:rPr>
          <w:rFonts w:hint="eastAsia" w:cs="宋体"/>
          <w:color w:val="000000"/>
          <w:sz w:val="28"/>
          <w:szCs w:val="28"/>
          <w:lang w:val="en-US" w:eastAsia="zh-CN"/>
        </w:rPr>
        <w:t>11</w:t>
      </w:r>
      <w:r>
        <w:rPr>
          <w:rFonts w:hint="eastAsia" w:ascii="宋体" w:hAnsi="宋体" w:eastAsia="宋体" w:cs="宋体"/>
          <w:color w:val="000000"/>
          <w:sz w:val="28"/>
          <w:szCs w:val="28"/>
        </w:rPr>
        <w:t>月</w:t>
      </w:r>
      <w:r>
        <w:rPr>
          <w:rFonts w:hint="eastAsia" w:cs="宋体"/>
          <w:color w:val="000000"/>
          <w:sz w:val="28"/>
          <w:szCs w:val="28"/>
          <w:lang w:val="en-US" w:eastAsia="zh-CN"/>
        </w:rPr>
        <w:t>26</w:t>
      </w:r>
      <w:r>
        <w:rPr>
          <w:rFonts w:hint="eastAsia" w:ascii="宋体" w:hAnsi="宋体" w:eastAsia="宋体" w:cs="宋体"/>
          <w:color w:val="000000"/>
          <w:sz w:val="28"/>
          <w:szCs w:val="28"/>
        </w:rPr>
        <w:t>日17:00之前送至我单位，逾期不受理（如邮寄，2025年</w:t>
      </w:r>
      <w:r>
        <w:rPr>
          <w:rFonts w:hint="eastAsia" w:cs="宋体"/>
          <w:color w:val="000000"/>
          <w:sz w:val="28"/>
          <w:szCs w:val="28"/>
          <w:lang w:val="en-US" w:eastAsia="zh-CN"/>
        </w:rPr>
        <w:t>11</w:t>
      </w:r>
      <w:r>
        <w:rPr>
          <w:rFonts w:hint="eastAsia" w:ascii="宋体" w:hAnsi="宋体" w:eastAsia="宋体" w:cs="宋体"/>
          <w:color w:val="000000"/>
          <w:sz w:val="28"/>
          <w:szCs w:val="28"/>
        </w:rPr>
        <w:t>月</w:t>
      </w:r>
      <w:r>
        <w:rPr>
          <w:rFonts w:hint="eastAsia" w:cs="宋体"/>
          <w:color w:val="000000"/>
          <w:sz w:val="28"/>
          <w:szCs w:val="28"/>
          <w:lang w:val="en-US" w:eastAsia="zh-CN"/>
        </w:rPr>
        <w:t>26</w:t>
      </w:r>
      <w:r>
        <w:rPr>
          <w:rFonts w:hint="eastAsia" w:ascii="宋体" w:hAnsi="宋体" w:eastAsia="宋体" w:cs="宋体"/>
          <w:color w:val="000000"/>
          <w:sz w:val="28"/>
          <w:szCs w:val="28"/>
        </w:rPr>
        <w:t>日17:00之后到达本公司的邮件将不再受理）。</w:t>
      </w:r>
    </w:p>
    <w:p w14:paraId="02DE2BFD">
      <w:pPr>
        <w:spacing w:line="288" w:lineRule="auto"/>
        <w:jc w:val="center"/>
        <w:rPr>
          <w:rFonts w:eastAsia="仿宋_GB2312"/>
          <w:b/>
          <w:sz w:val="32"/>
          <w:szCs w:val="32"/>
        </w:rPr>
      </w:pPr>
    </w:p>
    <w:p w14:paraId="1CCBAFD5">
      <w:pPr>
        <w:spacing w:line="288" w:lineRule="auto"/>
        <w:jc w:val="center"/>
        <w:rPr>
          <w:rFonts w:eastAsia="仿宋_GB2312"/>
          <w:b/>
          <w:sz w:val="32"/>
          <w:szCs w:val="32"/>
        </w:rPr>
      </w:pPr>
    </w:p>
    <w:p w14:paraId="730F722E">
      <w:pPr>
        <w:spacing w:line="288" w:lineRule="auto"/>
        <w:jc w:val="center"/>
        <w:rPr>
          <w:rFonts w:eastAsia="仿宋_GB2312"/>
          <w:b/>
          <w:sz w:val="32"/>
          <w:szCs w:val="32"/>
        </w:rPr>
      </w:pPr>
    </w:p>
    <w:p w14:paraId="24A2CF4F">
      <w:pPr>
        <w:spacing w:line="288" w:lineRule="auto"/>
        <w:jc w:val="center"/>
        <w:rPr>
          <w:rFonts w:eastAsia="仿宋_GB2312"/>
          <w:b/>
          <w:sz w:val="32"/>
          <w:szCs w:val="32"/>
        </w:rPr>
      </w:pPr>
    </w:p>
    <w:p w14:paraId="515D47B1">
      <w:pPr>
        <w:pStyle w:val="2"/>
        <w:rPr>
          <w:rFonts w:eastAsia="仿宋_GB2312"/>
          <w:b/>
          <w:sz w:val="32"/>
          <w:szCs w:val="32"/>
        </w:rPr>
      </w:pPr>
    </w:p>
    <w:p w14:paraId="3D726F7B">
      <w:pPr>
        <w:pStyle w:val="3"/>
        <w:rPr>
          <w:rFonts w:eastAsia="仿宋_GB2312"/>
          <w:b/>
          <w:sz w:val="32"/>
          <w:szCs w:val="32"/>
        </w:rPr>
      </w:pPr>
    </w:p>
    <w:p w14:paraId="132E1EC6">
      <w:pPr>
        <w:pStyle w:val="2"/>
        <w:rPr>
          <w:rFonts w:eastAsia="仿宋_GB2312"/>
          <w:b/>
          <w:sz w:val="32"/>
          <w:szCs w:val="32"/>
        </w:rPr>
      </w:pPr>
    </w:p>
    <w:p w14:paraId="0399F9CE">
      <w:pPr>
        <w:pStyle w:val="3"/>
        <w:rPr>
          <w:rFonts w:eastAsia="仿宋_GB2312"/>
          <w:b/>
          <w:sz w:val="32"/>
          <w:szCs w:val="32"/>
        </w:rPr>
      </w:pPr>
    </w:p>
    <w:p w14:paraId="0B1B97D4">
      <w:pPr>
        <w:pStyle w:val="2"/>
        <w:rPr>
          <w:rFonts w:eastAsia="仿宋_GB2312"/>
          <w:b/>
          <w:sz w:val="32"/>
          <w:szCs w:val="32"/>
        </w:rPr>
      </w:pPr>
    </w:p>
    <w:p w14:paraId="04D03082">
      <w:pPr>
        <w:pStyle w:val="3"/>
        <w:rPr>
          <w:rFonts w:eastAsia="仿宋_GB2312"/>
          <w:b/>
          <w:sz w:val="32"/>
          <w:szCs w:val="32"/>
        </w:rPr>
      </w:pPr>
    </w:p>
    <w:p w14:paraId="318B73CA">
      <w:pPr>
        <w:pStyle w:val="2"/>
        <w:rPr>
          <w:rFonts w:eastAsia="仿宋_GB2312"/>
          <w:b/>
          <w:sz w:val="32"/>
          <w:szCs w:val="32"/>
        </w:rPr>
      </w:pPr>
    </w:p>
    <w:p w14:paraId="646C595E">
      <w:pPr>
        <w:pStyle w:val="3"/>
        <w:rPr>
          <w:rFonts w:eastAsia="仿宋_GB2312"/>
          <w:b/>
          <w:sz w:val="32"/>
          <w:szCs w:val="32"/>
        </w:rPr>
      </w:pPr>
    </w:p>
    <w:p w14:paraId="396812C5">
      <w:pPr>
        <w:pStyle w:val="2"/>
        <w:rPr>
          <w:rFonts w:eastAsia="仿宋_GB2312"/>
          <w:b/>
          <w:sz w:val="32"/>
          <w:szCs w:val="32"/>
        </w:rPr>
      </w:pPr>
    </w:p>
    <w:p w14:paraId="50236F38">
      <w:pPr>
        <w:pStyle w:val="3"/>
        <w:rPr>
          <w:rFonts w:eastAsia="仿宋_GB2312"/>
          <w:b/>
          <w:sz w:val="32"/>
          <w:szCs w:val="32"/>
        </w:rPr>
      </w:pPr>
    </w:p>
    <w:p w14:paraId="20012DE4">
      <w:pPr>
        <w:pStyle w:val="2"/>
        <w:rPr>
          <w:rFonts w:eastAsia="仿宋_GB2312"/>
          <w:b/>
          <w:sz w:val="32"/>
          <w:szCs w:val="32"/>
        </w:rPr>
      </w:pPr>
    </w:p>
    <w:p w14:paraId="4AC1570A">
      <w:pPr>
        <w:pStyle w:val="3"/>
        <w:rPr>
          <w:rFonts w:eastAsia="仿宋_GB2312"/>
          <w:b/>
          <w:sz w:val="32"/>
          <w:szCs w:val="32"/>
        </w:rPr>
      </w:pPr>
    </w:p>
    <w:p w14:paraId="60AFBCDE">
      <w:pPr>
        <w:pStyle w:val="2"/>
        <w:rPr>
          <w:rFonts w:eastAsia="仿宋_GB2312"/>
          <w:b/>
          <w:sz w:val="32"/>
          <w:szCs w:val="32"/>
        </w:rPr>
      </w:pPr>
    </w:p>
    <w:p w14:paraId="6D2F7690">
      <w:pPr>
        <w:pStyle w:val="3"/>
      </w:pPr>
      <w:bookmarkStart w:id="0" w:name="_GoBack"/>
      <w:bookmarkEnd w:id="0"/>
    </w:p>
    <w:p w14:paraId="1FA1793C">
      <w:pPr>
        <w:spacing w:line="288" w:lineRule="auto"/>
        <w:jc w:val="center"/>
        <w:rPr>
          <w:rFonts w:eastAsia="仿宋_GB2312"/>
          <w:b/>
          <w:sz w:val="32"/>
          <w:szCs w:val="32"/>
        </w:rPr>
      </w:pPr>
    </w:p>
    <w:p w14:paraId="4236DA3C">
      <w:pPr>
        <w:spacing w:line="288" w:lineRule="auto"/>
        <w:jc w:val="center"/>
        <w:rPr>
          <w:rFonts w:eastAsia="仿宋_GB2312"/>
          <w:b/>
          <w:sz w:val="32"/>
          <w:szCs w:val="32"/>
        </w:rPr>
      </w:pPr>
    </w:p>
    <w:p w14:paraId="19BF4064">
      <w:pPr>
        <w:spacing w:line="288" w:lineRule="auto"/>
        <w:jc w:val="center"/>
        <w:rPr>
          <w:rFonts w:eastAsia="仿宋_GB2312"/>
          <w:b/>
          <w:sz w:val="32"/>
          <w:szCs w:val="32"/>
        </w:rPr>
      </w:pPr>
    </w:p>
    <w:p w14:paraId="7C9BF8C3">
      <w:pPr>
        <w:spacing w:line="288" w:lineRule="auto"/>
        <w:jc w:val="center"/>
        <w:rPr>
          <w:rFonts w:eastAsia="仿宋_GB2312"/>
          <w:sz w:val="32"/>
          <w:szCs w:val="32"/>
        </w:rPr>
      </w:pPr>
      <w:r>
        <w:rPr>
          <w:rFonts w:eastAsia="仿宋_GB2312"/>
          <w:b/>
          <w:sz w:val="32"/>
          <w:szCs w:val="32"/>
        </w:rPr>
        <w:t>采购需求</w:t>
      </w:r>
    </w:p>
    <w:p w14:paraId="048BBD62">
      <w:pPr>
        <w:pStyle w:val="233"/>
        <w:spacing w:before="0" w:line="288" w:lineRule="auto"/>
        <w:rPr>
          <w:rStyle w:val="210"/>
          <w:rFonts w:ascii="Times New Roman" w:hAnsi="Times New Roman" w:eastAsia="仿宋"/>
          <w:b/>
          <w:bCs/>
          <w:sz w:val="24"/>
          <w:szCs w:val="24"/>
        </w:rPr>
      </w:pPr>
    </w:p>
    <w:p w14:paraId="6FEC8647">
      <w:pPr>
        <w:pStyle w:val="233"/>
        <w:spacing w:before="0" w:line="360" w:lineRule="auto"/>
        <w:rPr>
          <w:rStyle w:val="210"/>
          <w:rFonts w:ascii="Times New Roman" w:hAnsi="Times New Roman" w:eastAsia="仿宋"/>
          <w:b/>
          <w:bCs/>
          <w:sz w:val="24"/>
          <w:szCs w:val="24"/>
        </w:rPr>
      </w:pPr>
      <w:r>
        <w:rPr>
          <w:rStyle w:val="210"/>
          <w:rFonts w:ascii="Times New Roman" w:hAnsi="Times New Roman" w:eastAsia="仿宋"/>
          <w:b/>
          <w:bCs/>
          <w:sz w:val="24"/>
          <w:szCs w:val="24"/>
        </w:rPr>
        <w:t>一、本项目不属于专门面向中小微企业采购的项目。</w:t>
      </w:r>
    </w:p>
    <w:p w14:paraId="607E1898">
      <w:pPr>
        <w:spacing w:line="360" w:lineRule="auto"/>
        <w:rPr>
          <w:rFonts w:eastAsia="仿宋"/>
          <w:b/>
          <w:bCs/>
          <w:spacing w:val="7"/>
          <w:position w:val="1"/>
          <w:sz w:val="23"/>
          <w:szCs w:val="23"/>
        </w:rPr>
      </w:pPr>
      <w:r>
        <w:rPr>
          <w:rStyle w:val="210"/>
          <w:rFonts w:eastAsia="仿宋"/>
          <w:b/>
          <w:bCs/>
          <w:sz w:val="24"/>
        </w:rPr>
        <w:t>二、</w:t>
      </w:r>
      <w:r>
        <w:rPr>
          <w:rFonts w:eastAsia="仿宋"/>
          <w:b/>
          <w:bCs/>
          <w:spacing w:val="7"/>
          <w:position w:val="1"/>
          <w:sz w:val="23"/>
          <w:szCs w:val="23"/>
        </w:rPr>
        <w:t>项目说明</w:t>
      </w:r>
    </w:p>
    <w:p w14:paraId="73F9C887">
      <w:pPr>
        <w:spacing w:line="360" w:lineRule="auto"/>
        <w:ind w:firstLine="420"/>
        <w:rPr>
          <w:rStyle w:val="210"/>
          <w:rFonts w:eastAsia="仿宋"/>
          <w:sz w:val="24"/>
        </w:rPr>
      </w:pPr>
      <w:r>
        <w:rPr>
          <w:rStyle w:val="210"/>
          <w:rFonts w:eastAsia="仿宋"/>
          <w:sz w:val="24"/>
        </w:rPr>
        <w:t>1、采购人：徐州市医疗保险基金管理中心</w:t>
      </w:r>
    </w:p>
    <w:p w14:paraId="5AE4B0D7">
      <w:pPr>
        <w:spacing w:line="360" w:lineRule="auto"/>
        <w:ind w:firstLine="420"/>
        <w:rPr>
          <w:rStyle w:val="210"/>
          <w:rFonts w:eastAsia="仿宋"/>
          <w:sz w:val="24"/>
        </w:rPr>
      </w:pPr>
      <w:r>
        <w:rPr>
          <w:rStyle w:val="210"/>
          <w:rFonts w:eastAsia="仿宋"/>
          <w:sz w:val="24"/>
        </w:rPr>
        <w:t>2、项目名称：徐州市长期护理保险委托商保公司经办项目</w:t>
      </w:r>
    </w:p>
    <w:p w14:paraId="0F74448F">
      <w:pPr>
        <w:spacing w:line="360" w:lineRule="auto"/>
        <w:ind w:firstLine="420"/>
        <w:rPr>
          <w:rStyle w:val="210"/>
          <w:rFonts w:eastAsia="仿宋"/>
          <w:sz w:val="24"/>
        </w:rPr>
      </w:pPr>
      <w:r>
        <w:rPr>
          <w:rStyle w:val="210"/>
          <w:rFonts w:eastAsia="仿宋"/>
          <w:sz w:val="24"/>
        </w:rPr>
        <w:t>3、采购标的：徐州市长期护理保险委托商保公司经办服务费</w:t>
      </w:r>
    </w:p>
    <w:p w14:paraId="70FDDB4D">
      <w:pPr>
        <w:spacing w:line="360" w:lineRule="auto"/>
        <w:ind w:firstLine="420"/>
        <w:rPr>
          <w:rStyle w:val="210"/>
          <w:rFonts w:eastAsia="仿宋"/>
          <w:sz w:val="24"/>
        </w:rPr>
      </w:pPr>
      <w:r>
        <w:rPr>
          <w:rStyle w:val="210"/>
          <w:rFonts w:eastAsia="仿宋"/>
          <w:sz w:val="24"/>
        </w:rPr>
        <w:t>4、采购人即政府采购合同甲方，下同。</w:t>
      </w:r>
    </w:p>
    <w:p w14:paraId="1068573F">
      <w:pPr>
        <w:spacing w:line="360" w:lineRule="auto"/>
        <w:ind w:firstLine="420"/>
        <w:rPr>
          <w:rStyle w:val="210"/>
          <w:rFonts w:eastAsia="仿宋"/>
          <w:sz w:val="24"/>
        </w:rPr>
      </w:pPr>
      <w:r>
        <w:rPr>
          <w:rStyle w:val="210"/>
          <w:rFonts w:eastAsia="仿宋"/>
          <w:sz w:val="24"/>
        </w:rPr>
        <w:t>5、中标人即政府采购合同乙方，下同。</w:t>
      </w:r>
    </w:p>
    <w:p w14:paraId="0D7FF537">
      <w:pPr>
        <w:spacing w:line="360" w:lineRule="auto"/>
        <w:rPr>
          <w:rStyle w:val="210"/>
          <w:rFonts w:eastAsia="仿宋"/>
          <w:b/>
          <w:bCs/>
          <w:sz w:val="24"/>
        </w:rPr>
      </w:pPr>
      <w:r>
        <w:rPr>
          <w:rStyle w:val="210"/>
          <w:rFonts w:eastAsia="仿宋"/>
          <w:b/>
          <w:bCs/>
          <w:sz w:val="24"/>
        </w:rPr>
        <w:t>三、项目概述</w:t>
      </w:r>
    </w:p>
    <w:p w14:paraId="50945FD4">
      <w:pPr>
        <w:spacing w:line="360" w:lineRule="auto"/>
        <w:ind w:firstLine="420"/>
        <w:rPr>
          <w:rStyle w:val="210"/>
          <w:rFonts w:eastAsia="仿宋"/>
          <w:sz w:val="24"/>
        </w:rPr>
      </w:pPr>
      <w:r>
        <w:rPr>
          <w:rStyle w:val="210"/>
          <w:rFonts w:hint="eastAsia" w:eastAsia="仿宋"/>
          <w:sz w:val="24"/>
        </w:rPr>
        <w:t>徐州</w:t>
      </w:r>
      <w:r>
        <w:rPr>
          <w:rStyle w:val="210"/>
          <w:rFonts w:eastAsia="仿宋"/>
          <w:sz w:val="24"/>
        </w:rPr>
        <w:t>市长期护理保险（以下简称“长护险”），是为长期失能人员基本生活照料和与基本生活密切相关的医疗护理提供保障的制度。为积极应对人口老龄化</w:t>
      </w:r>
      <w:r>
        <w:rPr>
          <w:rStyle w:val="210"/>
          <w:rFonts w:hint="eastAsia" w:eastAsia="仿宋"/>
          <w:sz w:val="24"/>
        </w:rPr>
        <w:t>，</w:t>
      </w:r>
      <w:r>
        <w:rPr>
          <w:rStyle w:val="210"/>
          <w:rFonts w:eastAsia="仿宋"/>
          <w:sz w:val="24"/>
        </w:rPr>
        <w:t>进一步健全我市社会保障制度，解决长期失能人员的生活照料和与基本生活密切相关的医疗护理难题</w:t>
      </w:r>
      <w:r>
        <w:rPr>
          <w:rStyle w:val="210"/>
          <w:rFonts w:hint="eastAsia" w:eastAsia="仿宋"/>
          <w:sz w:val="24"/>
        </w:rPr>
        <w:t>，</w:t>
      </w:r>
      <w:r>
        <w:rPr>
          <w:rStyle w:val="210"/>
          <w:rFonts w:eastAsia="仿宋"/>
          <w:sz w:val="24"/>
        </w:rPr>
        <w:t>根据《国家积极应对人口老龄化中长期规划》、《国家医保局 财政部关于扩大长期护理保险制度试点的指导意见》</w:t>
      </w:r>
      <w:r>
        <w:rPr>
          <w:rStyle w:val="210"/>
          <w:rFonts w:hint="eastAsia" w:eastAsia="仿宋"/>
          <w:sz w:val="24"/>
        </w:rPr>
        <w:t>（</w:t>
      </w:r>
      <w:r>
        <w:rPr>
          <w:rStyle w:val="210"/>
          <w:rFonts w:eastAsia="仿宋"/>
          <w:sz w:val="24"/>
        </w:rPr>
        <w:t>医保发〔2020〕37号</w:t>
      </w:r>
      <w:r>
        <w:rPr>
          <w:rStyle w:val="210"/>
          <w:rFonts w:hint="eastAsia" w:eastAsia="仿宋"/>
          <w:sz w:val="24"/>
        </w:rPr>
        <w:t>）</w:t>
      </w:r>
      <w:r>
        <w:rPr>
          <w:rStyle w:val="210"/>
          <w:rFonts w:eastAsia="仿宋"/>
          <w:sz w:val="24"/>
        </w:rPr>
        <w:t>、《市政府办公室关于印发徐州市长期护理保险实施方案的通知》</w:t>
      </w:r>
      <w:r>
        <w:rPr>
          <w:rStyle w:val="210"/>
          <w:rFonts w:hint="eastAsia" w:eastAsia="仿宋"/>
          <w:sz w:val="24"/>
        </w:rPr>
        <w:t>（</w:t>
      </w:r>
      <w:r>
        <w:rPr>
          <w:rStyle w:val="210"/>
          <w:rFonts w:eastAsia="仿宋"/>
          <w:sz w:val="24"/>
        </w:rPr>
        <w:t>徐政办发〔2021〕86号</w:t>
      </w:r>
      <w:r>
        <w:rPr>
          <w:rStyle w:val="210"/>
          <w:rFonts w:hint="eastAsia" w:eastAsia="仿宋"/>
          <w:sz w:val="24"/>
        </w:rPr>
        <w:t>）</w:t>
      </w:r>
      <w:r>
        <w:rPr>
          <w:rStyle w:val="210"/>
          <w:rFonts w:eastAsia="仿宋"/>
          <w:sz w:val="24"/>
        </w:rPr>
        <w:t>、市医疗保障局关于印发《徐州市长期护理保险实施细则》的通知</w:t>
      </w:r>
      <w:r>
        <w:rPr>
          <w:rStyle w:val="210"/>
          <w:rFonts w:hint="eastAsia" w:eastAsia="仿宋"/>
          <w:sz w:val="24"/>
        </w:rPr>
        <w:t>（</w:t>
      </w:r>
      <w:r>
        <w:rPr>
          <w:rStyle w:val="210"/>
          <w:rFonts w:eastAsia="仿宋"/>
          <w:sz w:val="24"/>
        </w:rPr>
        <w:t>徐医保待〔2021〕92号</w:t>
      </w:r>
      <w:r>
        <w:rPr>
          <w:rStyle w:val="210"/>
          <w:rFonts w:hint="eastAsia" w:eastAsia="仿宋"/>
          <w:sz w:val="24"/>
        </w:rPr>
        <w:t>）</w:t>
      </w:r>
      <w:r>
        <w:rPr>
          <w:rStyle w:val="210"/>
          <w:rFonts w:eastAsia="仿宋"/>
          <w:sz w:val="24"/>
        </w:rPr>
        <w:t>等文件精神，结合我市实际，现对徐州市长期护理保险委托商保公司经办项目进行采购。详见招标文件采购需求。</w:t>
      </w:r>
    </w:p>
    <w:p w14:paraId="00E41A1F">
      <w:pPr>
        <w:spacing w:line="360" w:lineRule="auto"/>
        <w:rPr>
          <w:rStyle w:val="210"/>
          <w:rFonts w:eastAsia="仿宋"/>
          <w:b/>
          <w:bCs/>
          <w:sz w:val="24"/>
        </w:rPr>
      </w:pPr>
      <w:r>
        <w:rPr>
          <w:rStyle w:val="210"/>
          <w:rFonts w:eastAsia="仿宋"/>
          <w:b/>
          <w:bCs/>
          <w:sz w:val="24"/>
        </w:rPr>
        <w:t>四、</w:t>
      </w:r>
      <w:r>
        <w:rPr>
          <w:rFonts w:eastAsia="仿宋"/>
          <w:b/>
          <w:bCs/>
          <w:spacing w:val="7"/>
          <w:position w:val="1"/>
          <w:sz w:val="23"/>
          <w:szCs w:val="23"/>
        </w:rPr>
        <w:t>保障内容</w:t>
      </w:r>
    </w:p>
    <w:p w14:paraId="53A26A1B">
      <w:pPr>
        <w:spacing w:line="360" w:lineRule="auto"/>
        <w:ind w:firstLine="420"/>
        <w:rPr>
          <w:rStyle w:val="210"/>
          <w:rFonts w:eastAsia="仿宋"/>
          <w:sz w:val="24"/>
        </w:rPr>
      </w:pPr>
      <w:r>
        <w:rPr>
          <w:rStyle w:val="210"/>
          <w:rFonts w:eastAsia="仿宋"/>
          <w:sz w:val="24"/>
        </w:rPr>
        <w:t>1 、保障对象</w:t>
      </w:r>
    </w:p>
    <w:p w14:paraId="1C52BB5F">
      <w:pPr>
        <w:spacing w:line="360" w:lineRule="auto"/>
        <w:ind w:firstLine="420"/>
        <w:rPr>
          <w:rStyle w:val="210"/>
          <w:rFonts w:eastAsia="仿宋"/>
          <w:sz w:val="24"/>
        </w:rPr>
      </w:pPr>
      <w:r>
        <w:rPr>
          <w:rStyle w:val="210"/>
          <w:rFonts w:eastAsia="仿宋"/>
          <w:sz w:val="24"/>
        </w:rPr>
        <w:t>徐州市长期护理保险参保人员，预计参保人数在</w:t>
      </w:r>
      <w:r>
        <w:rPr>
          <w:rStyle w:val="210"/>
          <w:rFonts w:eastAsia="仿宋"/>
          <w:color w:val="000000" w:themeColor="text1"/>
          <w:sz w:val="24"/>
          <w14:textFill>
            <w14:solidFill>
              <w14:schemeClr w14:val="tx1"/>
            </w14:solidFill>
          </w14:textFill>
        </w:rPr>
        <w:t>92</w:t>
      </w:r>
      <w:r>
        <w:rPr>
          <w:rStyle w:val="210"/>
          <w:rFonts w:hint="eastAsia" w:eastAsia="仿宋"/>
          <w:color w:val="000000" w:themeColor="text1"/>
          <w:sz w:val="24"/>
          <w14:textFill>
            <w14:solidFill>
              <w14:schemeClr w14:val="tx1"/>
            </w14:solidFill>
          </w14:textFill>
        </w:rPr>
        <w:t>0</w:t>
      </w:r>
      <w:r>
        <w:rPr>
          <w:rStyle w:val="210"/>
          <w:rFonts w:eastAsia="仿宋"/>
          <w:sz w:val="24"/>
        </w:rPr>
        <w:t>万人左右，最终人数以年度末实际参保人数为准。</w:t>
      </w:r>
    </w:p>
    <w:p w14:paraId="0B02DF9D">
      <w:pPr>
        <w:spacing w:line="360" w:lineRule="auto"/>
        <w:ind w:firstLine="420"/>
        <w:rPr>
          <w:rStyle w:val="210"/>
          <w:rFonts w:eastAsia="仿宋"/>
          <w:sz w:val="24"/>
        </w:rPr>
      </w:pPr>
      <w:r>
        <w:rPr>
          <w:rStyle w:val="210"/>
          <w:rFonts w:eastAsia="仿宋"/>
          <w:sz w:val="24"/>
        </w:rPr>
        <w:t>2 、待遇标准按徐州市长期护理保险相关政策执行，如国家、省、市有新的政策规定，按照最新的政策规定执行。</w:t>
      </w:r>
    </w:p>
    <w:p w14:paraId="2B882D4A">
      <w:pPr>
        <w:spacing w:line="360" w:lineRule="auto"/>
        <w:rPr>
          <w:rStyle w:val="210"/>
          <w:rFonts w:eastAsia="仿宋"/>
          <w:b/>
          <w:bCs/>
          <w:sz w:val="24"/>
        </w:rPr>
      </w:pPr>
      <w:r>
        <w:rPr>
          <w:rStyle w:val="210"/>
          <w:rFonts w:eastAsia="仿宋"/>
          <w:b/>
          <w:bCs/>
          <w:sz w:val="24"/>
        </w:rPr>
        <w:t>五、采购预算</w:t>
      </w:r>
    </w:p>
    <w:p w14:paraId="6267647A">
      <w:pPr>
        <w:spacing w:line="360" w:lineRule="auto"/>
        <w:ind w:firstLine="420"/>
        <w:rPr>
          <w:rStyle w:val="210"/>
          <w:rFonts w:eastAsia="仿宋"/>
          <w:sz w:val="24"/>
        </w:rPr>
      </w:pPr>
      <w:r>
        <w:rPr>
          <w:rStyle w:val="210"/>
          <w:rFonts w:eastAsia="仿宋"/>
          <w:sz w:val="24"/>
        </w:rPr>
        <w:t>本项目采用固定价格</w:t>
      </w:r>
      <w:r>
        <w:rPr>
          <w:rStyle w:val="210"/>
          <w:rFonts w:hint="eastAsia" w:eastAsia="仿宋"/>
          <w:sz w:val="24"/>
        </w:rPr>
        <w:t>（经办</w:t>
      </w:r>
      <w:r>
        <w:rPr>
          <w:rStyle w:val="210"/>
          <w:rFonts w:eastAsia="仿宋"/>
          <w:sz w:val="24"/>
        </w:rPr>
        <w:t>服务费</w:t>
      </w:r>
      <w:r>
        <w:rPr>
          <w:rStyle w:val="210"/>
          <w:rFonts w:hint="eastAsia" w:eastAsia="仿宋"/>
          <w:sz w:val="24"/>
        </w:rPr>
        <w:t>）</w:t>
      </w:r>
      <w:r>
        <w:rPr>
          <w:rStyle w:val="210"/>
          <w:rFonts w:eastAsia="仿宋"/>
          <w:sz w:val="24"/>
        </w:rPr>
        <w:t>采购的项目，投标人不需对</w:t>
      </w:r>
      <w:r>
        <w:rPr>
          <w:rStyle w:val="210"/>
          <w:rFonts w:hint="eastAsia" w:eastAsia="仿宋"/>
          <w:sz w:val="24"/>
        </w:rPr>
        <w:t>经办</w:t>
      </w:r>
      <w:r>
        <w:rPr>
          <w:rStyle w:val="210"/>
          <w:rFonts w:eastAsia="仿宋"/>
          <w:sz w:val="24"/>
        </w:rPr>
        <w:t>服务费进行报价，</w:t>
      </w:r>
      <w:r>
        <w:rPr>
          <w:rStyle w:val="210"/>
          <w:rFonts w:hint="eastAsia" w:eastAsia="仿宋"/>
          <w:sz w:val="24"/>
        </w:rPr>
        <w:t>经办</w:t>
      </w:r>
      <w:r>
        <w:rPr>
          <w:rStyle w:val="210"/>
          <w:rFonts w:eastAsia="仿宋"/>
          <w:sz w:val="24"/>
        </w:rPr>
        <w:t>服务费按当年度实际参保人员人数每人每年3.2元计提，预计长期护理保险</w:t>
      </w:r>
      <w:r>
        <w:rPr>
          <w:rStyle w:val="210"/>
          <w:rFonts w:hint="eastAsia" w:eastAsia="仿宋"/>
          <w:sz w:val="24"/>
        </w:rPr>
        <w:t>年度参保人数为920万，服务费</w:t>
      </w:r>
      <w:r>
        <w:rPr>
          <w:rStyle w:val="210"/>
          <w:rFonts w:eastAsia="仿宋"/>
          <w:sz w:val="24"/>
        </w:rPr>
        <w:t>年度规模在</w:t>
      </w:r>
      <w:r>
        <w:rPr>
          <w:rStyle w:val="210"/>
          <w:rFonts w:hint="eastAsia" w:eastAsia="仿宋"/>
          <w:sz w:val="24"/>
        </w:rPr>
        <w:t>2944万元</w:t>
      </w:r>
      <w:r>
        <w:rPr>
          <w:rStyle w:val="210"/>
          <w:rFonts w:eastAsia="仿宋"/>
          <w:sz w:val="24"/>
        </w:rPr>
        <w:t>，合同年度长期护理保险</w:t>
      </w:r>
      <w:r>
        <w:rPr>
          <w:rStyle w:val="210"/>
          <w:rFonts w:hint="eastAsia" w:eastAsia="仿宋"/>
          <w:sz w:val="24"/>
        </w:rPr>
        <w:t>服务费</w:t>
      </w:r>
      <w:r>
        <w:rPr>
          <w:rStyle w:val="210"/>
          <w:rFonts w:eastAsia="仿宋"/>
          <w:sz w:val="24"/>
        </w:rPr>
        <w:t>以每年度最终</w:t>
      </w:r>
      <w:r>
        <w:rPr>
          <w:rStyle w:val="210"/>
          <w:rFonts w:hint="eastAsia" w:eastAsia="仿宋"/>
          <w:sz w:val="24"/>
        </w:rPr>
        <w:t>确定的参保人数筹集</w:t>
      </w:r>
      <w:r>
        <w:rPr>
          <w:rStyle w:val="210"/>
          <w:rFonts w:eastAsia="仿宋"/>
          <w:sz w:val="24"/>
        </w:rPr>
        <w:t>。</w:t>
      </w:r>
      <w:r>
        <w:rPr>
          <w:rStyle w:val="210"/>
          <w:rFonts w:hint="eastAsia" w:eastAsia="仿宋"/>
          <w:sz w:val="24"/>
        </w:rPr>
        <w:t>当年度基金进行待遇和评估费用清算后，结余不足每人每年3.2元的，按实际结余支付。经办服务费按季度预拨，年度结束根据基金结余情况清算，经办服务费不得用于与本项目无关的支出。</w:t>
      </w:r>
    </w:p>
    <w:p w14:paraId="60F7C474">
      <w:pPr>
        <w:pStyle w:val="2"/>
        <w:rPr>
          <w:rStyle w:val="210"/>
          <w:rFonts w:ascii="Times New Roman" w:hAnsi="Times New Roman" w:eastAsia="仿宋"/>
          <w:b/>
          <w:bCs/>
          <w:sz w:val="24"/>
        </w:rPr>
      </w:pPr>
      <w:r>
        <w:rPr>
          <w:rStyle w:val="210"/>
          <w:rFonts w:ascii="Times New Roman" w:hAnsi="Times New Roman" w:eastAsia="仿宋"/>
          <w:b/>
          <w:bCs/>
          <w:sz w:val="24"/>
        </w:rPr>
        <w:t>六、承保方式</w:t>
      </w:r>
    </w:p>
    <w:p w14:paraId="0A23B768">
      <w:pPr>
        <w:spacing w:line="360" w:lineRule="auto"/>
        <w:ind w:firstLine="420"/>
        <w:rPr>
          <w:rStyle w:val="210"/>
          <w:rFonts w:eastAsia="仿宋"/>
          <w:sz w:val="24"/>
        </w:rPr>
      </w:pPr>
      <w:r>
        <w:rPr>
          <w:rStyle w:val="210"/>
          <w:rFonts w:eastAsia="仿宋"/>
          <w:sz w:val="24"/>
        </w:rPr>
        <w:t>1 、本项目招标期限3年，实行全市共保</w:t>
      </w:r>
      <w:r>
        <w:rPr>
          <w:rStyle w:val="210"/>
          <w:rFonts w:hint="eastAsia" w:eastAsia="仿宋"/>
          <w:sz w:val="24"/>
        </w:rPr>
        <w:t>分地区</w:t>
      </w:r>
      <w:r>
        <w:rPr>
          <w:rStyle w:val="210"/>
          <w:rFonts w:eastAsia="仿宋"/>
          <w:sz w:val="24"/>
        </w:rPr>
        <w:t>承办，承保方案由各参保地</w:t>
      </w:r>
      <w:r>
        <w:rPr>
          <w:rStyle w:val="210"/>
          <w:rFonts w:hint="eastAsia" w:eastAsia="仿宋"/>
          <w:sz w:val="24"/>
        </w:rPr>
        <w:t>医保部门</w:t>
      </w:r>
      <w:r>
        <w:rPr>
          <w:rStyle w:val="210"/>
          <w:rFonts w:eastAsia="仿宋"/>
          <w:sz w:val="24"/>
        </w:rPr>
        <w:t>按照本地区实际择优选择使用。</w:t>
      </w:r>
    </w:p>
    <w:p w14:paraId="3B3EF9D2">
      <w:pPr>
        <w:spacing w:line="360" w:lineRule="auto"/>
        <w:ind w:firstLine="420"/>
        <w:rPr>
          <w:rStyle w:val="210"/>
          <w:rFonts w:eastAsia="仿宋"/>
          <w:sz w:val="24"/>
        </w:rPr>
      </w:pPr>
      <w:r>
        <w:rPr>
          <w:rStyle w:val="210"/>
          <w:rFonts w:eastAsia="仿宋"/>
          <w:sz w:val="24"/>
        </w:rPr>
        <w:t>方案一：统筹地区分两个片区具体承办，得分第一的和第二的中标商保公司分别牵头负责本统筹区内2个片区内的（其中市区一片区：鼓楼区、泉山区及居住在铜山新区的市区参保人员；二片区：云龙区、经济技术开发区、贾汪区（职工）参保人员；贾汪区居民参保人员由第一名中标单位独立负责长期护理保险经办服务；其余县（市）、区片区由当地医疗保险基金管理中心确定片区划分。）长期护理保险经办服务。第一、二中标人分别为两个片区的首席承保人，第三、四、五、六、七、八、九、十中标人分别为两个片区的共保人（第一、三、五、七、九名组成共保体，第二、四、六、八、十组成共保体）。首席承保人分别牵头负责两个片区中标人的统筹、协调、承担经办事务的组织、实施、落实等职责责任。中标人按</w:t>
      </w:r>
      <w:r>
        <w:rPr>
          <w:rStyle w:val="210"/>
          <w:rFonts w:hint="eastAsia" w:eastAsia="仿宋"/>
          <w:sz w:val="24"/>
        </w:rPr>
        <w:t>得分</w:t>
      </w:r>
      <w:r>
        <w:rPr>
          <w:rStyle w:val="210"/>
          <w:rFonts w:eastAsia="仿宋"/>
          <w:sz w:val="24"/>
        </w:rPr>
        <w:t>排名第一、二中标人顺位依次</w:t>
      </w:r>
      <w:r>
        <w:rPr>
          <w:rStyle w:val="210"/>
          <w:rFonts w:hint="eastAsia" w:eastAsia="仿宋"/>
          <w:sz w:val="24"/>
          <w:lang w:val="en-US"/>
        </w:rPr>
        <w:t>选择</w:t>
      </w:r>
      <w:r>
        <w:rPr>
          <w:rStyle w:val="210"/>
          <w:rFonts w:eastAsia="仿宋"/>
          <w:sz w:val="24"/>
        </w:rPr>
        <w:t>1个承办片区。</w:t>
      </w:r>
    </w:p>
    <w:p w14:paraId="6A648930">
      <w:pPr>
        <w:spacing w:line="360" w:lineRule="auto"/>
        <w:ind w:firstLine="420"/>
        <w:rPr>
          <w:rStyle w:val="210"/>
          <w:rFonts w:eastAsia="仿宋"/>
          <w:sz w:val="24"/>
        </w:rPr>
      </w:pPr>
      <w:r>
        <w:rPr>
          <w:rStyle w:val="210"/>
          <w:rFonts w:eastAsia="仿宋"/>
          <w:b/>
          <w:bCs/>
          <w:sz w:val="24"/>
        </w:rPr>
        <w:t>方案二：投标人按照中标</w:t>
      </w:r>
      <w:r>
        <w:rPr>
          <w:rStyle w:val="210"/>
          <w:rFonts w:hint="eastAsia" w:eastAsia="仿宋"/>
          <w:b/>
          <w:bCs/>
          <w:sz w:val="24"/>
        </w:rPr>
        <w:t>得分</w:t>
      </w:r>
      <w:r>
        <w:rPr>
          <w:rStyle w:val="210"/>
          <w:rFonts w:eastAsia="仿宋"/>
          <w:b/>
          <w:bCs/>
          <w:sz w:val="24"/>
        </w:rPr>
        <w:t>顺序分别确定第1-10名商保公司，组成一个共保体。</w:t>
      </w:r>
    </w:p>
    <w:p w14:paraId="533ECDE2">
      <w:pPr>
        <w:spacing w:line="360" w:lineRule="auto"/>
        <w:ind w:firstLine="420"/>
        <w:rPr>
          <w:rStyle w:val="210"/>
          <w:rFonts w:eastAsia="仿宋"/>
          <w:sz w:val="24"/>
        </w:rPr>
      </w:pPr>
      <w:r>
        <w:rPr>
          <w:rStyle w:val="210"/>
          <w:rFonts w:eastAsia="仿宋"/>
          <w:sz w:val="24"/>
        </w:rPr>
        <w:t>第一名为首席承保商保公司，其余为共保商保公司模式</w:t>
      </w:r>
      <w:r>
        <w:rPr>
          <w:rStyle w:val="210"/>
          <w:rFonts w:hint="eastAsia" w:eastAsia="仿宋"/>
          <w:sz w:val="24"/>
        </w:rPr>
        <w:t>。</w:t>
      </w:r>
      <w:r>
        <w:rPr>
          <w:rStyle w:val="210"/>
          <w:rFonts w:eastAsia="仿宋"/>
          <w:sz w:val="24"/>
        </w:rPr>
        <w:t>中标商保公司如在相应统筹区没有独立分、支公司的，视为其在此统筹区的中标资格自动丧失，其份额由其它中标商保公司</w:t>
      </w:r>
      <w:r>
        <w:rPr>
          <w:rStyle w:val="210"/>
          <w:rFonts w:hint="eastAsia" w:eastAsia="仿宋"/>
          <w:sz w:val="24"/>
        </w:rPr>
        <w:t>按照中标份额比例进行分配。</w:t>
      </w:r>
    </w:p>
    <w:p w14:paraId="2F817088">
      <w:pPr>
        <w:spacing w:line="360" w:lineRule="auto"/>
        <w:ind w:firstLine="420"/>
        <w:rPr>
          <w:rStyle w:val="210"/>
          <w:rFonts w:eastAsia="仿宋"/>
          <w:sz w:val="24"/>
        </w:rPr>
      </w:pPr>
      <w:r>
        <w:rPr>
          <w:rStyle w:val="210"/>
          <w:rFonts w:eastAsia="仿宋"/>
          <w:sz w:val="24"/>
        </w:rPr>
        <w:t>2 、待遇结算：建立风险责任共担机制</w:t>
      </w:r>
      <w:r>
        <w:rPr>
          <w:rStyle w:val="210"/>
          <w:rFonts w:hint="eastAsia" w:eastAsia="仿宋"/>
          <w:sz w:val="24"/>
        </w:rPr>
        <w:t>。长护险基金</w:t>
      </w:r>
      <w:r>
        <w:rPr>
          <w:rStyle w:val="210"/>
          <w:rFonts w:eastAsia="仿宋"/>
          <w:sz w:val="24"/>
        </w:rPr>
        <w:t>由承办机构商保公司结算</w:t>
      </w:r>
      <w:r>
        <w:rPr>
          <w:rStyle w:val="210"/>
          <w:rFonts w:hint="eastAsia" w:eastAsia="仿宋"/>
          <w:sz w:val="24"/>
        </w:rPr>
        <w:t>支付，</w:t>
      </w:r>
      <w:r>
        <w:rPr>
          <w:rStyle w:val="210"/>
          <w:rFonts w:eastAsia="仿宋"/>
          <w:sz w:val="24"/>
        </w:rPr>
        <w:t>每月支付数据由商保公司进行对账</w:t>
      </w:r>
      <w:r>
        <w:rPr>
          <w:rStyle w:val="210"/>
          <w:rFonts w:hint="eastAsia" w:eastAsia="仿宋"/>
          <w:sz w:val="24"/>
        </w:rPr>
        <w:t>、审核</w:t>
      </w:r>
      <w:r>
        <w:rPr>
          <w:rStyle w:val="210"/>
          <w:rFonts w:eastAsia="仿宋"/>
          <w:sz w:val="24"/>
        </w:rPr>
        <w:t>，经医保经办机构复核后将当月应结算款</w:t>
      </w:r>
      <w:r>
        <w:rPr>
          <w:rStyle w:val="210"/>
          <w:rFonts w:hint="eastAsia" w:eastAsia="仿宋"/>
          <w:sz w:val="24"/>
        </w:rPr>
        <w:t>按照经办服务费份额占比</w:t>
      </w:r>
      <w:r>
        <w:rPr>
          <w:rStyle w:val="210"/>
          <w:rFonts w:eastAsia="仿宋"/>
          <w:sz w:val="24"/>
        </w:rPr>
        <w:t>拨付至商保公司，由商保公司进行支付。年度结束清算，如基金出现赤字，“该统筹年度实际参保人数×2元”之内的部分，由承办商保机构全部承担。</w:t>
      </w:r>
    </w:p>
    <w:p w14:paraId="1343D12C">
      <w:pPr>
        <w:pStyle w:val="2"/>
        <w:numPr>
          <w:ilvl w:val="0"/>
          <w:numId w:val="2"/>
        </w:numPr>
        <w:rPr>
          <w:rFonts w:ascii="Times New Roman" w:hAnsi="Times New Roman"/>
          <w:b/>
          <w:bCs/>
          <w:sz w:val="24"/>
        </w:rPr>
      </w:pPr>
      <w:r>
        <w:rPr>
          <w:rFonts w:ascii="Times New Roman" w:hAnsi="Times New Roman"/>
          <w:b/>
          <w:bCs/>
          <w:sz w:val="24"/>
        </w:rPr>
        <w:t>项目要求</w:t>
      </w:r>
    </w:p>
    <w:p w14:paraId="287C5239">
      <w:pPr>
        <w:spacing w:line="360" w:lineRule="auto"/>
        <w:ind w:firstLine="420"/>
        <w:rPr>
          <w:rStyle w:val="210"/>
          <w:rFonts w:eastAsia="仿宋"/>
          <w:sz w:val="24"/>
        </w:rPr>
      </w:pPr>
      <w:r>
        <w:rPr>
          <w:rStyle w:val="210"/>
          <w:rFonts w:hint="eastAsia" w:eastAsia="仿宋"/>
          <w:b/>
          <w:bCs/>
          <w:sz w:val="24"/>
        </w:rPr>
        <w:t>（</w:t>
      </w:r>
      <w:r>
        <w:rPr>
          <w:rStyle w:val="210"/>
          <w:rFonts w:eastAsia="仿宋"/>
          <w:b/>
          <w:bCs/>
          <w:sz w:val="24"/>
        </w:rPr>
        <w:t>一</w:t>
      </w:r>
      <w:r>
        <w:rPr>
          <w:rStyle w:val="210"/>
          <w:rFonts w:hint="eastAsia" w:eastAsia="仿宋"/>
          <w:b/>
          <w:bCs/>
          <w:sz w:val="24"/>
        </w:rPr>
        <w:t>）</w:t>
      </w:r>
      <w:r>
        <w:rPr>
          <w:rStyle w:val="210"/>
          <w:rFonts w:eastAsia="仿宋"/>
          <w:b/>
          <w:bCs/>
          <w:sz w:val="24"/>
        </w:rPr>
        <w:t xml:space="preserve"> 服务要求</w:t>
      </w:r>
    </w:p>
    <w:p w14:paraId="542A38B4">
      <w:pPr>
        <w:spacing w:line="360" w:lineRule="auto"/>
        <w:ind w:firstLine="420"/>
        <w:rPr>
          <w:rStyle w:val="210"/>
          <w:rFonts w:eastAsia="仿宋"/>
          <w:b/>
          <w:bCs/>
          <w:sz w:val="24"/>
        </w:rPr>
      </w:pPr>
      <w:r>
        <w:rPr>
          <w:rStyle w:val="210"/>
          <w:rFonts w:eastAsia="仿宋"/>
          <w:b/>
          <w:bCs/>
          <w:sz w:val="24"/>
        </w:rPr>
        <w:t>1 、项目实施要求</w:t>
      </w:r>
    </w:p>
    <w:p w14:paraId="7444AD16">
      <w:pPr>
        <w:spacing w:line="360" w:lineRule="auto"/>
        <w:ind w:firstLine="420"/>
        <w:rPr>
          <w:rStyle w:val="210"/>
          <w:rFonts w:eastAsia="仿宋"/>
          <w:sz w:val="24"/>
        </w:rPr>
      </w:pPr>
      <w:r>
        <w:rPr>
          <w:rStyle w:val="210"/>
          <w:rFonts w:hint="eastAsia" w:eastAsia="仿宋"/>
          <w:sz w:val="24"/>
        </w:rPr>
        <w:t>（</w:t>
      </w:r>
      <w:r>
        <w:rPr>
          <w:rStyle w:val="210"/>
          <w:rFonts w:eastAsia="仿宋"/>
          <w:sz w:val="24"/>
        </w:rPr>
        <w:t>1</w:t>
      </w:r>
      <w:r>
        <w:rPr>
          <w:rStyle w:val="210"/>
          <w:rFonts w:hint="eastAsia" w:eastAsia="仿宋"/>
          <w:sz w:val="24"/>
        </w:rPr>
        <w:t>）</w:t>
      </w:r>
      <w:r>
        <w:rPr>
          <w:rStyle w:val="210"/>
          <w:rFonts w:eastAsia="仿宋"/>
          <w:sz w:val="24"/>
        </w:rPr>
        <w:t>制定数据的定期通报制度，制定数据安全管理制度。</w:t>
      </w:r>
    </w:p>
    <w:p w14:paraId="06E56D6D">
      <w:pPr>
        <w:spacing w:line="360" w:lineRule="auto"/>
        <w:ind w:firstLine="420"/>
        <w:rPr>
          <w:rStyle w:val="210"/>
          <w:rFonts w:eastAsia="仿宋"/>
          <w:sz w:val="24"/>
        </w:rPr>
      </w:pPr>
      <w:r>
        <w:rPr>
          <w:rStyle w:val="210"/>
          <w:rFonts w:hint="eastAsia" w:eastAsia="仿宋"/>
          <w:sz w:val="24"/>
        </w:rPr>
        <w:t>（</w:t>
      </w:r>
      <w:r>
        <w:rPr>
          <w:rStyle w:val="210"/>
          <w:rFonts w:eastAsia="仿宋"/>
          <w:sz w:val="24"/>
        </w:rPr>
        <w:t>2</w:t>
      </w:r>
      <w:r>
        <w:rPr>
          <w:rStyle w:val="210"/>
          <w:rFonts w:hint="eastAsia" w:eastAsia="仿宋"/>
          <w:sz w:val="24"/>
        </w:rPr>
        <w:t>）</w:t>
      </w:r>
      <w:r>
        <w:rPr>
          <w:rStyle w:val="210"/>
          <w:rFonts w:eastAsia="仿宋"/>
          <w:sz w:val="24"/>
        </w:rPr>
        <w:t>建立自我评价机制，定期进行运行分析、风险评估、风险预测，对业务承办过程中出现的各种问题和可能出现的风险进行分析汇总并从专业角度提出合理化意见，于每月结束后15个工作日内向采购人提交长期护理保险运行报告，并按半年、年提交整体经办服务情况总结。</w:t>
      </w:r>
    </w:p>
    <w:p w14:paraId="0DC45D8E">
      <w:pPr>
        <w:spacing w:line="360" w:lineRule="auto"/>
        <w:ind w:firstLine="420"/>
        <w:rPr>
          <w:rStyle w:val="210"/>
          <w:rFonts w:eastAsia="仿宋"/>
          <w:sz w:val="24"/>
        </w:rPr>
      </w:pPr>
      <w:r>
        <w:rPr>
          <w:rStyle w:val="210"/>
          <w:rFonts w:hint="eastAsia" w:eastAsia="仿宋"/>
          <w:sz w:val="24"/>
        </w:rPr>
        <w:t>（</w:t>
      </w:r>
      <w:r>
        <w:rPr>
          <w:rStyle w:val="210"/>
          <w:rFonts w:eastAsia="仿宋"/>
          <w:sz w:val="24"/>
        </w:rPr>
        <w:t>3</w:t>
      </w:r>
      <w:r>
        <w:rPr>
          <w:rStyle w:val="210"/>
          <w:rFonts w:hint="eastAsia" w:eastAsia="仿宋"/>
          <w:sz w:val="24"/>
        </w:rPr>
        <w:t>）</w:t>
      </w:r>
      <w:r>
        <w:rPr>
          <w:rStyle w:val="210"/>
          <w:rFonts w:eastAsia="仿宋"/>
          <w:sz w:val="24"/>
        </w:rPr>
        <w:t xml:space="preserve"> 按照社会保障档案管理要求建立和管理业务档案。</w:t>
      </w:r>
    </w:p>
    <w:p w14:paraId="715F61A6">
      <w:pPr>
        <w:spacing w:line="360" w:lineRule="auto"/>
        <w:ind w:firstLine="420"/>
        <w:rPr>
          <w:rStyle w:val="210"/>
          <w:rFonts w:eastAsia="仿宋"/>
          <w:sz w:val="24"/>
        </w:rPr>
      </w:pPr>
      <w:r>
        <w:rPr>
          <w:rStyle w:val="210"/>
          <w:rFonts w:hint="eastAsia" w:eastAsia="仿宋"/>
          <w:sz w:val="24"/>
        </w:rPr>
        <w:t>（</w:t>
      </w:r>
      <w:r>
        <w:rPr>
          <w:rStyle w:val="210"/>
          <w:rFonts w:eastAsia="仿宋"/>
          <w:sz w:val="24"/>
        </w:rPr>
        <w:t>4</w:t>
      </w:r>
      <w:r>
        <w:rPr>
          <w:rStyle w:val="210"/>
          <w:rFonts w:hint="eastAsia" w:eastAsia="仿宋"/>
          <w:sz w:val="24"/>
        </w:rPr>
        <w:t>）</w:t>
      </w:r>
      <w:r>
        <w:rPr>
          <w:rStyle w:val="210"/>
          <w:rFonts w:eastAsia="仿宋"/>
          <w:sz w:val="24"/>
        </w:rPr>
        <w:t xml:space="preserve"> 协助甲方就长期护理保险政策调整、经办服务能力提升等开展的调研工作，提出意见建议。</w:t>
      </w:r>
    </w:p>
    <w:p w14:paraId="2CAC19C6">
      <w:pPr>
        <w:spacing w:line="360" w:lineRule="auto"/>
        <w:ind w:firstLine="420"/>
        <w:rPr>
          <w:rStyle w:val="210"/>
          <w:rFonts w:eastAsia="仿宋"/>
          <w:b/>
          <w:bCs/>
          <w:sz w:val="24"/>
        </w:rPr>
      </w:pPr>
      <w:r>
        <w:rPr>
          <w:rStyle w:val="210"/>
          <w:rFonts w:eastAsia="仿宋"/>
          <w:b/>
          <w:bCs/>
          <w:sz w:val="24"/>
        </w:rPr>
        <w:t>2 、政策宣传要求</w:t>
      </w:r>
    </w:p>
    <w:p w14:paraId="192B5462">
      <w:pPr>
        <w:spacing w:line="360" w:lineRule="auto"/>
        <w:ind w:firstLine="420"/>
        <w:rPr>
          <w:rStyle w:val="210"/>
          <w:rFonts w:hint="eastAsia" w:eastAsia="仿宋"/>
          <w:sz w:val="24"/>
        </w:rPr>
      </w:pPr>
      <w:r>
        <w:rPr>
          <w:rStyle w:val="210"/>
          <w:rFonts w:hint="eastAsia" w:eastAsia="仿宋"/>
          <w:sz w:val="24"/>
        </w:rPr>
        <w:t>采用多种方式进行宣传且各中标人每年在国家医疗保障局媒体上宣传报道1次以上、每季度至少进行3次主题宣传活动且根据宣传计划在街道、社区开展现场宣传每月不少于1次并设立专线咨询电话。</w:t>
      </w:r>
    </w:p>
    <w:p w14:paraId="56BAFFC3">
      <w:pPr>
        <w:spacing w:line="360" w:lineRule="auto"/>
        <w:ind w:firstLine="420"/>
        <w:rPr>
          <w:rStyle w:val="210"/>
          <w:rFonts w:eastAsia="仿宋"/>
          <w:b/>
          <w:bCs/>
          <w:sz w:val="24"/>
        </w:rPr>
      </w:pPr>
      <w:r>
        <w:rPr>
          <w:rStyle w:val="210"/>
          <w:rFonts w:eastAsia="仿宋"/>
          <w:b/>
          <w:bCs/>
          <w:sz w:val="24"/>
        </w:rPr>
        <w:t>3 、评估工作要求</w:t>
      </w:r>
    </w:p>
    <w:p w14:paraId="26DFDE39">
      <w:pPr>
        <w:spacing w:line="360" w:lineRule="auto"/>
        <w:ind w:firstLine="420"/>
        <w:rPr>
          <w:rStyle w:val="210"/>
          <w:rFonts w:eastAsia="仿宋"/>
          <w:sz w:val="24"/>
        </w:rPr>
      </w:pPr>
      <w:r>
        <w:rPr>
          <w:rStyle w:val="210"/>
          <w:rFonts w:hint="eastAsia" w:eastAsia="仿宋"/>
          <w:sz w:val="24"/>
        </w:rPr>
        <w:t>（</w:t>
      </w:r>
      <w:r>
        <w:rPr>
          <w:rStyle w:val="210"/>
          <w:rFonts w:eastAsia="仿宋"/>
          <w:sz w:val="24"/>
        </w:rPr>
        <w:t>1</w:t>
      </w:r>
      <w:r>
        <w:rPr>
          <w:rStyle w:val="210"/>
          <w:rFonts w:hint="eastAsia" w:eastAsia="仿宋"/>
          <w:sz w:val="24"/>
        </w:rPr>
        <w:t>）</w:t>
      </w:r>
      <w:r>
        <w:rPr>
          <w:rStyle w:val="210"/>
          <w:rFonts w:eastAsia="仿宋"/>
          <w:sz w:val="24"/>
        </w:rPr>
        <w:t>长期护理保险失能评估申请的受理、审核、评定、评定结果公示及送达等工作。受理评定范围含异地居住的申请参保人员。</w:t>
      </w:r>
    </w:p>
    <w:p w14:paraId="2169B2BB">
      <w:pPr>
        <w:spacing w:line="360" w:lineRule="auto"/>
        <w:ind w:firstLine="420"/>
        <w:rPr>
          <w:rStyle w:val="210"/>
          <w:rFonts w:hint="eastAsia" w:eastAsia="仿宋"/>
          <w:sz w:val="24"/>
        </w:rPr>
      </w:pPr>
      <w:r>
        <w:rPr>
          <w:rStyle w:val="210"/>
          <w:rFonts w:hint="eastAsia" w:eastAsia="仿宋"/>
          <w:sz w:val="24"/>
        </w:rPr>
        <w:t>（2）长期护理保险的失能评估受理之日起10个工作日内上门评估。初评、复评工作由乙方负责组织评估机构进行，评估费用按200元/人，从长期护理保险基金列支。</w:t>
      </w:r>
    </w:p>
    <w:p w14:paraId="4785A37A">
      <w:pPr>
        <w:spacing w:line="360" w:lineRule="auto"/>
        <w:ind w:firstLine="420"/>
        <w:rPr>
          <w:rStyle w:val="210"/>
          <w:rFonts w:hint="eastAsia" w:eastAsia="仿宋"/>
          <w:sz w:val="24"/>
        </w:rPr>
      </w:pPr>
      <w:r>
        <w:rPr>
          <w:rStyle w:val="210"/>
          <w:rFonts w:hint="eastAsia" w:eastAsia="仿宋"/>
          <w:sz w:val="24"/>
        </w:rPr>
        <w:t>4 、实名制、生存状态核实管理要求</w:t>
      </w:r>
    </w:p>
    <w:p w14:paraId="2390A104">
      <w:pPr>
        <w:spacing w:line="360" w:lineRule="auto"/>
        <w:ind w:firstLine="420"/>
        <w:rPr>
          <w:rStyle w:val="210"/>
          <w:rFonts w:hint="eastAsia" w:eastAsia="仿宋"/>
          <w:sz w:val="24"/>
        </w:rPr>
      </w:pPr>
      <w:r>
        <w:rPr>
          <w:rStyle w:val="210"/>
          <w:rFonts w:hint="eastAsia" w:eastAsia="仿宋"/>
          <w:sz w:val="24"/>
        </w:rPr>
        <w:t>针对入住照护机构、接受照护机构上门服务、接受照护机构上门服务加居家亲情护理或居家亲情护理加租赁辅助器具三种待遇享受方式制定实名制、生存状态管理核实方案，包含对异地居住人员的实名制、生存状态核查等。</w:t>
      </w:r>
    </w:p>
    <w:p w14:paraId="2C358208">
      <w:pPr>
        <w:spacing w:line="360" w:lineRule="auto"/>
        <w:ind w:firstLine="420"/>
        <w:rPr>
          <w:rStyle w:val="210"/>
          <w:rFonts w:eastAsia="仿宋"/>
          <w:sz w:val="24"/>
        </w:rPr>
      </w:pPr>
      <w:r>
        <w:rPr>
          <w:rStyle w:val="210"/>
          <w:rFonts w:hint="eastAsia" w:eastAsia="仿宋"/>
          <w:b/>
          <w:bCs/>
          <w:sz w:val="24"/>
        </w:rPr>
        <w:t>5</w:t>
      </w:r>
      <w:r>
        <w:rPr>
          <w:rStyle w:val="210"/>
          <w:rFonts w:eastAsia="仿宋"/>
          <w:b/>
          <w:bCs/>
          <w:sz w:val="24"/>
        </w:rPr>
        <w:t xml:space="preserve"> 、</w:t>
      </w:r>
      <w:r>
        <w:rPr>
          <w:rStyle w:val="210"/>
          <w:rFonts w:hint="eastAsia" w:eastAsia="仿宋"/>
          <w:b/>
          <w:bCs/>
          <w:sz w:val="24"/>
        </w:rPr>
        <w:t>长护险定点</w:t>
      </w:r>
      <w:r>
        <w:rPr>
          <w:rStyle w:val="210"/>
          <w:rFonts w:eastAsia="仿宋"/>
          <w:b/>
          <w:bCs/>
          <w:sz w:val="24"/>
        </w:rPr>
        <w:t>机构监督管理要求</w:t>
      </w:r>
    </w:p>
    <w:p w14:paraId="1591786A">
      <w:pPr>
        <w:spacing w:line="360" w:lineRule="auto"/>
        <w:ind w:firstLine="420"/>
        <w:rPr>
          <w:rStyle w:val="210"/>
          <w:rFonts w:hint="eastAsia" w:eastAsia="仿宋"/>
          <w:sz w:val="24"/>
        </w:rPr>
      </w:pPr>
      <w:r>
        <w:rPr>
          <w:rStyle w:val="210"/>
          <w:rFonts w:hint="eastAsia" w:eastAsia="仿宋"/>
          <w:sz w:val="24"/>
        </w:rPr>
        <w:t>对护理机构、评估机构的日常管理、费用收取、违规处理、满意度调查、及对护理人员护理服务执行情况和参保人员待遇享受情况、失能等级状况等进行监督核查。每季度至少对承办片区内所有长护险定点机构履行服务协议情况进行不少于2次的核查。</w:t>
      </w:r>
    </w:p>
    <w:p w14:paraId="4EDDE8C5">
      <w:pPr>
        <w:spacing w:line="360" w:lineRule="auto"/>
        <w:ind w:firstLine="420"/>
        <w:rPr>
          <w:rStyle w:val="210"/>
          <w:rFonts w:eastAsia="仿宋"/>
          <w:b/>
          <w:bCs/>
          <w:sz w:val="24"/>
        </w:rPr>
      </w:pPr>
      <w:r>
        <w:rPr>
          <w:rStyle w:val="210"/>
          <w:rFonts w:hint="eastAsia" w:eastAsia="仿宋"/>
          <w:b/>
          <w:bCs/>
          <w:sz w:val="24"/>
        </w:rPr>
        <w:t>6</w:t>
      </w:r>
      <w:r>
        <w:rPr>
          <w:rStyle w:val="210"/>
          <w:rFonts w:eastAsia="仿宋"/>
          <w:b/>
          <w:bCs/>
          <w:sz w:val="24"/>
        </w:rPr>
        <w:t xml:space="preserve"> 、经办工作要求</w:t>
      </w:r>
    </w:p>
    <w:p w14:paraId="52CF3F7C">
      <w:pPr>
        <w:spacing w:line="360" w:lineRule="auto"/>
        <w:ind w:firstLine="420"/>
        <w:rPr>
          <w:rStyle w:val="210"/>
          <w:rFonts w:hint="eastAsia" w:eastAsia="仿宋"/>
          <w:sz w:val="24"/>
        </w:rPr>
      </w:pPr>
      <w:r>
        <w:rPr>
          <w:rStyle w:val="210"/>
          <w:rFonts w:hint="eastAsia" w:eastAsia="仿宋"/>
          <w:sz w:val="24"/>
        </w:rPr>
        <w:t>做好经办管理和培训工作。建立长护险经办业务流程和各项管理制度、内控制度；协助医保经办机构开展新增机构遴选、准入、考核、管理工作及年终考评工作；做好日常失能评估跟评工作、政策及业务咨询与答疑、信访接待、失能评估、待遇享受争议申诉、报送长护险运行情况统计分析材料、落实长护险业务培训。</w:t>
      </w:r>
    </w:p>
    <w:p w14:paraId="65D7E416">
      <w:pPr>
        <w:spacing w:line="360" w:lineRule="auto"/>
        <w:ind w:firstLine="420"/>
        <w:rPr>
          <w:rStyle w:val="210"/>
          <w:rFonts w:eastAsia="仿宋"/>
          <w:b/>
          <w:bCs/>
          <w:sz w:val="24"/>
        </w:rPr>
      </w:pPr>
      <w:r>
        <w:rPr>
          <w:rStyle w:val="210"/>
          <w:rFonts w:hint="eastAsia" w:eastAsia="仿宋"/>
          <w:b/>
          <w:bCs/>
          <w:sz w:val="24"/>
        </w:rPr>
        <w:t xml:space="preserve">7 </w:t>
      </w:r>
      <w:r>
        <w:rPr>
          <w:rStyle w:val="210"/>
          <w:rFonts w:eastAsia="仿宋"/>
          <w:b/>
          <w:bCs/>
          <w:sz w:val="24"/>
        </w:rPr>
        <w:t>、费用的审核和结算工作</w:t>
      </w:r>
    </w:p>
    <w:p w14:paraId="43827BBB">
      <w:pPr>
        <w:spacing w:line="360" w:lineRule="auto"/>
        <w:ind w:firstLine="420"/>
        <w:rPr>
          <w:rStyle w:val="210"/>
          <w:rFonts w:eastAsia="仿宋"/>
          <w:sz w:val="24"/>
        </w:rPr>
      </w:pPr>
      <w:r>
        <w:rPr>
          <w:rStyle w:val="210"/>
          <w:rFonts w:hint="eastAsia" w:eastAsia="仿宋"/>
          <w:sz w:val="24"/>
        </w:rPr>
        <w:t>（</w:t>
      </w:r>
      <w:r>
        <w:rPr>
          <w:rStyle w:val="210"/>
          <w:rFonts w:eastAsia="仿宋"/>
          <w:sz w:val="24"/>
        </w:rPr>
        <w:t>1</w:t>
      </w:r>
      <w:r>
        <w:rPr>
          <w:rStyle w:val="210"/>
          <w:rFonts w:hint="eastAsia" w:eastAsia="仿宋"/>
          <w:sz w:val="24"/>
        </w:rPr>
        <w:t>）</w:t>
      </w:r>
      <w:r>
        <w:rPr>
          <w:rStyle w:val="210"/>
          <w:rFonts w:eastAsia="仿宋"/>
          <w:sz w:val="24"/>
        </w:rPr>
        <w:t>投标供应商按照规定设立专门账户，实行专户专管，独立核算。</w:t>
      </w:r>
    </w:p>
    <w:p w14:paraId="75AC15A5">
      <w:pPr>
        <w:spacing w:line="360" w:lineRule="auto"/>
        <w:ind w:firstLine="420"/>
        <w:rPr>
          <w:rStyle w:val="210"/>
          <w:rFonts w:hint="eastAsia" w:eastAsia="仿宋"/>
          <w:sz w:val="24"/>
        </w:rPr>
      </w:pPr>
      <w:r>
        <w:rPr>
          <w:rStyle w:val="210"/>
          <w:rFonts w:hint="eastAsia" w:eastAsia="仿宋"/>
          <w:sz w:val="24"/>
        </w:rPr>
        <w:t>（2）每月前15个工作日内完成上月协议照护机构费用、居家补助费用、评估费用的审核、对帐、结算等工作。</w:t>
      </w:r>
    </w:p>
    <w:p w14:paraId="10257646">
      <w:pPr>
        <w:spacing w:line="360" w:lineRule="auto"/>
        <w:ind w:firstLine="420"/>
        <w:rPr>
          <w:rStyle w:val="210"/>
          <w:rFonts w:hint="eastAsia" w:eastAsia="仿宋"/>
          <w:sz w:val="24"/>
        </w:rPr>
      </w:pPr>
      <w:r>
        <w:rPr>
          <w:rStyle w:val="210"/>
          <w:rFonts w:hint="eastAsia" w:eastAsia="仿宋"/>
          <w:sz w:val="24"/>
        </w:rPr>
        <w:t>（3）在每月进行长护险待遇费用结算前完成长护险待遇享受人员的生存认证工作，如出现超出死亡日期的待遇支出由中标人承担。</w:t>
      </w:r>
    </w:p>
    <w:p w14:paraId="3E15EA32">
      <w:pPr>
        <w:spacing w:line="360" w:lineRule="auto"/>
        <w:ind w:firstLine="420"/>
        <w:rPr>
          <w:rStyle w:val="210"/>
          <w:rFonts w:eastAsia="仿宋"/>
          <w:b/>
          <w:bCs/>
          <w:sz w:val="24"/>
        </w:rPr>
      </w:pPr>
      <w:r>
        <w:rPr>
          <w:rStyle w:val="210"/>
          <w:rFonts w:hint="eastAsia" w:eastAsia="仿宋"/>
          <w:b/>
          <w:bCs/>
          <w:sz w:val="24"/>
        </w:rPr>
        <w:t>（</w:t>
      </w:r>
      <w:r>
        <w:rPr>
          <w:rStyle w:val="210"/>
          <w:rFonts w:eastAsia="仿宋"/>
          <w:b/>
          <w:bCs/>
          <w:sz w:val="24"/>
        </w:rPr>
        <w:t>二</w:t>
      </w:r>
      <w:r>
        <w:rPr>
          <w:rStyle w:val="210"/>
          <w:rFonts w:hint="eastAsia" w:eastAsia="仿宋"/>
          <w:b/>
          <w:bCs/>
          <w:sz w:val="24"/>
        </w:rPr>
        <w:t>）</w:t>
      </w:r>
      <w:r>
        <w:rPr>
          <w:rStyle w:val="210"/>
          <w:rFonts w:eastAsia="仿宋"/>
          <w:b/>
          <w:bCs/>
          <w:sz w:val="24"/>
        </w:rPr>
        <w:t>项目信息系统要求</w:t>
      </w:r>
    </w:p>
    <w:p w14:paraId="330B5294">
      <w:pPr>
        <w:spacing w:line="360" w:lineRule="auto"/>
        <w:ind w:firstLine="420"/>
        <w:rPr>
          <w:rStyle w:val="210"/>
          <w:rFonts w:eastAsia="仿宋"/>
          <w:sz w:val="24"/>
        </w:rPr>
      </w:pPr>
      <w:r>
        <w:rPr>
          <w:rStyle w:val="210"/>
          <w:rFonts w:eastAsia="仿宋"/>
          <w:sz w:val="24"/>
        </w:rPr>
        <w:t>信息系统分为核心系统和外挂系统</w:t>
      </w:r>
      <w:r>
        <w:rPr>
          <w:rStyle w:val="210"/>
          <w:rFonts w:hint="eastAsia" w:eastAsia="仿宋"/>
          <w:sz w:val="24"/>
        </w:rPr>
        <w:t>（</w:t>
      </w:r>
      <w:r>
        <w:rPr>
          <w:rStyle w:val="210"/>
          <w:rFonts w:eastAsia="仿宋"/>
          <w:sz w:val="24"/>
        </w:rPr>
        <w:t>核心系统是指医保部门业务系统，主要功能为参保登记、基金筹集、待遇结算、数据管理和共享</w:t>
      </w:r>
      <w:r>
        <w:rPr>
          <w:rStyle w:val="210"/>
          <w:rFonts w:hint="eastAsia" w:eastAsia="仿宋"/>
          <w:sz w:val="24"/>
        </w:rPr>
        <w:t>）</w:t>
      </w:r>
      <w:r>
        <w:rPr>
          <w:rStyle w:val="210"/>
          <w:rFonts w:eastAsia="仿宋"/>
          <w:sz w:val="24"/>
        </w:rPr>
        <w:t>。</w:t>
      </w:r>
    </w:p>
    <w:p w14:paraId="4A2603C3">
      <w:pPr>
        <w:spacing w:line="360" w:lineRule="auto"/>
        <w:ind w:firstLine="420"/>
        <w:rPr>
          <w:rStyle w:val="210"/>
          <w:rFonts w:eastAsia="仿宋"/>
          <w:sz w:val="24"/>
        </w:rPr>
      </w:pPr>
      <w:r>
        <w:rPr>
          <w:rStyle w:val="210"/>
          <w:rFonts w:hint="eastAsia" w:eastAsia="仿宋"/>
          <w:sz w:val="24"/>
        </w:rPr>
        <w:t>（</w:t>
      </w:r>
      <w:r>
        <w:rPr>
          <w:rStyle w:val="210"/>
          <w:rFonts w:eastAsia="仿宋"/>
          <w:sz w:val="24"/>
        </w:rPr>
        <w:t>1</w:t>
      </w:r>
      <w:r>
        <w:rPr>
          <w:rStyle w:val="210"/>
          <w:rFonts w:hint="eastAsia" w:eastAsia="仿宋"/>
          <w:sz w:val="24"/>
        </w:rPr>
        <w:t>）</w:t>
      </w:r>
      <w:r>
        <w:rPr>
          <w:rStyle w:val="210"/>
          <w:rFonts w:eastAsia="仿宋"/>
          <w:sz w:val="24"/>
        </w:rPr>
        <w:t>外挂系统通过接口与核心系统连接，所需硬件和网络维护由乙方承担且业务数据归集到核心系统中。本合同期内因长护险工作需要开发新的业务需求和日常运维等外挂系统支出均由中标人按份额分摊；</w:t>
      </w:r>
    </w:p>
    <w:p w14:paraId="045C125F">
      <w:pPr>
        <w:spacing w:line="360" w:lineRule="auto"/>
        <w:ind w:firstLine="420"/>
        <w:rPr>
          <w:rStyle w:val="210"/>
          <w:rFonts w:eastAsia="仿宋"/>
          <w:sz w:val="24"/>
        </w:rPr>
      </w:pPr>
      <w:r>
        <w:rPr>
          <w:rStyle w:val="210"/>
          <w:rFonts w:hint="eastAsia" w:eastAsia="仿宋"/>
          <w:sz w:val="24"/>
        </w:rPr>
        <w:t>（</w:t>
      </w:r>
      <w:r>
        <w:rPr>
          <w:rStyle w:val="210"/>
          <w:rFonts w:eastAsia="仿宋"/>
          <w:sz w:val="24"/>
        </w:rPr>
        <w:t>2</w:t>
      </w:r>
      <w:r>
        <w:rPr>
          <w:rStyle w:val="210"/>
          <w:rFonts w:hint="eastAsia" w:eastAsia="仿宋"/>
          <w:sz w:val="24"/>
        </w:rPr>
        <w:t>）</w:t>
      </w:r>
      <w:r>
        <w:rPr>
          <w:rStyle w:val="210"/>
          <w:rFonts w:eastAsia="仿宋"/>
          <w:sz w:val="24"/>
        </w:rPr>
        <w:t>中标人统一沿用现有长护险外挂系统。</w:t>
      </w:r>
    </w:p>
    <w:p w14:paraId="545FD037">
      <w:pPr>
        <w:spacing w:line="360" w:lineRule="auto"/>
        <w:ind w:firstLine="420"/>
        <w:rPr>
          <w:rStyle w:val="210"/>
          <w:rFonts w:eastAsia="仿宋"/>
          <w:sz w:val="24"/>
        </w:rPr>
      </w:pPr>
      <w:r>
        <w:rPr>
          <w:rStyle w:val="210"/>
          <w:rFonts w:hint="eastAsia" w:eastAsia="仿宋"/>
          <w:sz w:val="24"/>
        </w:rPr>
        <w:t>（</w:t>
      </w:r>
      <w:r>
        <w:rPr>
          <w:rStyle w:val="210"/>
          <w:rFonts w:eastAsia="仿宋"/>
          <w:sz w:val="24"/>
        </w:rPr>
        <w:t>3</w:t>
      </w:r>
      <w:r>
        <w:rPr>
          <w:rStyle w:val="210"/>
          <w:rFonts w:hint="eastAsia" w:eastAsia="仿宋"/>
          <w:sz w:val="24"/>
        </w:rPr>
        <w:t>）</w:t>
      </w:r>
      <w:r>
        <w:rPr>
          <w:rStyle w:val="210"/>
          <w:rFonts w:eastAsia="仿宋"/>
          <w:sz w:val="24"/>
        </w:rPr>
        <w:t>系统功能包括但不限于</w:t>
      </w:r>
      <w:r>
        <w:rPr>
          <w:rStyle w:val="210"/>
          <w:rFonts w:hint="eastAsia" w:eastAsia="仿宋"/>
          <w:sz w:val="24"/>
        </w:rPr>
        <w:t>：</w:t>
      </w:r>
      <w:r>
        <w:rPr>
          <w:rStyle w:val="210"/>
          <w:rFonts w:eastAsia="仿宋"/>
          <w:sz w:val="24"/>
        </w:rPr>
        <w:t>①能够与徐州医保经办管理系统（国家医保信息平台）通过接口对接、预留护理机构信息系统的接口；②实现长期护理保险待遇申请、审核、结算、支付等业务功能；③支持实时联网结算；④具有支持PC端、移动网络和智能终端为基础的机构护理和居家护理系统；⑤具有支持基于移动网络和智能终端的评估系统；⑥实现门户APP</w:t>
      </w:r>
      <w:r>
        <w:rPr>
          <w:rStyle w:val="210"/>
          <w:rFonts w:hint="eastAsia" w:eastAsia="仿宋"/>
          <w:sz w:val="24"/>
        </w:rPr>
        <w:t>；</w:t>
      </w:r>
      <w:r>
        <w:rPr>
          <w:rStyle w:val="210"/>
          <w:rFonts w:eastAsia="仿宋"/>
          <w:sz w:val="24"/>
        </w:rPr>
        <w:t>⑦服务质量监控及风险预警；⑧满足基本的长期护理保险业务数据分析、统计、查询需要。</w:t>
      </w:r>
    </w:p>
    <w:p w14:paraId="683BE13B">
      <w:pPr>
        <w:spacing w:line="360" w:lineRule="auto"/>
        <w:ind w:firstLine="420"/>
        <w:rPr>
          <w:rStyle w:val="210"/>
          <w:rFonts w:hint="eastAsia" w:eastAsia="仿宋"/>
          <w:sz w:val="24"/>
        </w:rPr>
      </w:pPr>
      <w:r>
        <w:rPr>
          <w:rStyle w:val="210"/>
          <w:rFonts w:hint="eastAsia" w:eastAsia="仿宋"/>
          <w:sz w:val="24"/>
        </w:rPr>
        <w:t>（4）配备长护险信息系统专业团队，确保长期护理保险信息系统安全平稳运行，对出现问题能够及时有效处理。</w:t>
      </w:r>
    </w:p>
    <w:p w14:paraId="0B951D6F">
      <w:pPr>
        <w:spacing w:line="360" w:lineRule="auto"/>
        <w:ind w:firstLine="420"/>
        <w:rPr>
          <w:rStyle w:val="210"/>
          <w:rFonts w:hint="eastAsia" w:eastAsia="仿宋"/>
          <w:sz w:val="24"/>
        </w:rPr>
      </w:pPr>
      <w:r>
        <w:rPr>
          <w:rStyle w:val="210"/>
          <w:rFonts w:hint="eastAsia" w:eastAsia="仿宋"/>
          <w:sz w:val="24"/>
        </w:rPr>
        <w:t>（5）建立异常数据筛查机制、权限管理机制和安全监督机制，能够确保相关数据安全准确。</w:t>
      </w:r>
    </w:p>
    <w:p w14:paraId="5DFDEC87">
      <w:pPr>
        <w:spacing w:line="360" w:lineRule="auto"/>
        <w:ind w:firstLine="420"/>
        <w:rPr>
          <w:rStyle w:val="210"/>
          <w:rFonts w:eastAsia="仿宋"/>
          <w:b/>
          <w:bCs/>
          <w:sz w:val="24"/>
        </w:rPr>
      </w:pPr>
      <w:r>
        <w:rPr>
          <w:rStyle w:val="210"/>
          <w:rFonts w:hint="eastAsia" w:eastAsia="仿宋"/>
          <w:b/>
          <w:bCs/>
          <w:sz w:val="24"/>
        </w:rPr>
        <w:t>（</w:t>
      </w:r>
      <w:r>
        <w:rPr>
          <w:rStyle w:val="210"/>
          <w:rFonts w:eastAsia="仿宋"/>
          <w:b/>
          <w:bCs/>
          <w:sz w:val="24"/>
        </w:rPr>
        <w:t>三</w:t>
      </w:r>
      <w:r>
        <w:rPr>
          <w:rStyle w:val="210"/>
          <w:rFonts w:hint="eastAsia" w:eastAsia="仿宋"/>
          <w:b/>
          <w:bCs/>
          <w:sz w:val="24"/>
        </w:rPr>
        <w:t>）</w:t>
      </w:r>
      <w:r>
        <w:rPr>
          <w:rStyle w:val="210"/>
          <w:rFonts w:eastAsia="仿宋"/>
          <w:b/>
          <w:bCs/>
          <w:sz w:val="24"/>
        </w:rPr>
        <w:t xml:space="preserve"> 人员及办公设备配置要求</w:t>
      </w:r>
    </w:p>
    <w:p w14:paraId="500CABBD">
      <w:pPr>
        <w:spacing w:line="360" w:lineRule="auto"/>
        <w:ind w:firstLine="420"/>
        <w:rPr>
          <w:rStyle w:val="210"/>
          <w:rFonts w:eastAsia="仿宋"/>
          <w:b/>
          <w:bCs/>
          <w:sz w:val="24"/>
        </w:rPr>
      </w:pPr>
      <w:r>
        <w:rPr>
          <w:rStyle w:val="210"/>
          <w:rFonts w:eastAsia="仿宋"/>
          <w:b/>
          <w:bCs/>
          <w:sz w:val="24"/>
        </w:rPr>
        <w:t>1 、人员管理要求</w:t>
      </w:r>
    </w:p>
    <w:p w14:paraId="7F7AF2D1">
      <w:pPr>
        <w:spacing w:line="360" w:lineRule="auto"/>
        <w:ind w:firstLine="420"/>
        <w:rPr>
          <w:rStyle w:val="210"/>
          <w:rFonts w:hint="eastAsia" w:eastAsia="仿宋"/>
          <w:sz w:val="24"/>
        </w:rPr>
      </w:pPr>
      <w:r>
        <w:rPr>
          <w:rStyle w:val="210"/>
          <w:rFonts w:hint="eastAsia" w:eastAsia="仿宋"/>
          <w:sz w:val="24"/>
        </w:rPr>
        <w:t>（1） 按片区配备相关人员，每片区按照不低于每3万参保人配备1名全职工作人员，所需人力资源成本由各中标人长期护理保险经办服务费分担。</w:t>
      </w:r>
    </w:p>
    <w:p w14:paraId="64756DDA">
      <w:pPr>
        <w:spacing w:line="360" w:lineRule="auto"/>
        <w:ind w:firstLine="420"/>
        <w:rPr>
          <w:rStyle w:val="210"/>
          <w:rFonts w:hint="eastAsia" w:eastAsia="仿宋"/>
          <w:sz w:val="24"/>
        </w:rPr>
      </w:pPr>
      <w:r>
        <w:rPr>
          <w:rStyle w:val="210"/>
          <w:rFonts w:hint="eastAsia" w:eastAsia="仿宋"/>
          <w:sz w:val="24"/>
        </w:rPr>
        <w:t>（2） 每片区配备的全职工作人员需具备大专以上学历，其中本科学历比例不低于60%，配备的人员中具有临床医学、康复、护理专业背景人员比例不低于三分之一，各承办区域临床医学专业人员不少于2名；具有计算机、财会、法律、中文专业背景人员比例不低于三分之一。</w:t>
      </w:r>
    </w:p>
    <w:p w14:paraId="3E5DF9D7">
      <w:pPr>
        <w:spacing w:line="360" w:lineRule="auto"/>
        <w:ind w:firstLine="420"/>
        <w:rPr>
          <w:rStyle w:val="210"/>
          <w:rFonts w:eastAsia="仿宋"/>
          <w:sz w:val="24"/>
        </w:rPr>
      </w:pPr>
      <w:r>
        <w:rPr>
          <w:rStyle w:val="210"/>
          <w:rFonts w:hint="eastAsia" w:eastAsia="仿宋"/>
          <w:sz w:val="24"/>
        </w:rPr>
        <w:t>（</w:t>
      </w:r>
      <w:r>
        <w:rPr>
          <w:rStyle w:val="210"/>
          <w:rFonts w:eastAsia="仿宋"/>
          <w:sz w:val="24"/>
        </w:rPr>
        <w:t>3</w:t>
      </w:r>
      <w:r>
        <w:rPr>
          <w:rStyle w:val="210"/>
          <w:rFonts w:hint="eastAsia" w:eastAsia="仿宋"/>
          <w:sz w:val="24"/>
        </w:rPr>
        <w:t>）</w:t>
      </w:r>
      <w:r>
        <w:rPr>
          <w:rStyle w:val="210"/>
          <w:rFonts w:eastAsia="仿宋"/>
          <w:sz w:val="24"/>
        </w:rPr>
        <w:t>成立管理团队并制定各项工作流程和管理制度。管理团队人员不计入全日制工作人员数量。</w:t>
      </w:r>
    </w:p>
    <w:p w14:paraId="05447306">
      <w:pPr>
        <w:spacing w:line="360" w:lineRule="auto"/>
        <w:ind w:firstLine="420"/>
        <w:rPr>
          <w:rStyle w:val="210"/>
          <w:rFonts w:eastAsia="仿宋"/>
          <w:sz w:val="24"/>
        </w:rPr>
      </w:pPr>
      <w:r>
        <w:rPr>
          <w:rStyle w:val="210"/>
          <w:rFonts w:hint="eastAsia" w:eastAsia="仿宋"/>
          <w:sz w:val="24"/>
        </w:rPr>
        <w:t>（</w:t>
      </w:r>
      <w:r>
        <w:rPr>
          <w:rStyle w:val="210"/>
          <w:rFonts w:eastAsia="仿宋"/>
          <w:sz w:val="24"/>
        </w:rPr>
        <w:t>4</w:t>
      </w:r>
      <w:r>
        <w:rPr>
          <w:rStyle w:val="210"/>
          <w:rFonts w:hint="eastAsia" w:eastAsia="仿宋"/>
          <w:sz w:val="24"/>
        </w:rPr>
        <w:t>）</w:t>
      </w:r>
      <w:r>
        <w:rPr>
          <w:rStyle w:val="210"/>
          <w:rFonts w:eastAsia="仿宋"/>
          <w:sz w:val="24"/>
        </w:rPr>
        <w:t>具体人员配置由各中标人采用协商形式处理，如协商不成，由甲方确定。</w:t>
      </w:r>
    </w:p>
    <w:p w14:paraId="526D2C1C">
      <w:pPr>
        <w:spacing w:line="360" w:lineRule="auto"/>
        <w:ind w:firstLine="420"/>
        <w:rPr>
          <w:rStyle w:val="210"/>
          <w:rFonts w:eastAsia="仿宋"/>
          <w:sz w:val="24"/>
        </w:rPr>
      </w:pPr>
      <w:r>
        <w:rPr>
          <w:rStyle w:val="210"/>
          <w:rFonts w:hint="eastAsia" w:eastAsia="仿宋"/>
          <w:sz w:val="24"/>
        </w:rPr>
        <w:t>（</w:t>
      </w:r>
      <w:r>
        <w:rPr>
          <w:rStyle w:val="210"/>
          <w:rFonts w:eastAsia="仿宋"/>
          <w:sz w:val="24"/>
        </w:rPr>
        <w:t>5</w:t>
      </w:r>
      <w:r>
        <w:rPr>
          <w:rStyle w:val="210"/>
          <w:rFonts w:hint="eastAsia" w:eastAsia="仿宋"/>
          <w:sz w:val="24"/>
        </w:rPr>
        <w:t>）</w:t>
      </w:r>
      <w:r>
        <w:rPr>
          <w:rStyle w:val="210"/>
          <w:rFonts w:eastAsia="仿宋"/>
          <w:sz w:val="24"/>
        </w:rPr>
        <w:t>甲方有权要求乙方调整人员。</w:t>
      </w:r>
    </w:p>
    <w:p w14:paraId="7270F075">
      <w:pPr>
        <w:spacing w:line="360" w:lineRule="auto"/>
        <w:ind w:firstLine="420"/>
        <w:rPr>
          <w:rStyle w:val="210"/>
          <w:rFonts w:eastAsia="仿宋"/>
          <w:b/>
          <w:bCs/>
          <w:sz w:val="24"/>
        </w:rPr>
      </w:pPr>
      <w:r>
        <w:rPr>
          <w:rStyle w:val="210"/>
          <w:rFonts w:eastAsia="仿宋"/>
          <w:b/>
          <w:bCs/>
          <w:sz w:val="24"/>
        </w:rPr>
        <w:t>2 、办公场所及设备配置要求</w:t>
      </w:r>
    </w:p>
    <w:p w14:paraId="7CBD88D6">
      <w:pPr>
        <w:spacing w:line="360" w:lineRule="auto"/>
        <w:ind w:firstLine="420"/>
        <w:rPr>
          <w:rStyle w:val="210"/>
          <w:rFonts w:hint="eastAsia" w:eastAsia="仿宋"/>
          <w:sz w:val="24"/>
        </w:rPr>
      </w:pPr>
      <w:r>
        <w:rPr>
          <w:rStyle w:val="210"/>
          <w:rFonts w:hint="eastAsia" w:eastAsia="仿宋"/>
          <w:sz w:val="24"/>
        </w:rPr>
        <w:t>按片区成立服务中心，每一片区不少于5个经办网点。县（市）区范围内每一乡镇至少设置一处经办服务网点，购置（或租赁）设备、网络及车辆（方案一要求：每片区不少于2辆，其中1辆为七座商务车；方案二要求：每个参保地不少于4辆，其中至少1辆为七座商务车），相关费用由各中标人长期护理保险经办服务费分担。具体事项由各中标人采用协商形式处理，如协商不成，由甲方确定。</w:t>
      </w:r>
    </w:p>
    <w:p w14:paraId="7F36642C">
      <w:pPr>
        <w:spacing w:line="360" w:lineRule="auto"/>
        <w:ind w:firstLine="420"/>
        <w:rPr>
          <w:rStyle w:val="210"/>
          <w:rFonts w:eastAsia="仿宋"/>
          <w:sz w:val="24"/>
        </w:rPr>
      </w:pPr>
      <w:r>
        <w:rPr>
          <w:rStyle w:val="210"/>
          <w:rFonts w:eastAsia="仿宋"/>
          <w:sz w:val="24"/>
        </w:rPr>
        <w:t>本项目要求为不允许偏离的实质性要求和条件，如有偏离，在符合性审查时按照投标无效处理。</w:t>
      </w:r>
    </w:p>
    <w:p w14:paraId="225CA0D4">
      <w:pPr>
        <w:pStyle w:val="2"/>
        <w:rPr>
          <w:rStyle w:val="210"/>
          <w:rFonts w:ascii="Times New Roman" w:hAnsi="Times New Roman" w:eastAsia="仿宋"/>
          <w:b/>
          <w:bCs/>
          <w:sz w:val="24"/>
        </w:rPr>
      </w:pPr>
      <w:r>
        <w:rPr>
          <w:rStyle w:val="210"/>
          <w:rFonts w:ascii="Times New Roman" w:hAnsi="Times New Roman" w:eastAsia="仿宋"/>
          <w:b/>
          <w:bCs/>
          <w:sz w:val="24"/>
        </w:rPr>
        <w:t>八、其他要求</w:t>
      </w:r>
    </w:p>
    <w:p w14:paraId="7740C7CA">
      <w:pPr>
        <w:spacing w:line="360" w:lineRule="auto"/>
        <w:ind w:firstLine="420"/>
        <w:rPr>
          <w:rStyle w:val="210"/>
          <w:rFonts w:eastAsia="仿宋"/>
          <w:sz w:val="24"/>
        </w:rPr>
      </w:pPr>
      <w:r>
        <w:rPr>
          <w:rStyle w:val="210"/>
          <w:rFonts w:eastAsia="仿宋"/>
          <w:sz w:val="24"/>
        </w:rPr>
        <w:t>见招标文件第四章《评标标准》、招标文件第五章《拟签订的合同文本》及相关文件规定。</w:t>
      </w:r>
    </w:p>
    <w:p w14:paraId="2FB3F83F">
      <w:pPr>
        <w:spacing w:line="360" w:lineRule="auto"/>
        <w:rPr>
          <w:rStyle w:val="210"/>
          <w:rFonts w:eastAsia="仿宋"/>
          <w:sz w:val="24"/>
        </w:rPr>
      </w:pPr>
      <w:r>
        <w:rPr>
          <w:rStyle w:val="210"/>
          <w:rFonts w:eastAsia="仿宋"/>
          <w:sz w:val="24"/>
        </w:rPr>
        <w:t>相关文件规定：</w:t>
      </w:r>
    </w:p>
    <w:p w14:paraId="46F39326">
      <w:pPr>
        <w:spacing w:line="360" w:lineRule="auto"/>
        <w:rPr>
          <w:rStyle w:val="210"/>
          <w:rFonts w:eastAsia="仿宋"/>
          <w:sz w:val="24"/>
        </w:rPr>
      </w:pPr>
      <w:r>
        <w:rPr>
          <w:rStyle w:val="210"/>
          <w:rFonts w:eastAsia="仿宋"/>
          <w:sz w:val="24"/>
        </w:rPr>
        <w:t>《国家医保局办公室 民政部办公厅关于印发《长期护理失能等级评估标准（试行）》的通知》</w:t>
      </w:r>
      <w:r>
        <w:rPr>
          <w:rStyle w:val="210"/>
          <w:rFonts w:hint="eastAsia" w:eastAsia="仿宋"/>
          <w:sz w:val="24"/>
        </w:rPr>
        <w:t>（</w:t>
      </w:r>
      <w:r>
        <w:rPr>
          <w:rStyle w:val="210"/>
          <w:rFonts w:eastAsia="仿宋"/>
          <w:sz w:val="24"/>
        </w:rPr>
        <w:t>医保办发〔2021〕37号</w:t>
      </w:r>
      <w:r>
        <w:rPr>
          <w:rStyle w:val="210"/>
          <w:rFonts w:hint="eastAsia" w:eastAsia="仿宋"/>
          <w:sz w:val="24"/>
        </w:rPr>
        <w:t>）</w:t>
      </w:r>
      <w:r>
        <w:rPr>
          <w:rStyle w:val="210"/>
          <w:rFonts w:eastAsia="仿宋"/>
          <w:sz w:val="24"/>
        </w:rPr>
        <w:t>；</w:t>
      </w:r>
    </w:p>
    <w:p w14:paraId="074B1634">
      <w:pPr>
        <w:spacing w:line="360" w:lineRule="auto"/>
        <w:rPr>
          <w:rStyle w:val="210"/>
          <w:rFonts w:eastAsia="仿宋"/>
          <w:sz w:val="24"/>
        </w:rPr>
      </w:pPr>
      <w:r>
        <w:rPr>
          <w:rStyle w:val="210"/>
          <w:rFonts w:eastAsia="仿宋"/>
          <w:sz w:val="24"/>
        </w:rPr>
        <w:t>《市政府办公室关于印发徐州市长期护理保险实施方案的通知》</w:t>
      </w:r>
      <w:r>
        <w:rPr>
          <w:rStyle w:val="210"/>
          <w:rFonts w:hint="eastAsia" w:eastAsia="仿宋"/>
          <w:sz w:val="24"/>
        </w:rPr>
        <w:t>（</w:t>
      </w:r>
      <w:r>
        <w:rPr>
          <w:rStyle w:val="210"/>
          <w:rFonts w:eastAsia="仿宋"/>
          <w:sz w:val="24"/>
        </w:rPr>
        <w:t>徐政办发〔2021〕86号</w:t>
      </w:r>
      <w:r>
        <w:rPr>
          <w:rStyle w:val="210"/>
          <w:rFonts w:hint="eastAsia" w:eastAsia="仿宋"/>
          <w:sz w:val="24"/>
        </w:rPr>
        <w:t>）</w:t>
      </w:r>
      <w:r>
        <w:rPr>
          <w:rStyle w:val="210"/>
          <w:rFonts w:eastAsia="仿宋"/>
          <w:sz w:val="24"/>
        </w:rPr>
        <w:t>；</w:t>
      </w:r>
    </w:p>
    <w:p w14:paraId="5E42954B">
      <w:pPr>
        <w:spacing w:line="360" w:lineRule="auto"/>
        <w:rPr>
          <w:rStyle w:val="210"/>
          <w:rFonts w:eastAsia="仿宋"/>
          <w:sz w:val="24"/>
        </w:rPr>
      </w:pPr>
      <w:r>
        <w:rPr>
          <w:rStyle w:val="210"/>
          <w:rFonts w:eastAsia="仿宋"/>
          <w:sz w:val="24"/>
        </w:rPr>
        <w:t>《关于印发《徐州市长期护理保险实施细则》的通知》</w:t>
      </w:r>
      <w:r>
        <w:rPr>
          <w:rStyle w:val="210"/>
          <w:rFonts w:hint="eastAsia" w:eastAsia="仿宋"/>
          <w:sz w:val="24"/>
        </w:rPr>
        <w:t>（</w:t>
      </w:r>
      <w:r>
        <w:rPr>
          <w:rStyle w:val="210"/>
          <w:rFonts w:eastAsia="仿宋"/>
          <w:sz w:val="24"/>
        </w:rPr>
        <w:t>徐医保待〔2021〕92号</w:t>
      </w:r>
      <w:r>
        <w:rPr>
          <w:rStyle w:val="210"/>
          <w:rFonts w:hint="eastAsia" w:eastAsia="仿宋"/>
          <w:sz w:val="24"/>
        </w:rPr>
        <w:t>）</w:t>
      </w:r>
      <w:r>
        <w:rPr>
          <w:rStyle w:val="210"/>
          <w:rFonts w:eastAsia="仿宋"/>
          <w:sz w:val="24"/>
        </w:rPr>
        <w:t>；</w:t>
      </w:r>
    </w:p>
    <w:p w14:paraId="44AD0850">
      <w:pPr>
        <w:spacing w:line="360" w:lineRule="auto"/>
        <w:rPr>
          <w:rStyle w:val="210"/>
          <w:rFonts w:eastAsia="仿宋"/>
          <w:sz w:val="24"/>
        </w:rPr>
      </w:pPr>
      <w:r>
        <w:rPr>
          <w:rStyle w:val="210"/>
          <w:rFonts w:eastAsia="仿宋"/>
          <w:sz w:val="24"/>
        </w:rPr>
        <w:t>《关于印发《徐州市长期护理保险失能评估管理办法（试行）》的通知》</w:t>
      </w:r>
      <w:r>
        <w:rPr>
          <w:rStyle w:val="210"/>
          <w:rFonts w:hint="eastAsia" w:eastAsia="仿宋"/>
          <w:sz w:val="24"/>
        </w:rPr>
        <w:t>（</w:t>
      </w:r>
      <w:r>
        <w:rPr>
          <w:rStyle w:val="210"/>
          <w:rFonts w:eastAsia="仿宋"/>
          <w:sz w:val="24"/>
        </w:rPr>
        <w:t>徐医保发〔2021〕93号</w:t>
      </w:r>
      <w:r>
        <w:rPr>
          <w:rStyle w:val="210"/>
          <w:rFonts w:hint="eastAsia" w:eastAsia="仿宋"/>
          <w:sz w:val="24"/>
        </w:rPr>
        <w:t>）</w:t>
      </w:r>
      <w:r>
        <w:rPr>
          <w:rStyle w:val="210"/>
          <w:rFonts w:eastAsia="仿宋"/>
          <w:sz w:val="24"/>
        </w:rPr>
        <w:t>；</w:t>
      </w:r>
    </w:p>
    <w:p w14:paraId="1E5232AB">
      <w:pPr>
        <w:spacing w:line="360" w:lineRule="auto"/>
        <w:rPr>
          <w:rStyle w:val="210"/>
          <w:rFonts w:eastAsia="仿宋"/>
          <w:sz w:val="24"/>
        </w:rPr>
      </w:pPr>
      <w:r>
        <w:rPr>
          <w:rStyle w:val="210"/>
          <w:rFonts w:eastAsia="仿宋"/>
          <w:sz w:val="24"/>
        </w:rPr>
        <w:t>《关于做好徐州市长期护理保险照护服务机构协议管理工作的通知》</w:t>
      </w:r>
      <w:r>
        <w:rPr>
          <w:rStyle w:val="210"/>
          <w:rFonts w:hint="eastAsia" w:eastAsia="仿宋"/>
          <w:sz w:val="24"/>
        </w:rPr>
        <w:t>（</w:t>
      </w:r>
      <w:r>
        <w:rPr>
          <w:rStyle w:val="210"/>
          <w:rFonts w:eastAsia="仿宋"/>
          <w:sz w:val="24"/>
        </w:rPr>
        <w:t>徐医保待〔2021〕94号</w:t>
      </w:r>
      <w:r>
        <w:rPr>
          <w:rStyle w:val="210"/>
          <w:rFonts w:hint="eastAsia" w:eastAsia="仿宋"/>
          <w:sz w:val="24"/>
        </w:rPr>
        <w:t>）</w:t>
      </w:r>
      <w:r>
        <w:rPr>
          <w:rStyle w:val="210"/>
          <w:rFonts w:eastAsia="仿宋"/>
          <w:sz w:val="24"/>
        </w:rPr>
        <w:t>；</w:t>
      </w:r>
    </w:p>
    <w:p w14:paraId="4C2E6897">
      <w:pPr>
        <w:spacing w:line="360" w:lineRule="auto"/>
        <w:rPr>
          <w:rStyle w:val="210"/>
          <w:rFonts w:eastAsia="仿宋"/>
          <w:sz w:val="24"/>
        </w:rPr>
      </w:pPr>
      <w:r>
        <w:rPr>
          <w:rStyle w:val="210"/>
          <w:rFonts w:eastAsia="仿宋"/>
          <w:sz w:val="24"/>
        </w:rPr>
        <w:t>《关于印发徐州市长期护理保险入住护理（养老）院照护服务项目和执行标准的通知》</w:t>
      </w:r>
      <w:r>
        <w:rPr>
          <w:rStyle w:val="210"/>
          <w:rFonts w:hint="eastAsia" w:eastAsia="仿宋"/>
          <w:sz w:val="24"/>
        </w:rPr>
        <w:t>（</w:t>
      </w:r>
      <w:r>
        <w:rPr>
          <w:rStyle w:val="210"/>
          <w:rFonts w:eastAsia="仿宋"/>
          <w:sz w:val="24"/>
        </w:rPr>
        <w:t>徐医保待〔2021〕95号</w:t>
      </w:r>
      <w:r>
        <w:rPr>
          <w:rStyle w:val="210"/>
          <w:rFonts w:hint="eastAsia" w:eastAsia="仿宋"/>
          <w:sz w:val="24"/>
        </w:rPr>
        <w:t>）</w:t>
      </w:r>
      <w:r>
        <w:rPr>
          <w:rStyle w:val="210"/>
          <w:rFonts w:eastAsia="仿宋"/>
          <w:sz w:val="24"/>
        </w:rPr>
        <w:t>；</w:t>
      </w:r>
    </w:p>
    <w:p w14:paraId="7730139A">
      <w:pPr>
        <w:spacing w:line="360" w:lineRule="auto"/>
        <w:rPr>
          <w:rStyle w:val="210"/>
          <w:rFonts w:eastAsia="仿宋"/>
          <w:sz w:val="24"/>
        </w:rPr>
      </w:pPr>
      <w:r>
        <w:rPr>
          <w:rStyle w:val="210"/>
          <w:rFonts w:eastAsia="仿宋"/>
          <w:sz w:val="24"/>
        </w:rPr>
        <w:t>《徐州市长期护理保险居家上门照护服务的意见》</w:t>
      </w:r>
      <w:r>
        <w:rPr>
          <w:rStyle w:val="210"/>
          <w:rFonts w:hint="eastAsia" w:eastAsia="仿宋"/>
          <w:sz w:val="24"/>
        </w:rPr>
        <w:t>（</w:t>
      </w:r>
      <w:r>
        <w:rPr>
          <w:rStyle w:val="210"/>
          <w:rFonts w:eastAsia="仿宋"/>
          <w:sz w:val="24"/>
        </w:rPr>
        <w:t>徐医保待〔2021〕96号</w:t>
      </w:r>
      <w:r>
        <w:rPr>
          <w:rStyle w:val="210"/>
          <w:rFonts w:hint="eastAsia" w:eastAsia="仿宋"/>
          <w:sz w:val="24"/>
        </w:rPr>
        <w:t>）</w:t>
      </w:r>
      <w:r>
        <w:rPr>
          <w:rStyle w:val="210"/>
          <w:rFonts w:eastAsia="仿宋"/>
          <w:sz w:val="24"/>
        </w:rPr>
        <w:t>；</w:t>
      </w:r>
    </w:p>
    <w:p w14:paraId="39C0DA11">
      <w:pPr>
        <w:spacing w:line="360" w:lineRule="auto"/>
        <w:rPr>
          <w:rStyle w:val="210"/>
          <w:rFonts w:eastAsia="仿宋"/>
          <w:sz w:val="24"/>
        </w:rPr>
      </w:pPr>
      <w:r>
        <w:rPr>
          <w:rStyle w:val="210"/>
          <w:rFonts w:eastAsia="仿宋"/>
          <w:sz w:val="24"/>
        </w:rPr>
        <w:t>《关于开展徐州市长期护理保险辅助器具服务工作的通知》</w:t>
      </w:r>
      <w:r>
        <w:rPr>
          <w:rStyle w:val="210"/>
          <w:rFonts w:hint="eastAsia" w:eastAsia="仿宋"/>
          <w:sz w:val="24"/>
        </w:rPr>
        <w:t>（</w:t>
      </w:r>
      <w:r>
        <w:rPr>
          <w:rStyle w:val="210"/>
          <w:rFonts w:eastAsia="仿宋"/>
          <w:sz w:val="24"/>
        </w:rPr>
        <w:t>徐医保发〔2023〕21号</w:t>
      </w:r>
      <w:r>
        <w:rPr>
          <w:rStyle w:val="210"/>
          <w:rFonts w:hint="eastAsia" w:eastAsia="仿宋"/>
          <w:sz w:val="24"/>
        </w:rPr>
        <w:t>）</w:t>
      </w:r>
      <w:r>
        <w:rPr>
          <w:rStyle w:val="210"/>
          <w:rFonts w:eastAsia="仿宋"/>
          <w:sz w:val="24"/>
        </w:rPr>
        <w:t>。</w:t>
      </w:r>
    </w:p>
    <w:sectPr>
      <w:headerReference r:id="rId3" w:type="default"/>
      <w:footerReference r:id="rId4" w:type="default"/>
      <w:pgSz w:w="11906" w:h="16838"/>
      <w:pgMar w:top="1440" w:right="1803" w:bottom="1440" w:left="1803"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093E">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60738F">
                          <w:pPr>
                            <w:pStyle w:val="2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0D60738F">
                    <w:pPr>
                      <w:pStyle w:val="27"/>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869F">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chineseCountingThousand"/>
      <w:suff w:val="space"/>
      <w:lvlText w:val="%1. "/>
      <w:lvlJc w:val="left"/>
      <w:pPr>
        <w:ind w:left="1049" w:hanging="907"/>
      </w:pPr>
    </w:lvl>
    <w:lvl w:ilvl="1" w:tentative="0">
      <w:start w:val="1"/>
      <w:numFmt w:val="decimal"/>
      <w:isLgl/>
      <w:suff w:val="space"/>
      <w:lvlText w:val="%1.%2 "/>
      <w:lvlJc w:val="left"/>
      <w:pPr>
        <w:ind w:left="936" w:hanging="794"/>
      </w:pPr>
    </w:lvl>
    <w:lvl w:ilvl="2" w:tentative="0">
      <w:start w:val="0"/>
      <w:numFmt w:val="none"/>
      <w:lvlText w:val=""/>
      <w:lvlJc w:val="left"/>
      <w:pPr>
        <w:tabs>
          <w:tab w:val="left" w:pos="502"/>
        </w:tabs>
        <w:ind w:left="142" w:firstLine="0"/>
      </w:pPr>
      <w:rPr>
        <w:rFonts w:cs="Times New Roman"/>
      </w:rPr>
    </w:lvl>
    <w:lvl w:ilvl="3" w:tentative="0">
      <w:start w:val="0"/>
      <w:numFmt w:val="none"/>
      <w:lvlText w:val=""/>
      <w:lvlJc w:val="left"/>
      <w:pPr>
        <w:tabs>
          <w:tab w:val="left" w:pos="502"/>
        </w:tabs>
        <w:ind w:left="142" w:firstLine="0"/>
      </w:pPr>
      <w:rPr>
        <w:rFonts w:cs="Times New Roman"/>
      </w:rPr>
    </w:lvl>
    <w:lvl w:ilvl="4" w:tentative="0">
      <w:start w:val="0"/>
      <w:numFmt w:val="decimal"/>
      <w:pStyle w:val="230"/>
      <w:lvlText w:val=""/>
      <w:lvlJc w:val="left"/>
      <w:pPr>
        <w:ind w:left="142" w:firstLine="0"/>
      </w:pPr>
      <w:rPr>
        <w:rFonts w:cs="Times New Roman"/>
      </w:rPr>
    </w:lvl>
    <w:lvl w:ilvl="5" w:tentative="0">
      <w:start w:val="0"/>
      <w:numFmt w:val="decimal"/>
      <w:lvlText w:val=""/>
      <w:lvlJc w:val="left"/>
      <w:pPr>
        <w:ind w:left="142" w:firstLine="0"/>
      </w:pPr>
      <w:rPr>
        <w:rFonts w:cs="Times New Roman"/>
      </w:rPr>
    </w:lvl>
    <w:lvl w:ilvl="6" w:tentative="0">
      <w:start w:val="0"/>
      <w:numFmt w:val="decimal"/>
      <w:lvlText w:val=""/>
      <w:lvlJc w:val="left"/>
      <w:pPr>
        <w:ind w:left="142" w:firstLine="0"/>
      </w:pPr>
      <w:rPr>
        <w:rFonts w:cs="Times New Roman"/>
      </w:rPr>
    </w:lvl>
    <w:lvl w:ilvl="7" w:tentative="0">
      <w:start w:val="0"/>
      <w:numFmt w:val="decimal"/>
      <w:lvlText w:val=""/>
      <w:lvlJc w:val="left"/>
      <w:pPr>
        <w:ind w:left="142" w:firstLine="0"/>
      </w:pPr>
      <w:rPr>
        <w:rFonts w:cs="Times New Roman"/>
      </w:rPr>
    </w:lvl>
    <w:lvl w:ilvl="8" w:tentative="0">
      <w:start w:val="0"/>
      <w:numFmt w:val="decimal"/>
      <w:lvlText w:val=""/>
      <w:lvlJc w:val="left"/>
      <w:pPr>
        <w:ind w:left="142" w:firstLine="0"/>
      </w:pPr>
      <w:rPr>
        <w:rFonts w:cs="Times New Roman"/>
      </w:rPr>
    </w:lvl>
  </w:abstractNum>
  <w:abstractNum w:abstractNumId="1">
    <w:nsid w:val="14791E2B"/>
    <w:multiLevelType w:val="multilevel"/>
    <w:tmpl w:val="14791E2B"/>
    <w:lvl w:ilvl="0" w:tentative="0">
      <w:start w:val="7"/>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ZjkxYjMyNTA0ZmI5NDI0ZDZlMTQyYzJiZjJjMDAifQ=="/>
  </w:docVars>
  <w:rsids>
    <w:rsidRoot w:val="00D9165A"/>
    <w:rsid w:val="00025DF9"/>
    <w:rsid w:val="0003682D"/>
    <w:rsid w:val="0008711B"/>
    <w:rsid w:val="00097541"/>
    <w:rsid w:val="000A2A07"/>
    <w:rsid w:val="000F08DA"/>
    <w:rsid w:val="001005EB"/>
    <w:rsid w:val="001114E3"/>
    <w:rsid w:val="00112313"/>
    <w:rsid w:val="002015FB"/>
    <w:rsid w:val="00274726"/>
    <w:rsid w:val="002D645E"/>
    <w:rsid w:val="002D767F"/>
    <w:rsid w:val="00341CEC"/>
    <w:rsid w:val="00360C79"/>
    <w:rsid w:val="00376104"/>
    <w:rsid w:val="00390852"/>
    <w:rsid w:val="00393598"/>
    <w:rsid w:val="003A0914"/>
    <w:rsid w:val="003A633C"/>
    <w:rsid w:val="00430BF4"/>
    <w:rsid w:val="0046238F"/>
    <w:rsid w:val="00481E7D"/>
    <w:rsid w:val="00490C66"/>
    <w:rsid w:val="004B6757"/>
    <w:rsid w:val="00592158"/>
    <w:rsid w:val="00596745"/>
    <w:rsid w:val="005B5C05"/>
    <w:rsid w:val="006619C4"/>
    <w:rsid w:val="007033BC"/>
    <w:rsid w:val="007318C5"/>
    <w:rsid w:val="00740D83"/>
    <w:rsid w:val="007612EF"/>
    <w:rsid w:val="00783A1E"/>
    <w:rsid w:val="007A76E1"/>
    <w:rsid w:val="007D6D2D"/>
    <w:rsid w:val="008025BC"/>
    <w:rsid w:val="00802F5C"/>
    <w:rsid w:val="008A506C"/>
    <w:rsid w:val="008B4694"/>
    <w:rsid w:val="008D504F"/>
    <w:rsid w:val="0090705D"/>
    <w:rsid w:val="00920FC6"/>
    <w:rsid w:val="00921AA3"/>
    <w:rsid w:val="00934BB0"/>
    <w:rsid w:val="0098696B"/>
    <w:rsid w:val="009C426C"/>
    <w:rsid w:val="009D6531"/>
    <w:rsid w:val="009E6420"/>
    <w:rsid w:val="009F1F8F"/>
    <w:rsid w:val="00A47604"/>
    <w:rsid w:val="00A562CA"/>
    <w:rsid w:val="00B15943"/>
    <w:rsid w:val="00B40617"/>
    <w:rsid w:val="00B42C4B"/>
    <w:rsid w:val="00BC1E96"/>
    <w:rsid w:val="00BD7D08"/>
    <w:rsid w:val="00C07497"/>
    <w:rsid w:val="00C17209"/>
    <w:rsid w:val="00CB4DE0"/>
    <w:rsid w:val="00D8301F"/>
    <w:rsid w:val="00D9165A"/>
    <w:rsid w:val="00DE4C1C"/>
    <w:rsid w:val="00DE60A2"/>
    <w:rsid w:val="00E2184F"/>
    <w:rsid w:val="00E3470C"/>
    <w:rsid w:val="00E56BD8"/>
    <w:rsid w:val="00E708DF"/>
    <w:rsid w:val="00E70E47"/>
    <w:rsid w:val="00E91B11"/>
    <w:rsid w:val="00ED5967"/>
    <w:rsid w:val="00EF1AB2"/>
    <w:rsid w:val="00F4412A"/>
    <w:rsid w:val="00F70628"/>
    <w:rsid w:val="00FA14AA"/>
    <w:rsid w:val="01176EA7"/>
    <w:rsid w:val="015B3238"/>
    <w:rsid w:val="01A87AFF"/>
    <w:rsid w:val="01FB0577"/>
    <w:rsid w:val="029A1B3E"/>
    <w:rsid w:val="03055EB9"/>
    <w:rsid w:val="03F92894"/>
    <w:rsid w:val="04814D63"/>
    <w:rsid w:val="052132CD"/>
    <w:rsid w:val="05B11678"/>
    <w:rsid w:val="05BB6053"/>
    <w:rsid w:val="061340E1"/>
    <w:rsid w:val="062956B3"/>
    <w:rsid w:val="065D710A"/>
    <w:rsid w:val="0768045D"/>
    <w:rsid w:val="07E713D3"/>
    <w:rsid w:val="084900A8"/>
    <w:rsid w:val="08B60D54"/>
    <w:rsid w:val="08DC13E5"/>
    <w:rsid w:val="0A2368BD"/>
    <w:rsid w:val="0A2D3298"/>
    <w:rsid w:val="0A6767AA"/>
    <w:rsid w:val="0AE23827"/>
    <w:rsid w:val="0CCF4A9D"/>
    <w:rsid w:val="0D407866"/>
    <w:rsid w:val="0D554FDF"/>
    <w:rsid w:val="0E223278"/>
    <w:rsid w:val="0E3015A8"/>
    <w:rsid w:val="0E6F3E7F"/>
    <w:rsid w:val="0E9953A0"/>
    <w:rsid w:val="0FA73347"/>
    <w:rsid w:val="0FDF3286"/>
    <w:rsid w:val="100E76C7"/>
    <w:rsid w:val="10156CA8"/>
    <w:rsid w:val="106B68C8"/>
    <w:rsid w:val="107B4D5D"/>
    <w:rsid w:val="124F64A1"/>
    <w:rsid w:val="13201BEB"/>
    <w:rsid w:val="13AA21BF"/>
    <w:rsid w:val="14396A7F"/>
    <w:rsid w:val="15842905"/>
    <w:rsid w:val="15B42ABF"/>
    <w:rsid w:val="15D52B7B"/>
    <w:rsid w:val="169C00D2"/>
    <w:rsid w:val="171C091C"/>
    <w:rsid w:val="17A776A1"/>
    <w:rsid w:val="189664AC"/>
    <w:rsid w:val="18C164EC"/>
    <w:rsid w:val="196F567B"/>
    <w:rsid w:val="198F7ACB"/>
    <w:rsid w:val="199649B5"/>
    <w:rsid w:val="1BA06DFF"/>
    <w:rsid w:val="1D152095"/>
    <w:rsid w:val="1DBB7F27"/>
    <w:rsid w:val="1DE57CB9"/>
    <w:rsid w:val="1E0D2131"/>
    <w:rsid w:val="1FAD15E1"/>
    <w:rsid w:val="211865F8"/>
    <w:rsid w:val="21C247A4"/>
    <w:rsid w:val="230E34CA"/>
    <w:rsid w:val="237A70F6"/>
    <w:rsid w:val="24960D91"/>
    <w:rsid w:val="25537BFE"/>
    <w:rsid w:val="25D85D70"/>
    <w:rsid w:val="26A36964"/>
    <w:rsid w:val="27033DD4"/>
    <w:rsid w:val="270A253F"/>
    <w:rsid w:val="28550131"/>
    <w:rsid w:val="28957FDB"/>
    <w:rsid w:val="29626662"/>
    <w:rsid w:val="299B516E"/>
    <w:rsid w:val="2A1F4553"/>
    <w:rsid w:val="2A275D31"/>
    <w:rsid w:val="2A500239"/>
    <w:rsid w:val="2A776FCC"/>
    <w:rsid w:val="2A890307"/>
    <w:rsid w:val="2AE6436F"/>
    <w:rsid w:val="2AEB08D9"/>
    <w:rsid w:val="2B163BA8"/>
    <w:rsid w:val="2B6021B0"/>
    <w:rsid w:val="2B8836C0"/>
    <w:rsid w:val="2BC25ADE"/>
    <w:rsid w:val="2C387B4E"/>
    <w:rsid w:val="2C3B46EC"/>
    <w:rsid w:val="2C4604BD"/>
    <w:rsid w:val="2C534988"/>
    <w:rsid w:val="2CBF3DCB"/>
    <w:rsid w:val="2D713318"/>
    <w:rsid w:val="2D8A262B"/>
    <w:rsid w:val="2DC53663"/>
    <w:rsid w:val="2E497DF1"/>
    <w:rsid w:val="2E5A1FFE"/>
    <w:rsid w:val="2E824A16"/>
    <w:rsid w:val="2EBA0CEE"/>
    <w:rsid w:val="2F2B1BEC"/>
    <w:rsid w:val="2F5922B5"/>
    <w:rsid w:val="2FB13E9F"/>
    <w:rsid w:val="2FEE50F3"/>
    <w:rsid w:val="2FF542FB"/>
    <w:rsid w:val="306C3FB4"/>
    <w:rsid w:val="310454E0"/>
    <w:rsid w:val="31766A0F"/>
    <w:rsid w:val="31772D94"/>
    <w:rsid w:val="31BD2FCF"/>
    <w:rsid w:val="31F4367C"/>
    <w:rsid w:val="31FE1B13"/>
    <w:rsid w:val="321D581C"/>
    <w:rsid w:val="32B55A55"/>
    <w:rsid w:val="33BC1065"/>
    <w:rsid w:val="346F257B"/>
    <w:rsid w:val="34F52A80"/>
    <w:rsid w:val="356C1877"/>
    <w:rsid w:val="357A43DC"/>
    <w:rsid w:val="35B22A6B"/>
    <w:rsid w:val="35B91D00"/>
    <w:rsid w:val="36121410"/>
    <w:rsid w:val="362556FC"/>
    <w:rsid w:val="366C0B20"/>
    <w:rsid w:val="372A4537"/>
    <w:rsid w:val="38C5276A"/>
    <w:rsid w:val="39234FE3"/>
    <w:rsid w:val="39400042"/>
    <w:rsid w:val="394E275F"/>
    <w:rsid w:val="395C0D5F"/>
    <w:rsid w:val="3A3A65D2"/>
    <w:rsid w:val="3AAC3BE1"/>
    <w:rsid w:val="3B9D5C20"/>
    <w:rsid w:val="3C003BF7"/>
    <w:rsid w:val="3C5A141B"/>
    <w:rsid w:val="3CC176EC"/>
    <w:rsid w:val="3D001FC2"/>
    <w:rsid w:val="3D1951DA"/>
    <w:rsid w:val="3DA037A5"/>
    <w:rsid w:val="3DDF7E2A"/>
    <w:rsid w:val="3DFD4754"/>
    <w:rsid w:val="3E820F11"/>
    <w:rsid w:val="3E8B6203"/>
    <w:rsid w:val="3EEF0540"/>
    <w:rsid w:val="3FC03C8B"/>
    <w:rsid w:val="40493C80"/>
    <w:rsid w:val="40544E48"/>
    <w:rsid w:val="40DF7EED"/>
    <w:rsid w:val="41EF4B3C"/>
    <w:rsid w:val="41FD2F74"/>
    <w:rsid w:val="429202A2"/>
    <w:rsid w:val="43014CE6"/>
    <w:rsid w:val="435C016E"/>
    <w:rsid w:val="43C024AB"/>
    <w:rsid w:val="44784B34"/>
    <w:rsid w:val="4829182C"/>
    <w:rsid w:val="48BF1182"/>
    <w:rsid w:val="4961028C"/>
    <w:rsid w:val="4C4F261E"/>
    <w:rsid w:val="4D907392"/>
    <w:rsid w:val="4D9549A9"/>
    <w:rsid w:val="4DF535D7"/>
    <w:rsid w:val="4E656129"/>
    <w:rsid w:val="4EA053B3"/>
    <w:rsid w:val="4FE47521"/>
    <w:rsid w:val="4FFA0AF3"/>
    <w:rsid w:val="51E7154B"/>
    <w:rsid w:val="521265C8"/>
    <w:rsid w:val="52366371"/>
    <w:rsid w:val="523A5B1F"/>
    <w:rsid w:val="52D4387D"/>
    <w:rsid w:val="5301655F"/>
    <w:rsid w:val="534704F3"/>
    <w:rsid w:val="53C5766A"/>
    <w:rsid w:val="547F435D"/>
    <w:rsid w:val="557E4CD1"/>
    <w:rsid w:val="55AA4D69"/>
    <w:rsid w:val="57633422"/>
    <w:rsid w:val="585A4825"/>
    <w:rsid w:val="58B8154B"/>
    <w:rsid w:val="59017396"/>
    <w:rsid w:val="592D3CE7"/>
    <w:rsid w:val="59333087"/>
    <w:rsid w:val="59A0270B"/>
    <w:rsid w:val="59A9717C"/>
    <w:rsid w:val="59AC7302"/>
    <w:rsid w:val="5ABA71CB"/>
    <w:rsid w:val="5BD4669C"/>
    <w:rsid w:val="5C1118EC"/>
    <w:rsid w:val="5C6D2FE1"/>
    <w:rsid w:val="5CFC40FC"/>
    <w:rsid w:val="5D1963D4"/>
    <w:rsid w:val="5D5A0E23"/>
    <w:rsid w:val="5F4B4EC7"/>
    <w:rsid w:val="5F5D2E4C"/>
    <w:rsid w:val="5FA840C8"/>
    <w:rsid w:val="602F2A3B"/>
    <w:rsid w:val="613D4CE3"/>
    <w:rsid w:val="617150E9"/>
    <w:rsid w:val="61785D1C"/>
    <w:rsid w:val="61FE26C5"/>
    <w:rsid w:val="620A72BB"/>
    <w:rsid w:val="62397BA1"/>
    <w:rsid w:val="62441C41"/>
    <w:rsid w:val="62832486"/>
    <w:rsid w:val="62CA07F9"/>
    <w:rsid w:val="62E21FE6"/>
    <w:rsid w:val="6457430E"/>
    <w:rsid w:val="64BF0549"/>
    <w:rsid w:val="65A4271B"/>
    <w:rsid w:val="662F5543"/>
    <w:rsid w:val="66D93700"/>
    <w:rsid w:val="66FE4F15"/>
    <w:rsid w:val="6740552D"/>
    <w:rsid w:val="68251AF2"/>
    <w:rsid w:val="682C160E"/>
    <w:rsid w:val="68C55CEA"/>
    <w:rsid w:val="692F7608"/>
    <w:rsid w:val="69C935B8"/>
    <w:rsid w:val="69E44896"/>
    <w:rsid w:val="69E77EE2"/>
    <w:rsid w:val="6A892D47"/>
    <w:rsid w:val="6C0B3421"/>
    <w:rsid w:val="6C832144"/>
    <w:rsid w:val="6CCD2164"/>
    <w:rsid w:val="6CFA1CDB"/>
    <w:rsid w:val="6D572428"/>
    <w:rsid w:val="6D7A3C64"/>
    <w:rsid w:val="6D8D79DF"/>
    <w:rsid w:val="6DE42570"/>
    <w:rsid w:val="6EBC36EB"/>
    <w:rsid w:val="6F7917DB"/>
    <w:rsid w:val="701F3944"/>
    <w:rsid w:val="704716DB"/>
    <w:rsid w:val="70744F5D"/>
    <w:rsid w:val="71121CE9"/>
    <w:rsid w:val="71FB452B"/>
    <w:rsid w:val="72FB4447"/>
    <w:rsid w:val="73360AD0"/>
    <w:rsid w:val="733F48EB"/>
    <w:rsid w:val="73627983"/>
    <w:rsid w:val="73FE6554"/>
    <w:rsid w:val="74534AF2"/>
    <w:rsid w:val="759462CC"/>
    <w:rsid w:val="75F75951"/>
    <w:rsid w:val="75FB71EF"/>
    <w:rsid w:val="76616A71"/>
    <w:rsid w:val="77420E4E"/>
    <w:rsid w:val="7860158C"/>
    <w:rsid w:val="797D4AFF"/>
    <w:rsid w:val="7A3C3932"/>
    <w:rsid w:val="7A7C4677"/>
    <w:rsid w:val="7A804167"/>
    <w:rsid w:val="7B160627"/>
    <w:rsid w:val="7B4E118E"/>
    <w:rsid w:val="7C6E1023"/>
    <w:rsid w:val="7CCB71F0"/>
    <w:rsid w:val="7CDB5685"/>
    <w:rsid w:val="7DA8672F"/>
    <w:rsid w:val="7E4D09A2"/>
    <w:rsid w:val="7F5659A9"/>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4">
    <w:name w:val="heading 1"/>
    <w:basedOn w:val="1"/>
    <w:next w:val="1"/>
    <w:link w:val="218"/>
    <w:qFormat/>
    <w:uiPriority w:val="0"/>
    <w:pPr>
      <w:keepNext/>
      <w:keepLines/>
      <w:spacing w:line="578" w:lineRule="auto"/>
      <w:jc w:val="center"/>
      <w:outlineLvl w:val="0"/>
    </w:pPr>
    <w:rPr>
      <w:rFonts w:eastAsia="新宋体"/>
      <w:b/>
      <w:bCs/>
      <w:sz w:val="30"/>
      <w:szCs w:val="44"/>
    </w:rPr>
  </w:style>
  <w:style w:type="paragraph" w:styleId="5">
    <w:name w:val="heading 2"/>
    <w:basedOn w:val="1"/>
    <w:next w:val="1"/>
    <w:link w:val="2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17"/>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1"/>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62"/>
    <w:unhideWhenUsed/>
    <w:qFormat/>
    <w:uiPriority w:val="9"/>
    <w:pPr>
      <w:keepNext/>
      <w:keepLines/>
      <w:spacing w:before="320" w:after="200"/>
      <w:outlineLvl w:val="4"/>
    </w:pPr>
    <w:rPr>
      <w:rFonts w:ascii="Arial" w:hAnsi="Arial" w:eastAsia="Arial" w:cs="Arial"/>
      <w:b/>
      <w:bCs/>
      <w:sz w:val="24"/>
    </w:rPr>
  </w:style>
  <w:style w:type="paragraph" w:styleId="9">
    <w:name w:val="heading 6"/>
    <w:basedOn w:val="1"/>
    <w:next w:val="1"/>
    <w:link w:val="63"/>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64"/>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65"/>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66"/>
    <w:unhideWhenUsed/>
    <w:qFormat/>
    <w:uiPriority w:val="9"/>
    <w:pPr>
      <w:keepNext/>
      <w:keepLines/>
      <w:spacing w:before="320" w:after="200"/>
      <w:outlineLvl w:val="8"/>
    </w:pPr>
    <w:rPr>
      <w:rFonts w:ascii="Arial" w:hAnsi="Arial" w:eastAsia="Arial" w:cs="Arial"/>
      <w:i/>
      <w:iCs/>
      <w:szCs w:val="21"/>
    </w:r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0"/>
    <w:qFormat/>
    <w:uiPriority w:val="99"/>
    <w:pPr>
      <w:spacing w:after="120"/>
    </w:pPr>
    <w:rPr>
      <w:rFonts w:ascii="Calibri" w:hAnsi="Calibri"/>
    </w:rPr>
  </w:style>
  <w:style w:type="paragraph" w:styleId="3">
    <w:name w:val="Body Text 2"/>
    <w:basedOn w:val="1"/>
    <w:next w:val="2"/>
    <w:qFormat/>
    <w:uiPriority w:val="99"/>
    <w:pPr>
      <w:spacing w:after="120" w:line="480" w:lineRule="auto"/>
    </w:pPr>
    <w:rPr>
      <w:sz w:val="20"/>
    </w:rPr>
  </w:style>
  <w:style w:type="paragraph" w:styleId="13">
    <w:name w:val="toc 7"/>
    <w:basedOn w:val="1"/>
    <w:next w:val="1"/>
    <w:unhideWhenUsed/>
    <w:qFormat/>
    <w:uiPriority w:val="39"/>
    <w:pPr>
      <w:spacing w:after="57"/>
      <w:ind w:left="1701"/>
    </w:pPr>
  </w:style>
  <w:style w:type="paragraph" w:styleId="14">
    <w:name w:val="Normal Indent"/>
    <w:basedOn w:val="1"/>
    <w:qFormat/>
    <w:uiPriority w:val="0"/>
    <w:pPr>
      <w:ind w:firstLine="420"/>
    </w:pPr>
  </w:style>
  <w:style w:type="paragraph" w:styleId="15">
    <w:name w:val="caption"/>
    <w:basedOn w:val="1"/>
    <w:next w:val="1"/>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6">
    <w:name w:val="index 5"/>
    <w:basedOn w:val="1"/>
    <w:next w:val="1"/>
    <w:qFormat/>
    <w:uiPriority w:val="0"/>
    <w:pPr>
      <w:ind w:left="798"/>
      <w:jc w:val="left"/>
    </w:pPr>
    <w:rPr>
      <w:rFonts w:ascii="Calibri" w:hAnsi="Calibri"/>
    </w:rPr>
  </w:style>
  <w:style w:type="paragraph" w:styleId="17">
    <w:name w:val="annotation text"/>
    <w:basedOn w:val="1"/>
    <w:link w:val="214"/>
    <w:semiHidden/>
    <w:unhideWhenUsed/>
    <w:qFormat/>
    <w:uiPriority w:val="0"/>
    <w:pPr>
      <w:jc w:val="left"/>
    </w:pPr>
  </w:style>
  <w:style w:type="paragraph" w:styleId="18">
    <w:name w:val="Body Text Indent"/>
    <w:basedOn w:val="1"/>
    <w:qFormat/>
    <w:uiPriority w:val="0"/>
    <w:pPr>
      <w:spacing w:after="120"/>
      <w:ind w:left="420"/>
    </w:pPr>
    <w:rPr>
      <w:rFonts w:ascii="Calibri" w:hAnsi="Calibri"/>
    </w:rPr>
  </w:style>
  <w:style w:type="paragraph" w:styleId="19">
    <w:name w:val="Block Text"/>
    <w:basedOn w:val="1"/>
    <w:next w:val="1"/>
    <w:unhideWhenUsed/>
    <w:qFormat/>
    <w:uiPriority w:val="99"/>
    <w:pPr>
      <w:spacing w:after="120"/>
      <w:ind w:left="1440" w:right="1440"/>
    </w:pPr>
  </w:style>
  <w:style w:type="paragraph" w:styleId="20">
    <w:name w:val="toc 5"/>
    <w:basedOn w:val="1"/>
    <w:next w:val="1"/>
    <w:unhideWhenUsed/>
    <w:qFormat/>
    <w:uiPriority w:val="39"/>
    <w:pPr>
      <w:spacing w:after="57"/>
      <w:ind w:left="1134"/>
    </w:pPr>
  </w:style>
  <w:style w:type="paragraph" w:styleId="21">
    <w:name w:val="toc 3"/>
    <w:basedOn w:val="1"/>
    <w:next w:val="1"/>
    <w:unhideWhenUsed/>
    <w:qFormat/>
    <w:uiPriority w:val="39"/>
    <w:pPr>
      <w:spacing w:after="57"/>
      <w:ind w:left="567"/>
    </w:pPr>
  </w:style>
  <w:style w:type="paragraph" w:styleId="22">
    <w:name w:val="Plain Text"/>
    <w:basedOn w:val="1"/>
    <w:qFormat/>
    <w:uiPriority w:val="0"/>
    <w:rPr>
      <w:rFonts w:ascii="宋体" w:hAnsi="Courier New"/>
      <w:sz w:val="20"/>
      <w:szCs w:val="20"/>
    </w:rPr>
  </w:style>
  <w:style w:type="paragraph" w:styleId="23">
    <w:name w:val="toc 8"/>
    <w:basedOn w:val="1"/>
    <w:next w:val="1"/>
    <w:unhideWhenUsed/>
    <w:qFormat/>
    <w:uiPriority w:val="39"/>
    <w:pPr>
      <w:spacing w:after="57"/>
      <w:ind w:left="1984"/>
    </w:pPr>
  </w:style>
  <w:style w:type="paragraph" w:styleId="24">
    <w:name w:val="Date"/>
    <w:basedOn w:val="1"/>
    <w:next w:val="1"/>
    <w:qFormat/>
    <w:uiPriority w:val="0"/>
    <w:rPr>
      <w:rFonts w:eastAsia="仿宋_GB2312"/>
      <w:sz w:val="28"/>
      <w:szCs w:val="20"/>
    </w:rPr>
  </w:style>
  <w:style w:type="paragraph" w:styleId="25">
    <w:name w:val="endnote text"/>
    <w:basedOn w:val="1"/>
    <w:link w:val="203"/>
    <w:semiHidden/>
    <w:unhideWhenUsed/>
    <w:qFormat/>
    <w:uiPriority w:val="99"/>
    <w:rPr>
      <w:sz w:val="20"/>
    </w:rPr>
  </w:style>
  <w:style w:type="paragraph" w:styleId="26">
    <w:name w:val="Balloon Text"/>
    <w:basedOn w:val="1"/>
    <w:link w:val="207"/>
    <w:qFormat/>
    <w:uiPriority w:val="0"/>
    <w:rPr>
      <w:sz w:val="18"/>
      <w:szCs w:val="18"/>
    </w:rPr>
  </w:style>
  <w:style w:type="paragraph" w:styleId="27">
    <w:name w:val="footer"/>
    <w:basedOn w:val="1"/>
    <w:link w:val="209"/>
    <w:qFormat/>
    <w:uiPriority w:val="99"/>
    <w:pPr>
      <w:tabs>
        <w:tab w:val="center" w:pos="4153"/>
        <w:tab w:val="right" w:pos="8306"/>
      </w:tabs>
      <w:jc w:val="left"/>
    </w:pPr>
    <w:rPr>
      <w:sz w:val="18"/>
      <w:szCs w:val="18"/>
    </w:rPr>
  </w:style>
  <w:style w:type="paragraph" w:styleId="28">
    <w:name w:val="header"/>
    <w:basedOn w:val="1"/>
    <w:link w:val="219"/>
    <w:qFormat/>
    <w:uiPriority w:val="99"/>
    <w:pPr>
      <w:pBdr>
        <w:bottom w:val="single" w:color="auto" w:sz="6" w:space="1"/>
      </w:pBdr>
      <w:tabs>
        <w:tab w:val="center" w:pos="4153"/>
        <w:tab w:val="right" w:pos="8306"/>
      </w:tabs>
      <w:jc w:val="center"/>
    </w:pPr>
    <w:rPr>
      <w:sz w:val="18"/>
      <w:szCs w:val="18"/>
    </w:rPr>
  </w:style>
  <w:style w:type="paragraph" w:styleId="29">
    <w:name w:val="toc 1"/>
    <w:basedOn w:val="1"/>
    <w:next w:val="1"/>
    <w:qFormat/>
    <w:uiPriority w:val="39"/>
  </w:style>
  <w:style w:type="paragraph" w:styleId="30">
    <w:name w:val="toc 4"/>
    <w:basedOn w:val="1"/>
    <w:next w:val="1"/>
    <w:unhideWhenUsed/>
    <w:qFormat/>
    <w:uiPriority w:val="39"/>
    <w:pPr>
      <w:spacing w:after="57"/>
      <w:ind w:left="850"/>
    </w:pPr>
  </w:style>
  <w:style w:type="paragraph" w:styleId="31">
    <w:name w:val="Subtitle"/>
    <w:basedOn w:val="1"/>
    <w:next w:val="1"/>
    <w:link w:val="69"/>
    <w:qFormat/>
    <w:uiPriority w:val="11"/>
    <w:pPr>
      <w:spacing w:before="200" w:after="200"/>
    </w:pPr>
    <w:rPr>
      <w:sz w:val="24"/>
    </w:rPr>
  </w:style>
  <w:style w:type="paragraph" w:styleId="32">
    <w:name w:val="footnote text"/>
    <w:basedOn w:val="1"/>
    <w:next w:val="16"/>
    <w:qFormat/>
    <w:uiPriority w:val="0"/>
    <w:pPr>
      <w:jc w:val="left"/>
    </w:pPr>
    <w:rPr>
      <w:rFonts w:ascii="宋体" w:eastAsia="Times New Roman"/>
      <w:sz w:val="18"/>
      <w:szCs w:val="18"/>
    </w:rPr>
  </w:style>
  <w:style w:type="paragraph" w:styleId="33">
    <w:name w:val="toc 6"/>
    <w:basedOn w:val="1"/>
    <w:next w:val="1"/>
    <w:unhideWhenUsed/>
    <w:qFormat/>
    <w:uiPriority w:val="39"/>
    <w:pPr>
      <w:spacing w:after="57"/>
      <w:ind w:left="1417"/>
    </w:pPr>
  </w:style>
  <w:style w:type="paragraph" w:styleId="34">
    <w:name w:val="table of figures"/>
    <w:basedOn w:val="1"/>
    <w:next w:val="1"/>
    <w:unhideWhenUsed/>
    <w:qFormat/>
    <w:uiPriority w:val="99"/>
  </w:style>
  <w:style w:type="paragraph" w:styleId="35">
    <w:name w:val="toc 2"/>
    <w:basedOn w:val="1"/>
    <w:next w:val="1"/>
    <w:unhideWhenUsed/>
    <w:qFormat/>
    <w:uiPriority w:val="39"/>
    <w:pPr>
      <w:spacing w:after="57"/>
      <w:ind w:left="283"/>
    </w:pPr>
  </w:style>
  <w:style w:type="paragraph" w:styleId="36">
    <w:name w:val="toc 9"/>
    <w:basedOn w:val="1"/>
    <w:next w:val="1"/>
    <w:unhideWhenUsed/>
    <w:qFormat/>
    <w:uiPriority w:val="39"/>
    <w:pPr>
      <w:spacing w:after="57"/>
      <w:ind w:left="2268"/>
    </w:pPr>
  </w:style>
  <w:style w:type="paragraph" w:styleId="37">
    <w:name w:val="Normal (Web)"/>
    <w:basedOn w:val="1"/>
    <w:qFormat/>
    <w:uiPriority w:val="0"/>
    <w:pPr>
      <w:widowControl/>
      <w:spacing w:before="100" w:beforeAutospacing="1" w:after="100" w:afterAutospacing="1"/>
      <w:jc w:val="left"/>
    </w:pPr>
    <w:rPr>
      <w:rFonts w:ascii="宋体" w:hAnsi="宋体" w:cs="宋体"/>
      <w:sz w:val="24"/>
    </w:rPr>
  </w:style>
  <w:style w:type="paragraph" w:styleId="38">
    <w:name w:val="Title"/>
    <w:basedOn w:val="1"/>
    <w:next w:val="1"/>
    <w:link w:val="68"/>
    <w:qFormat/>
    <w:uiPriority w:val="10"/>
    <w:pPr>
      <w:spacing w:before="300" w:after="200"/>
      <w:contextualSpacing/>
    </w:pPr>
    <w:rPr>
      <w:sz w:val="48"/>
      <w:szCs w:val="48"/>
    </w:rPr>
  </w:style>
  <w:style w:type="paragraph" w:styleId="39">
    <w:name w:val="annotation subject"/>
    <w:basedOn w:val="17"/>
    <w:next w:val="17"/>
    <w:link w:val="215"/>
    <w:semiHidden/>
    <w:unhideWhenUsed/>
    <w:qFormat/>
    <w:uiPriority w:val="0"/>
    <w:rPr>
      <w:b/>
      <w:bCs/>
    </w:rPr>
  </w:style>
  <w:style w:type="paragraph" w:styleId="40">
    <w:name w:val="Body Text First Indent"/>
    <w:basedOn w:val="2"/>
    <w:next w:val="41"/>
    <w:qFormat/>
    <w:uiPriority w:val="0"/>
    <w:pPr>
      <w:ind w:firstLine="420"/>
    </w:pPr>
  </w:style>
  <w:style w:type="paragraph" w:styleId="41">
    <w:name w:val="Body Text First Indent 2"/>
    <w:basedOn w:val="18"/>
    <w:qFormat/>
    <w:uiPriority w:val="0"/>
    <w:pPr>
      <w:spacing w:line="360" w:lineRule="auto"/>
      <w:ind w:firstLine="420"/>
    </w:pPr>
    <w:rPr>
      <w:color w:val="000000"/>
      <w:sz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endnote reference"/>
    <w:basedOn w:val="44"/>
    <w:semiHidden/>
    <w:unhideWhenUsed/>
    <w:qFormat/>
    <w:uiPriority w:val="99"/>
    <w:rPr>
      <w:vertAlign w:val="superscript"/>
    </w:rPr>
  </w:style>
  <w:style w:type="character" w:styleId="46">
    <w:name w:val="page number"/>
    <w:basedOn w:val="44"/>
    <w:qFormat/>
    <w:uiPriority w:val="0"/>
  </w:style>
  <w:style w:type="character" w:styleId="47">
    <w:name w:val="FollowedHyperlink"/>
    <w:basedOn w:val="44"/>
    <w:semiHidden/>
    <w:unhideWhenUsed/>
    <w:qFormat/>
    <w:uiPriority w:val="99"/>
    <w:rPr>
      <w:color w:val="800080"/>
      <w:u w:val="single"/>
    </w:rPr>
  </w:style>
  <w:style w:type="character" w:styleId="48">
    <w:name w:val="Hyperlink"/>
    <w:basedOn w:val="44"/>
    <w:unhideWhenUsed/>
    <w:qFormat/>
    <w:uiPriority w:val="99"/>
    <w:rPr>
      <w:color w:val="0000FF"/>
      <w:u w:val="single"/>
    </w:rPr>
  </w:style>
  <w:style w:type="character" w:styleId="49">
    <w:name w:val="annotation reference"/>
    <w:basedOn w:val="44"/>
    <w:semiHidden/>
    <w:unhideWhenUsed/>
    <w:qFormat/>
    <w:uiPriority w:val="0"/>
    <w:rPr>
      <w:sz w:val="21"/>
      <w:szCs w:val="21"/>
    </w:rPr>
  </w:style>
  <w:style w:type="character" w:styleId="50">
    <w:name w:val="footnote reference"/>
    <w:basedOn w:val="44"/>
    <w:unhideWhenUsed/>
    <w:qFormat/>
    <w:uiPriority w:val="99"/>
    <w:rPr>
      <w:vertAlign w:val="superscript"/>
    </w:rPr>
  </w:style>
  <w:style w:type="paragraph" w:customStyle="1" w:styleId="51">
    <w:name w:val="一级条标题"/>
    <w:basedOn w:val="52"/>
    <w:next w:val="53"/>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2">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53">
    <w:name w:val="段"/>
    <w:basedOn w:val="54"/>
    <w:next w:val="1"/>
    <w:qFormat/>
    <w:uiPriority w:val="0"/>
    <w:pPr>
      <w:widowControl/>
      <w:ind w:firstLine="200"/>
    </w:pPr>
    <w:rPr>
      <w:sz w:val="20"/>
    </w:rPr>
  </w:style>
  <w:style w:type="paragraph" w:customStyle="1" w:styleId="54">
    <w:name w:val="正文1"/>
    <w:basedOn w:val="1"/>
    <w:next w:val="55"/>
    <w:qFormat/>
    <w:uiPriority w:val="0"/>
    <w:pPr>
      <w:spacing w:line="360" w:lineRule="atLeast"/>
      <w:jc w:val="left"/>
    </w:pPr>
    <w:rPr>
      <w:rFonts w:ascii="宋体" w:hAnsiTheme="minorHAnsi" w:eastAsiaTheme="minorEastAsia" w:cstheme="minorBidi"/>
      <w:sz w:val="24"/>
      <w:szCs w:val="20"/>
    </w:rPr>
  </w:style>
  <w:style w:type="paragraph" w:customStyle="1" w:styleId="55">
    <w:name w:val="脚注文本1"/>
    <w:basedOn w:val="54"/>
    <w:next w:val="56"/>
    <w:qFormat/>
    <w:uiPriority w:val="0"/>
    <w:rPr>
      <w:rFonts w:eastAsia="Times New Roman"/>
      <w:sz w:val="18"/>
      <w:szCs w:val="18"/>
    </w:rPr>
  </w:style>
  <w:style w:type="paragraph" w:customStyle="1" w:styleId="56">
    <w:name w:val="索引 51"/>
    <w:basedOn w:val="54"/>
    <w:next w:val="54"/>
    <w:qFormat/>
    <w:uiPriority w:val="0"/>
    <w:pPr>
      <w:ind w:left="798"/>
    </w:pPr>
    <w:rPr>
      <w:rFonts w:ascii="Calibri" w:hAnsi="Calibri"/>
    </w:rPr>
  </w:style>
  <w:style w:type="paragraph" w:customStyle="1" w:styleId="57">
    <w:name w:val="正文文本1"/>
    <w:basedOn w:val="54"/>
    <w:next w:val="51"/>
    <w:qFormat/>
    <w:uiPriority w:val="0"/>
    <w:pPr>
      <w:spacing w:after="120"/>
    </w:pPr>
    <w:rPr>
      <w:lang w:eastAsia="en-US"/>
    </w:rPr>
  </w:style>
  <w:style w:type="character" w:customStyle="1" w:styleId="58">
    <w:name w:val="Heading 1 Char"/>
    <w:basedOn w:val="44"/>
    <w:qFormat/>
    <w:uiPriority w:val="9"/>
    <w:rPr>
      <w:rFonts w:ascii="Arial" w:hAnsi="Arial" w:eastAsia="Arial" w:cs="Arial"/>
      <w:sz w:val="40"/>
      <w:szCs w:val="40"/>
    </w:rPr>
  </w:style>
  <w:style w:type="character" w:customStyle="1" w:styleId="59">
    <w:name w:val="Heading 2 Char"/>
    <w:basedOn w:val="44"/>
    <w:qFormat/>
    <w:uiPriority w:val="9"/>
    <w:rPr>
      <w:rFonts w:ascii="Arial" w:hAnsi="Arial" w:eastAsia="Arial" w:cs="Arial"/>
      <w:sz w:val="34"/>
    </w:rPr>
  </w:style>
  <w:style w:type="character" w:customStyle="1" w:styleId="60">
    <w:name w:val="Heading 3 Char"/>
    <w:basedOn w:val="44"/>
    <w:qFormat/>
    <w:uiPriority w:val="9"/>
    <w:rPr>
      <w:rFonts w:ascii="Arial" w:hAnsi="Arial" w:eastAsia="Arial" w:cs="Arial"/>
      <w:sz w:val="30"/>
      <w:szCs w:val="30"/>
    </w:rPr>
  </w:style>
  <w:style w:type="character" w:customStyle="1" w:styleId="61">
    <w:name w:val="标题 4 Char"/>
    <w:basedOn w:val="44"/>
    <w:link w:val="7"/>
    <w:qFormat/>
    <w:uiPriority w:val="9"/>
    <w:rPr>
      <w:rFonts w:ascii="Arial" w:hAnsi="Arial" w:eastAsia="Arial" w:cs="Arial"/>
      <w:b/>
      <w:bCs/>
      <w:sz w:val="26"/>
      <w:szCs w:val="26"/>
    </w:rPr>
  </w:style>
  <w:style w:type="character" w:customStyle="1" w:styleId="62">
    <w:name w:val="标题 5 Char"/>
    <w:basedOn w:val="44"/>
    <w:link w:val="8"/>
    <w:qFormat/>
    <w:uiPriority w:val="9"/>
    <w:rPr>
      <w:rFonts w:ascii="Arial" w:hAnsi="Arial" w:eastAsia="Arial" w:cs="Arial"/>
      <w:b/>
      <w:bCs/>
      <w:sz w:val="24"/>
      <w:szCs w:val="24"/>
    </w:rPr>
  </w:style>
  <w:style w:type="character" w:customStyle="1" w:styleId="63">
    <w:name w:val="标题 6 Char"/>
    <w:basedOn w:val="44"/>
    <w:link w:val="9"/>
    <w:qFormat/>
    <w:uiPriority w:val="9"/>
    <w:rPr>
      <w:rFonts w:ascii="Arial" w:hAnsi="Arial" w:eastAsia="Arial" w:cs="Arial"/>
      <w:b/>
      <w:bCs/>
      <w:sz w:val="22"/>
      <w:szCs w:val="22"/>
    </w:rPr>
  </w:style>
  <w:style w:type="character" w:customStyle="1" w:styleId="64">
    <w:name w:val="标题 7 Char"/>
    <w:basedOn w:val="44"/>
    <w:link w:val="10"/>
    <w:qFormat/>
    <w:uiPriority w:val="9"/>
    <w:rPr>
      <w:rFonts w:ascii="Arial" w:hAnsi="Arial" w:eastAsia="Arial" w:cs="Arial"/>
      <w:b/>
      <w:bCs/>
      <w:i/>
      <w:iCs/>
      <w:sz w:val="22"/>
      <w:szCs w:val="22"/>
    </w:rPr>
  </w:style>
  <w:style w:type="character" w:customStyle="1" w:styleId="65">
    <w:name w:val="标题 8 Char"/>
    <w:basedOn w:val="44"/>
    <w:link w:val="11"/>
    <w:qFormat/>
    <w:uiPriority w:val="9"/>
    <w:rPr>
      <w:rFonts w:ascii="Arial" w:hAnsi="Arial" w:eastAsia="Arial" w:cs="Arial"/>
      <w:i/>
      <w:iCs/>
      <w:sz w:val="22"/>
      <w:szCs w:val="22"/>
    </w:rPr>
  </w:style>
  <w:style w:type="character" w:customStyle="1" w:styleId="66">
    <w:name w:val="标题 9 Char"/>
    <w:basedOn w:val="44"/>
    <w:link w:val="12"/>
    <w:qFormat/>
    <w:uiPriority w:val="9"/>
    <w:rPr>
      <w:rFonts w:ascii="Arial" w:hAnsi="Arial" w:eastAsia="Arial" w:cs="Arial"/>
      <w:i/>
      <w:iCs/>
      <w:sz w:val="21"/>
      <w:szCs w:val="21"/>
    </w:rPr>
  </w:style>
  <w:style w:type="paragraph" w:styleId="67">
    <w:name w:val="No Spacing"/>
    <w:qFormat/>
    <w:uiPriority w:val="1"/>
    <w:rPr>
      <w:rFonts w:ascii="Times New Roman" w:hAnsi="Times New Roman" w:eastAsia="宋体" w:cs="Times New Roman"/>
      <w:lang w:val="en-US" w:eastAsia="zh-CN" w:bidi="ar-SA"/>
    </w:rPr>
  </w:style>
  <w:style w:type="character" w:customStyle="1" w:styleId="68">
    <w:name w:val="标题 Char"/>
    <w:basedOn w:val="44"/>
    <w:link w:val="38"/>
    <w:qFormat/>
    <w:uiPriority w:val="10"/>
    <w:rPr>
      <w:sz w:val="48"/>
      <w:szCs w:val="48"/>
    </w:rPr>
  </w:style>
  <w:style w:type="character" w:customStyle="1" w:styleId="69">
    <w:name w:val="副标题 Char"/>
    <w:basedOn w:val="44"/>
    <w:link w:val="31"/>
    <w:qFormat/>
    <w:uiPriority w:val="11"/>
    <w:rPr>
      <w:sz w:val="24"/>
      <w:szCs w:val="24"/>
    </w:rPr>
  </w:style>
  <w:style w:type="paragraph" w:styleId="70">
    <w:name w:val="Quote"/>
    <w:basedOn w:val="1"/>
    <w:next w:val="1"/>
    <w:link w:val="71"/>
    <w:qFormat/>
    <w:uiPriority w:val="29"/>
    <w:pPr>
      <w:ind w:left="720" w:right="720"/>
    </w:pPr>
    <w:rPr>
      <w:i/>
    </w:rPr>
  </w:style>
  <w:style w:type="character" w:customStyle="1" w:styleId="71">
    <w:name w:val="引用 Char"/>
    <w:link w:val="70"/>
    <w:qFormat/>
    <w:uiPriority w:val="29"/>
    <w:rPr>
      <w:i/>
    </w:rPr>
  </w:style>
  <w:style w:type="paragraph" w:styleId="72">
    <w:name w:val="Intense Quote"/>
    <w:basedOn w:val="1"/>
    <w:next w:val="1"/>
    <w:link w:val="7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3">
    <w:name w:val="明显引用 Char"/>
    <w:link w:val="72"/>
    <w:qFormat/>
    <w:uiPriority w:val="30"/>
    <w:rPr>
      <w:i/>
    </w:rPr>
  </w:style>
  <w:style w:type="character" w:customStyle="1" w:styleId="74">
    <w:name w:val="Header Char"/>
    <w:basedOn w:val="44"/>
    <w:qFormat/>
    <w:uiPriority w:val="99"/>
  </w:style>
  <w:style w:type="character" w:customStyle="1" w:styleId="75">
    <w:name w:val="Footer Char"/>
    <w:basedOn w:val="44"/>
    <w:qFormat/>
    <w:uiPriority w:val="99"/>
  </w:style>
  <w:style w:type="character" w:customStyle="1" w:styleId="76">
    <w:name w:val="Caption Char"/>
    <w:qFormat/>
    <w:uiPriority w:val="99"/>
  </w:style>
  <w:style w:type="table" w:customStyle="1" w:styleId="77">
    <w:name w:val="Table Grid Light"/>
    <w:basedOn w:val="4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8">
    <w:name w:val="无格式表格 11"/>
    <w:basedOn w:val="4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9">
    <w:name w:val="无格式表格 21"/>
    <w:basedOn w:val="4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0">
    <w:name w:val="无格式表格 31"/>
    <w:basedOn w:val="4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无格式表格 41"/>
    <w:basedOn w:val="4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无格式表格 51"/>
    <w:basedOn w:val="4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网格表 1 浅色1"/>
    <w:basedOn w:val="4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4">
    <w:name w:val="Grid Table 1 Light - Accent 1"/>
    <w:basedOn w:val="4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85">
    <w:name w:val="Grid Table 1 Light - Accent 2"/>
    <w:basedOn w:val="4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86">
    <w:name w:val="Grid Table 1 Light - Accent 3"/>
    <w:basedOn w:val="4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7">
    <w:name w:val="Grid Table 1 Light - Accent 4"/>
    <w:basedOn w:val="4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8">
    <w:name w:val="Grid Table 1 Light - Accent 5"/>
    <w:basedOn w:val="4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89">
    <w:name w:val="Grid Table 1 Light - Accent 6"/>
    <w:basedOn w:val="4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0">
    <w:name w:val="网格表 21"/>
    <w:basedOn w:val="4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2 - Accent 1"/>
    <w:basedOn w:val="4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92">
    <w:name w:val="Grid Table 2 - Accent 2"/>
    <w:basedOn w:val="4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3">
    <w:name w:val="Grid Table 2 - Accent 3"/>
    <w:basedOn w:val="4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4">
    <w:name w:val="Grid Table 2 - Accent 4"/>
    <w:basedOn w:val="4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5">
    <w:name w:val="Grid Table 2 - Accent 5"/>
    <w:basedOn w:val="42"/>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6">
    <w:name w:val="Grid Table 2 - Accent 6"/>
    <w:basedOn w:val="42"/>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7">
    <w:name w:val="网格表 31"/>
    <w:basedOn w:val="4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3 - Accent 1"/>
    <w:basedOn w:val="4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99">
    <w:name w:val="Grid Table 3 - Accent 2"/>
    <w:basedOn w:val="4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0">
    <w:name w:val="Grid Table 3 - Accent 3"/>
    <w:basedOn w:val="4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1">
    <w:name w:val="Grid Table 3 - Accent 4"/>
    <w:basedOn w:val="4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2">
    <w:name w:val="Grid Table 3 - Accent 5"/>
    <w:basedOn w:val="42"/>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3">
    <w:name w:val="Grid Table 3 - Accent 6"/>
    <w:basedOn w:val="42"/>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4">
    <w:name w:val="网格表 41"/>
    <w:basedOn w:val="4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5">
    <w:name w:val="Grid Table 4 - Accent 1"/>
    <w:basedOn w:val="42"/>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06">
    <w:name w:val="Grid Table 4 - Accent 2"/>
    <w:basedOn w:val="4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7">
    <w:name w:val="Grid Table 4 - Accent 3"/>
    <w:basedOn w:val="4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8">
    <w:name w:val="Grid Table 4 - Accent 4"/>
    <w:basedOn w:val="4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9">
    <w:name w:val="Grid Table 4 - Accent 5"/>
    <w:basedOn w:val="42"/>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10">
    <w:name w:val="Grid Table 4 - Accent 6"/>
    <w:basedOn w:val="4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1">
    <w:name w:val="网格表 5 深色1"/>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2">
    <w:name w:val="Grid Table 5 Dark- Accent 1"/>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13">
    <w:name w:val="Grid Table 5 Dark - Accent 2"/>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14">
    <w:name w:val="Grid Table 5 Dark - Accent 3"/>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15">
    <w:name w:val="Grid Table 5 Dark- Accent 4"/>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16">
    <w:name w:val="Grid Table 5 Dark - Accent 5"/>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17">
    <w:name w:val="Grid Table 5 Dark - Accent 6"/>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18">
    <w:name w:val="网格表 6 彩色1"/>
    <w:basedOn w:val="4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6 Colorful - Accent 1"/>
    <w:basedOn w:val="42"/>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0">
    <w:name w:val="Grid Table 6 Colorful - Accent 2"/>
    <w:basedOn w:val="4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1">
    <w:name w:val="Grid Table 6 Colorful - Accent 3"/>
    <w:basedOn w:val="4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22">
    <w:name w:val="Grid Table 6 Colorful - Accent 4"/>
    <w:basedOn w:val="4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3">
    <w:name w:val="Grid Table 6 Colorful - Accent 5"/>
    <w:basedOn w:val="42"/>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24">
    <w:name w:val="Grid Table 6 Colorful - Accent 6"/>
    <w:basedOn w:val="4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25">
    <w:name w:val="网格表 7 彩色1"/>
    <w:basedOn w:val="4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6">
    <w:name w:val="Grid Table 7 Colorful - Accent 1"/>
    <w:basedOn w:val="42"/>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7">
    <w:name w:val="Grid Table 7 Colorful - Accent 2"/>
    <w:basedOn w:val="4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8">
    <w:name w:val="Grid Table 7 Colorful - Accent 3"/>
    <w:basedOn w:val="4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29">
    <w:name w:val="Grid Table 7 Colorful - Accent 4"/>
    <w:basedOn w:val="4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0">
    <w:name w:val="Grid Table 7 Colorful - Accent 5"/>
    <w:basedOn w:val="42"/>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31">
    <w:name w:val="Grid Table 7 Colorful - Accent 6"/>
    <w:basedOn w:val="4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32">
    <w:name w:val="清单表 1 浅色1"/>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3">
    <w:name w:val="List Table 1 Light - Accent 1"/>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34">
    <w:name w:val="List Table 1 Light - Accent 2"/>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35">
    <w:name w:val="List Table 1 Light - Accent 3"/>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36">
    <w:name w:val="List Table 1 Light - Accent 4"/>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37">
    <w:name w:val="List Table 1 Light - Accent 5"/>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38">
    <w:name w:val="List Table 1 Light - Accent 6"/>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39">
    <w:name w:val="清单表 21"/>
    <w:basedOn w:val="4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2 - Accent 1"/>
    <w:basedOn w:val="42"/>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41">
    <w:name w:val="List Table 2 - Accent 2"/>
    <w:basedOn w:val="4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2">
    <w:name w:val="List Table 2 - Accent 3"/>
    <w:basedOn w:val="4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3">
    <w:name w:val="List Table 2 - Accent 4"/>
    <w:basedOn w:val="4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4">
    <w:name w:val="List Table 2 - Accent 5"/>
    <w:basedOn w:val="42"/>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5">
    <w:name w:val="List Table 2 - Accent 6"/>
    <w:basedOn w:val="4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6">
    <w:name w:val="清单表 31"/>
    <w:basedOn w:val="4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7">
    <w:name w:val="List Table 3 - Accent 1"/>
    <w:basedOn w:val="42"/>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48">
    <w:name w:val="List Table 3 - Accent 2"/>
    <w:basedOn w:val="4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49">
    <w:name w:val="List Table 3 - Accent 3"/>
    <w:basedOn w:val="4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0">
    <w:name w:val="List Table 3 - Accent 4"/>
    <w:basedOn w:val="4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1">
    <w:name w:val="List Table 3 - Accent 5"/>
    <w:basedOn w:val="42"/>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52">
    <w:name w:val="List Table 3 - Accent 6"/>
    <w:basedOn w:val="4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53">
    <w:name w:val="清单表 41"/>
    <w:basedOn w:val="4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4">
    <w:name w:val="List Table 4 - Accent 1"/>
    <w:basedOn w:val="42"/>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55">
    <w:name w:val="List Table 4 - Accent 2"/>
    <w:basedOn w:val="4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56">
    <w:name w:val="List Table 4 - Accent 3"/>
    <w:basedOn w:val="4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7">
    <w:name w:val="List Table 4 - Accent 4"/>
    <w:basedOn w:val="4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8">
    <w:name w:val="List Table 4 - Accent 5"/>
    <w:basedOn w:val="42"/>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59">
    <w:name w:val="List Table 4 - Accent 6"/>
    <w:basedOn w:val="4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0">
    <w:name w:val="清单表 5 深色1"/>
    <w:basedOn w:val="4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1">
    <w:name w:val="List Table 5 Dark - Accent 1"/>
    <w:basedOn w:val="42"/>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62">
    <w:name w:val="List Table 5 Dark - Accent 2"/>
    <w:basedOn w:val="4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63">
    <w:name w:val="List Table 5 Dark - Accent 3"/>
    <w:basedOn w:val="4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64">
    <w:name w:val="List Table 5 Dark - Accent 4"/>
    <w:basedOn w:val="4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65">
    <w:name w:val="List Table 5 Dark - Accent 5"/>
    <w:basedOn w:val="42"/>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66">
    <w:name w:val="List Table 5 Dark - Accent 6"/>
    <w:basedOn w:val="4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67">
    <w:name w:val="清单表 6 彩色1"/>
    <w:basedOn w:val="42"/>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8">
    <w:name w:val="List Table 6 Colorful - Accent 1"/>
    <w:basedOn w:val="42"/>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69">
    <w:name w:val="List Table 6 Colorful - Accent 2"/>
    <w:basedOn w:val="42"/>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0">
    <w:name w:val="List Table 6 Colorful - Accent 3"/>
    <w:basedOn w:val="42"/>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1">
    <w:name w:val="List Table 6 Colorful - Accent 4"/>
    <w:basedOn w:val="42"/>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2">
    <w:name w:val="List Table 6 Colorful - Accent 5"/>
    <w:basedOn w:val="42"/>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73">
    <w:name w:val="List Table 6 Colorful - Accent 6"/>
    <w:basedOn w:val="42"/>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4">
    <w:name w:val="清单表 7 彩色1"/>
    <w:basedOn w:val="42"/>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5">
    <w:name w:val="List Table 7 Colorful - Accent 1"/>
    <w:basedOn w:val="42"/>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76">
    <w:name w:val="List Table 7 Colorful - Accent 2"/>
    <w:basedOn w:val="42"/>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7">
    <w:name w:val="List Table 7 Colorful - Accent 3"/>
    <w:basedOn w:val="42"/>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8">
    <w:name w:val="List Table 7 Colorful - Accent 4"/>
    <w:basedOn w:val="42"/>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9">
    <w:name w:val="List Table 7 Colorful - Accent 5"/>
    <w:basedOn w:val="42"/>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80">
    <w:name w:val="List Table 7 Colorful - Accent 6"/>
    <w:basedOn w:val="42"/>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1">
    <w:name w:val="Lined - Accent"/>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2">
    <w:name w:val="Lined - Accent 1"/>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83">
    <w:name w:val="Lined - Accent 2"/>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84">
    <w:name w:val="Lined - Accent 3"/>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5">
    <w:name w:val="Lined - Accent 4"/>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6">
    <w:name w:val="Lined - Accent 5"/>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87">
    <w:name w:val="Lined - Accent 6"/>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8">
    <w:name w:val="Bordered &amp; Lined - Accent"/>
    <w:basedOn w:val="4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9">
    <w:name w:val="Bordered &amp; Lined - Accent 1"/>
    <w:basedOn w:val="42"/>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90">
    <w:name w:val="Bordered &amp; Lined - Accent 2"/>
    <w:basedOn w:val="42"/>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1">
    <w:name w:val="Bordered &amp; Lined - Accent 3"/>
    <w:basedOn w:val="4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2">
    <w:name w:val="Bordered &amp; Lined - Accent 4"/>
    <w:basedOn w:val="4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3">
    <w:name w:val="Bordered &amp; Lined - Accent 5"/>
    <w:basedOn w:val="42"/>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94">
    <w:name w:val="Bordered &amp; Lined - Accent 6"/>
    <w:basedOn w:val="4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5">
    <w:name w:val="Bordered"/>
    <w:basedOn w:val="4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6">
    <w:name w:val="Bordered - Accent 1"/>
    <w:basedOn w:val="4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97">
    <w:name w:val="Bordered - Accent 2"/>
    <w:basedOn w:val="4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8">
    <w:name w:val="Bordered - Accent 3"/>
    <w:basedOn w:val="4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99">
    <w:name w:val="Bordered - Accent 4"/>
    <w:basedOn w:val="4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0">
    <w:name w:val="Bordered - Accent 5"/>
    <w:basedOn w:val="4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01">
    <w:name w:val="Bordered - Accent 6"/>
    <w:basedOn w:val="4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2">
    <w:name w:val="Footnote Text Char"/>
    <w:qFormat/>
    <w:uiPriority w:val="99"/>
    <w:rPr>
      <w:sz w:val="18"/>
    </w:rPr>
  </w:style>
  <w:style w:type="character" w:customStyle="1" w:styleId="203">
    <w:name w:val="尾注文本 Char"/>
    <w:link w:val="25"/>
    <w:qFormat/>
    <w:uiPriority w:val="99"/>
    <w:rPr>
      <w:sz w:val="20"/>
    </w:rPr>
  </w:style>
  <w:style w:type="paragraph" w:customStyle="1" w:styleId="204">
    <w:name w:val="TOC 标题1"/>
    <w:unhideWhenUsed/>
    <w:qFormat/>
    <w:uiPriority w:val="39"/>
    <w:rPr>
      <w:rFonts w:ascii="Times New Roman" w:hAnsi="Times New Roman" w:eastAsia="宋体" w:cs="Times New Roman"/>
      <w:lang w:val="en-US" w:eastAsia="zh-CN" w:bidi="ar-SA"/>
    </w:rPr>
  </w:style>
  <w:style w:type="paragraph" w:customStyle="1" w:styleId="205">
    <w:name w:val="p0"/>
    <w:basedOn w:val="1"/>
    <w:qFormat/>
    <w:uiPriority w:val="0"/>
    <w:pPr>
      <w:widowControl/>
    </w:pPr>
    <w:rPr>
      <w:szCs w:val="21"/>
    </w:rPr>
  </w:style>
  <w:style w:type="paragraph" w:styleId="206">
    <w:name w:val="List Paragraph"/>
    <w:basedOn w:val="1"/>
    <w:qFormat/>
    <w:uiPriority w:val="1"/>
    <w:pPr>
      <w:ind w:firstLine="420"/>
    </w:pPr>
  </w:style>
  <w:style w:type="character" w:customStyle="1" w:styleId="207">
    <w:name w:val="批注框文本 Char"/>
    <w:basedOn w:val="44"/>
    <w:link w:val="26"/>
    <w:qFormat/>
    <w:uiPriority w:val="0"/>
    <w:rPr>
      <w:rFonts w:ascii="Times New Roman" w:hAnsi="Times New Roman" w:eastAsia="宋体" w:cs="Times New Roman"/>
      <w:sz w:val="18"/>
      <w:szCs w:val="18"/>
    </w:rPr>
  </w:style>
  <w:style w:type="paragraph" w:customStyle="1" w:styleId="208">
    <w:name w:val="Default"/>
    <w:qFormat/>
    <w:uiPriority w:val="0"/>
    <w:pPr>
      <w:widowControl w:val="0"/>
    </w:pPr>
    <w:rPr>
      <w:rFonts w:ascii="宋体" w:hAnsi="Times New Roman" w:eastAsia="宋体" w:cs="宋体"/>
      <w:color w:val="000000"/>
      <w:sz w:val="24"/>
      <w:szCs w:val="24"/>
      <w:lang w:val="en-US" w:eastAsia="zh-CN" w:bidi="ar-SA"/>
    </w:rPr>
  </w:style>
  <w:style w:type="character" w:customStyle="1" w:styleId="209">
    <w:name w:val="页脚 Char"/>
    <w:basedOn w:val="44"/>
    <w:link w:val="27"/>
    <w:qFormat/>
    <w:uiPriority w:val="99"/>
    <w:rPr>
      <w:rFonts w:ascii="Times New Roman" w:hAnsi="Times New Roman" w:eastAsia="宋体" w:cs="Times New Roman"/>
      <w:sz w:val="18"/>
      <w:szCs w:val="18"/>
    </w:rPr>
  </w:style>
  <w:style w:type="character" w:customStyle="1" w:styleId="210">
    <w:name w:val="NormalCharacter"/>
    <w:semiHidden/>
    <w:qFormat/>
    <w:uiPriority w:val="0"/>
    <w:rPr>
      <w:sz w:val="28"/>
      <w:lang w:val="en-US" w:eastAsia="zh-CN" w:bidi="ar-SA"/>
    </w:rPr>
  </w:style>
  <w:style w:type="paragraph" w:customStyle="1" w:styleId="211">
    <w:name w:val="179"/>
    <w:basedOn w:val="1"/>
    <w:qFormat/>
    <w:uiPriority w:val="0"/>
    <w:pPr>
      <w:widowControl/>
      <w:ind w:firstLine="420"/>
      <w:jc w:val="left"/>
    </w:pPr>
    <w:rPr>
      <w:rFonts w:ascii="宋体" w:hAnsi="宋体"/>
      <w:sz w:val="24"/>
    </w:rPr>
  </w:style>
  <w:style w:type="paragraph" w:customStyle="1" w:styleId="212">
    <w:name w:val="UserStyle_0"/>
    <w:qFormat/>
    <w:uiPriority w:val="0"/>
    <w:rPr>
      <w:rFonts w:ascii="Times New Roman" w:hAnsi="Times New Roman" w:eastAsia="宋体" w:cs="Times New Roman"/>
      <w:color w:val="000000"/>
      <w:sz w:val="24"/>
      <w:szCs w:val="24"/>
      <w:lang w:val="en-US" w:eastAsia="zh-CN" w:bidi="ar-SA"/>
    </w:rPr>
  </w:style>
  <w:style w:type="paragraph" w:customStyle="1" w:styleId="213">
    <w:name w:val="标准"/>
    <w:basedOn w:val="1"/>
    <w:qFormat/>
    <w:uiPriority w:val="0"/>
    <w:pPr>
      <w:spacing w:line="360" w:lineRule="auto"/>
      <w:ind w:firstLine="200"/>
    </w:pPr>
    <w:rPr>
      <w:rFonts w:cs="宋体"/>
      <w:sz w:val="20"/>
      <w:szCs w:val="20"/>
    </w:rPr>
  </w:style>
  <w:style w:type="character" w:customStyle="1" w:styleId="214">
    <w:name w:val="批注文字 Char"/>
    <w:basedOn w:val="44"/>
    <w:link w:val="17"/>
    <w:semiHidden/>
    <w:qFormat/>
    <w:uiPriority w:val="0"/>
    <w:rPr>
      <w:rFonts w:ascii="Times New Roman" w:hAnsi="Times New Roman" w:eastAsia="宋体" w:cs="Times New Roman"/>
      <w:sz w:val="21"/>
      <w:szCs w:val="24"/>
    </w:rPr>
  </w:style>
  <w:style w:type="character" w:customStyle="1" w:styleId="215">
    <w:name w:val="批注主题 Char"/>
    <w:basedOn w:val="214"/>
    <w:link w:val="39"/>
    <w:semiHidden/>
    <w:qFormat/>
    <w:uiPriority w:val="0"/>
    <w:rPr>
      <w:rFonts w:ascii="Times New Roman" w:hAnsi="Times New Roman" w:eastAsia="宋体" w:cs="Times New Roman"/>
      <w:b/>
      <w:bCs/>
      <w:sz w:val="21"/>
      <w:szCs w:val="24"/>
    </w:rPr>
  </w:style>
  <w:style w:type="character" w:customStyle="1" w:styleId="216">
    <w:name w:val="标题 2 Char"/>
    <w:basedOn w:val="44"/>
    <w:link w:val="5"/>
    <w:qFormat/>
    <w:uiPriority w:val="9"/>
    <w:rPr>
      <w:rFonts w:asciiTheme="majorHAnsi" w:hAnsiTheme="majorHAnsi" w:eastAsiaTheme="majorEastAsia" w:cstheme="majorBidi"/>
      <w:b/>
      <w:bCs/>
      <w:sz w:val="32"/>
      <w:szCs w:val="32"/>
    </w:rPr>
  </w:style>
  <w:style w:type="character" w:customStyle="1" w:styleId="217">
    <w:name w:val="标题 3 Char"/>
    <w:basedOn w:val="44"/>
    <w:link w:val="6"/>
    <w:qFormat/>
    <w:uiPriority w:val="9"/>
    <w:rPr>
      <w:rFonts w:ascii="Times New Roman" w:hAnsi="Times New Roman" w:eastAsia="宋体" w:cs="Times New Roman"/>
      <w:b/>
      <w:bCs/>
      <w:sz w:val="32"/>
      <w:szCs w:val="32"/>
    </w:rPr>
  </w:style>
  <w:style w:type="character" w:customStyle="1" w:styleId="218">
    <w:name w:val="标题 1 Char"/>
    <w:basedOn w:val="44"/>
    <w:link w:val="4"/>
    <w:qFormat/>
    <w:uiPriority w:val="0"/>
    <w:rPr>
      <w:rFonts w:ascii="Times New Roman" w:hAnsi="Times New Roman" w:eastAsia="新宋体" w:cs="Times New Roman"/>
      <w:b/>
      <w:bCs/>
      <w:sz w:val="30"/>
      <w:szCs w:val="44"/>
    </w:rPr>
  </w:style>
  <w:style w:type="character" w:customStyle="1" w:styleId="219">
    <w:name w:val="页眉 Char"/>
    <w:basedOn w:val="44"/>
    <w:link w:val="28"/>
    <w:qFormat/>
    <w:uiPriority w:val="99"/>
    <w:rPr>
      <w:rFonts w:ascii="Times New Roman" w:hAnsi="Times New Roman" w:eastAsia="宋体" w:cs="Times New Roman"/>
      <w:sz w:val="18"/>
      <w:szCs w:val="18"/>
    </w:rPr>
  </w:style>
  <w:style w:type="character" w:customStyle="1" w:styleId="220">
    <w:name w:val="正文文本 Char"/>
    <w:basedOn w:val="44"/>
    <w:link w:val="2"/>
    <w:qFormat/>
    <w:uiPriority w:val="99"/>
    <w:rPr>
      <w:rFonts w:ascii="Calibri" w:hAnsi="Calibri" w:eastAsia="宋体" w:cs="Times New Roman"/>
      <w:sz w:val="21"/>
      <w:szCs w:val="24"/>
    </w:rPr>
  </w:style>
  <w:style w:type="paragraph" w:customStyle="1" w:styleId="221">
    <w:name w:val="_Style 11"/>
    <w:basedOn w:val="1"/>
    <w:next w:val="206"/>
    <w:qFormat/>
    <w:uiPriority w:val="34"/>
    <w:pPr>
      <w:ind w:firstLine="420"/>
    </w:pPr>
    <w:rPr>
      <w:color w:val="000000"/>
      <w:szCs w:val="21"/>
    </w:rPr>
  </w:style>
  <w:style w:type="paragraph" w:customStyle="1" w:styleId="222">
    <w:name w:val="TOC 11"/>
    <w:basedOn w:val="1"/>
    <w:next w:val="1"/>
    <w:qFormat/>
    <w:uiPriority w:val="0"/>
    <w:pPr>
      <w:widowControl/>
      <w:spacing w:before="120" w:after="120"/>
      <w:jc w:val="left"/>
    </w:pPr>
    <w:rPr>
      <w:rFonts w:ascii="Calibri" w:hAnsi="Calibri" w:cs="Calibri"/>
      <w:b/>
      <w:bCs/>
      <w:caps/>
      <w:sz w:val="20"/>
      <w:szCs w:val="20"/>
    </w:rPr>
  </w:style>
  <w:style w:type="paragraph" w:customStyle="1" w:styleId="223">
    <w:name w:val="BodyText1I2"/>
    <w:basedOn w:val="1"/>
    <w:qFormat/>
    <w:uiPriority w:val="0"/>
    <w:pPr>
      <w:widowControl/>
      <w:spacing w:line="360" w:lineRule="auto"/>
      <w:ind w:firstLine="420"/>
    </w:pPr>
    <w:rPr>
      <w:rFonts w:ascii="宋体" w:hAnsi="宋体" w:cstheme="minorBidi"/>
      <w:sz w:val="20"/>
      <w:szCs w:val="20"/>
    </w:rPr>
  </w:style>
  <w:style w:type="paragraph" w:customStyle="1" w:styleId="224">
    <w:name w:val="UserStyle_133"/>
    <w:basedOn w:val="1"/>
    <w:qFormat/>
    <w:uiPriority w:val="0"/>
    <w:pPr>
      <w:widowControl/>
    </w:pPr>
    <w:rPr>
      <w:rFonts w:ascii="Tahoma" w:hAnsi="Tahoma" w:cstheme="minorBidi"/>
      <w:sz w:val="24"/>
    </w:rPr>
  </w:style>
  <w:style w:type="paragraph" w:customStyle="1" w:styleId="225">
    <w:name w:val="AnnotationText"/>
    <w:basedOn w:val="1"/>
    <w:link w:val="226"/>
    <w:qFormat/>
    <w:uiPriority w:val="0"/>
    <w:pPr>
      <w:widowControl/>
      <w:jc w:val="left"/>
    </w:pPr>
    <w:rPr>
      <w:rFonts w:cstheme="minorBidi"/>
    </w:rPr>
  </w:style>
  <w:style w:type="character" w:customStyle="1" w:styleId="226">
    <w:name w:val="UserStyle_12"/>
    <w:link w:val="225"/>
    <w:qFormat/>
    <w:uiPriority w:val="0"/>
    <w:rPr>
      <w:rFonts w:ascii="Times New Roman" w:hAnsi="Times New Roman" w:eastAsia="宋体"/>
      <w:sz w:val="21"/>
      <w:szCs w:val="24"/>
    </w:rPr>
  </w:style>
  <w:style w:type="paragraph" w:customStyle="1" w:styleId="227">
    <w:name w:val="UserStyle_115"/>
    <w:qFormat/>
    <w:uiPriority w:val="0"/>
    <w:rPr>
      <w:rFonts w:ascii="Times New Roman" w:hAnsi="Times New Roman" w:eastAsia="宋体" w:cstheme="minorBidi"/>
      <w:color w:val="000000"/>
      <w:sz w:val="24"/>
      <w:szCs w:val="24"/>
      <w:lang w:val="en-US" w:eastAsia="zh-CN" w:bidi="ar-SA"/>
    </w:rPr>
  </w:style>
  <w:style w:type="paragraph" w:customStyle="1" w:styleId="228">
    <w:name w:val="*正文-表格"/>
    <w:basedOn w:val="1"/>
    <w:qFormat/>
    <w:uiPriority w:val="0"/>
    <w:rPr>
      <w:sz w:val="24"/>
      <w:szCs w:val="20"/>
    </w:rPr>
  </w:style>
  <w:style w:type="character" w:customStyle="1" w:styleId="229">
    <w:name w:val="font21"/>
    <w:basedOn w:val="44"/>
    <w:qFormat/>
    <w:uiPriority w:val="0"/>
    <w:rPr>
      <w:rFonts w:hint="eastAsia" w:ascii="宋体" w:hAnsi="宋体" w:eastAsia="宋体" w:cs="宋体"/>
      <w:b/>
      <w:bCs/>
      <w:color w:val="000000"/>
      <w:sz w:val="28"/>
      <w:szCs w:val="28"/>
      <w:u w:val="none"/>
    </w:rPr>
  </w:style>
  <w:style w:type="paragraph" w:customStyle="1" w:styleId="230">
    <w:name w:val="标题 5（有编号）（绿盟科技）"/>
    <w:basedOn w:val="1"/>
    <w:next w:val="231"/>
    <w:qFormat/>
    <w:uiPriority w:val="99"/>
    <w:pPr>
      <w:keepNext/>
      <w:keepLines/>
      <w:numPr>
        <w:ilvl w:val="4"/>
        <w:numId w:val="1"/>
      </w:numPr>
      <w:spacing w:before="280" w:after="156" w:line="376" w:lineRule="auto"/>
      <w:jc w:val="left"/>
      <w:outlineLvl w:val="4"/>
    </w:pPr>
    <w:rPr>
      <w:rFonts w:ascii="Arial" w:hAnsi="Arial" w:eastAsia="黑体"/>
      <w:b/>
      <w:sz w:val="24"/>
      <w:szCs w:val="28"/>
    </w:rPr>
  </w:style>
  <w:style w:type="paragraph" w:customStyle="1" w:styleId="231">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232">
    <w:name w:val="投标文件正文"/>
    <w:basedOn w:val="1"/>
    <w:qFormat/>
    <w:uiPriority w:val="0"/>
    <w:pPr>
      <w:spacing w:before="40" w:after="40" w:line="400" w:lineRule="exact"/>
      <w:ind w:firstLine="200"/>
    </w:pPr>
    <w:rPr>
      <w:sz w:val="24"/>
    </w:rPr>
  </w:style>
  <w:style w:type="paragraph" w:customStyle="1" w:styleId="233">
    <w:name w:val="标题 21"/>
    <w:basedOn w:val="1"/>
    <w:next w:val="1"/>
    <w:qFormat/>
    <w:uiPriority w:val="0"/>
    <w:pPr>
      <w:keepNext/>
      <w:keepLines/>
      <w:tabs>
        <w:tab w:val="left" w:pos="0"/>
      </w:tabs>
      <w:spacing w:before="50"/>
      <w:jc w:val="left"/>
    </w:pPr>
    <w:rPr>
      <w:rFonts w:ascii="Arial" w:hAnsi="Arial" w:eastAsia="黑体"/>
      <w:sz w:val="32"/>
      <w:szCs w:val="20"/>
    </w:rPr>
  </w:style>
  <w:style w:type="paragraph" w:customStyle="1" w:styleId="234">
    <w:name w:val="BodyTextIndent"/>
    <w:basedOn w:val="1"/>
    <w:next w:val="235"/>
    <w:qFormat/>
    <w:uiPriority w:val="0"/>
    <w:pPr>
      <w:spacing w:after="120"/>
      <w:ind w:left="420"/>
    </w:pPr>
  </w:style>
  <w:style w:type="paragraph" w:customStyle="1" w:styleId="235">
    <w:name w:val="EnvelopeReturn"/>
    <w:basedOn w:val="1"/>
    <w:qFormat/>
    <w:uiPriority w:val="0"/>
    <w:rPr>
      <w:rFonts w:ascii="Arial" w:hAnsi="Arial"/>
    </w:rPr>
  </w:style>
  <w:style w:type="paragraph" w:customStyle="1" w:styleId="236">
    <w:name w:val="Table Paragraph"/>
    <w:basedOn w:val="1"/>
    <w:qFormat/>
    <w:uiPriority w:val="1"/>
    <w:pPr>
      <w:ind w:left="107"/>
    </w:pPr>
    <w:rPr>
      <w:rFonts w:ascii="宋体" w:hAnsi="宋体" w:cs="宋体"/>
    </w:rPr>
  </w:style>
  <w:style w:type="paragraph" w:customStyle="1" w:styleId="237">
    <w:name w:val="列出段落1"/>
    <w:basedOn w:val="1"/>
    <w:qFormat/>
    <w:uiPriority w:val="34"/>
    <w:pPr>
      <w:ind w:left="480"/>
      <w:jc w:val="left"/>
    </w:pPr>
    <w:rPr>
      <w:rFonts w:ascii="Calibri" w:hAnsi="Calibri" w:eastAsia="PMingLiU"/>
      <w:sz w:val="24"/>
      <w:szCs w:val="20"/>
      <w:lang w:eastAsia="zh-TW"/>
    </w:rPr>
  </w:style>
  <w:style w:type="paragraph" w:customStyle="1" w:styleId="238">
    <w:name w:val="正文文本缩进1"/>
    <w:qFormat/>
    <w:uiPriority w:val="0"/>
    <w:pPr>
      <w:widowControl w:val="0"/>
      <w:spacing w:after="120"/>
      <w:ind w:left="420"/>
      <w:jc w:val="both"/>
    </w:pPr>
    <w:rPr>
      <w:rFonts w:ascii="Times New Roman" w:hAnsi="Times New Roman" w:eastAsia="宋体" w:cs="Times New Roman"/>
      <w:sz w:val="21"/>
      <w:szCs w:val="24"/>
      <w:lang w:val="en-US" w:eastAsia="zh-CN" w:bidi="ar-SA"/>
    </w:rPr>
  </w:style>
  <w:style w:type="character" w:customStyle="1" w:styleId="239">
    <w:name w:val="font51"/>
    <w:qFormat/>
    <w:uiPriority w:val="0"/>
    <w:rPr>
      <w:rFonts w:hint="eastAsia" w:ascii="微软雅黑" w:hAnsi="微软雅黑" w:eastAsia="微软雅黑" w:cs="微软雅黑"/>
      <w:color w:val="000000"/>
      <w:sz w:val="16"/>
      <w:szCs w:val="16"/>
      <w:u w:val="none"/>
    </w:rPr>
  </w:style>
  <w:style w:type="table" w:customStyle="1" w:styleId="240">
    <w:name w:val="Table Normal"/>
    <w:semiHidden/>
    <w:unhideWhenUsed/>
    <w:qFormat/>
    <w:uiPriority w:val="0"/>
    <w:tblPr>
      <w:tblCellMar>
        <w:top w:w="0" w:type="dxa"/>
        <w:left w:w="0" w:type="dxa"/>
        <w:bottom w:w="0" w:type="dxa"/>
        <w:right w:w="0" w:type="dxa"/>
      </w:tblCellMar>
    </w:tblPr>
  </w:style>
  <w:style w:type="character" w:customStyle="1" w:styleId="241">
    <w:name w:val="font01"/>
    <w:basedOn w:val="44"/>
    <w:qFormat/>
    <w:uiPriority w:val="0"/>
    <w:rPr>
      <w:rFonts w:hint="default" w:ascii="Times New Roman" w:hAnsi="Times New Roman" w:cs="Times New Roman"/>
      <w:color w:val="000000"/>
      <w:sz w:val="23"/>
      <w:szCs w:val="2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A4666510-99CD-4EF4-A4D0-6EAFFD83B4FB}">
  <ds:schemaRefs/>
</ds:datastoreItem>
</file>

<file path=customXml/itemProps4.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3848</Words>
  <Characters>3917</Characters>
  <Lines>28</Lines>
  <Paragraphs>8</Paragraphs>
  <TotalTime>67</TotalTime>
  <ScaleCrop>false</ScaleCrop>
  <LinksUpToDate>false</LinksUpToDate>
  <CharactersWithSpaces>3938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2025-11-20T09:26:00Z</dcterms:created>
  <dc:creator>Administrator</dc:creator>
  <cp:lastModifiedBy>南京南大尚诚软件科技有限公司</cp:lastModifiedBy>
  <cp:lastPrinted>2022-11-28T10:56:00Z</cp:lastPrinted>
  <dcterms:modified xsi:type="dcterms:W3CDTF">2025-11-21T06:58:02Z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749EF65C129F428EB7307302ED6AB4FA_13</vt:lpwstr>
  </property>
  <property fmtid="{D5CDD505-2E9C-101B-9397-08002B2CF9AE}" pid="4" name="KSOTemplateDocerSaveRecord">
    <vt:lpwstr>eyJoZGlkIjoiZWY0MmVjZGMxMmM3YjBhZDQ3MTNlN2UxZmZlMzE5ZjAiLCJ1c2VySWQiOiIzOTU1Mjc0MTMifQ==</vt:lpwstr>
  </property>
</Properties>
</file>