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/>
        </w:rPr>
      </w:pPr>
      <w:r>
        <w:rPr>
          <w:rFonts w:hint="eastAsia"/>
        </w:rPr>
        <w:t>如有建议或意见，请以书面形式并加盖公章、注明联系人、联系方式，于2025年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日17:00之前送至我单位，逾期不受理（如邮寄，2025年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日17:00之后到达本公司</w:t>
      </w:r>
    </w:p>
    <w:p>
      <w:pPr>
        <w:widowControl/>
        <w:jc w:val="both"/>
        <w:rPr>
          <w:rFonts w:hint="eastAsia"/>
        </w:rPr>
      </w:pPr>
      <w:r>
        <w:rPr>
          <w:rFonts w:hint="eastAsia"/>
        </w:rPr>
        <w:t>的邮件将不再受理）。</w:t>
      </w: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br w:type="page"/>
      </w:r>
      <w:bookmarkStart w:id="0" w:name="_GoBack"/>
      <w:bookmarkEnd w:id="0"/>
    </w:p>
    <w:p>
      <w:pPr>
        <w:spacing w:line="336" w:lineRule="auto"/>
        <w:ind w:firstLine="723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项目要求（采购需求）</w:t>
      </w:r>
    </w:p>
    <w:p>
      <w:pPr>
        <w:widowControl w:val="0"/>
        <w:spacing w:line="360" w:lineRule="auto"/>
        <w:ind w:firstLine="482"/>
        <w:jc w:val="both"/>
        <w:rPr>
          <w:rFonts w:hint="eastAsia" w:ascii="宋体" w:hAnsi="宋体" w:eastAsia="宋体" w:cs="Times New Roman"/>
          <w:b/>
          <w:color w:val="auto"/>
          <w:sz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color w:val="auto"/>
          <w:sz w:val="24"/>
          <w:highlight w:val="none"/>
          <w:lang w:val="en-US" w:eastAsia="zh-CN" w:bidi="ar-SA"/>
        </w:rPr>
        <w:t>项目内容</w:t>
      </w:r>
    </w:p>
    <w:p>
      <w:pPr>
        <w:widowControl w:val="0"/>
        <w:spacing w:line="360" w:lineRule="auto"/>
        <w:ind w:firstLine="480"/>
        <w:rPr>
          <w:rFonts w:hint="eastAsia" w:ascii="宋体" w:hAnsi="宋体" w:eastAsia="宋体" w:cs="Times New Roman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highlight w:val="none"/>
        </w:rPr>
        <w:t>1.项目名称：</w:t>
      </w:r>
      <w:r>
        <w:rPr>
          <w:rFonts w:hint="eastAsia" w:ascii="宋体" w:hAnsi="宋体" w:eastAsia="宋体" w:cs="Times New Roman"/>
          <w:color w:val="auto"/>
          <w:kern w:val="0"/>
          <w:sz w:val="24"/>
          <w:highlight w:val="none"/>
          <w:lang w:eastAsia="zh-CN"/>
        </w:rPr>
        <w:t>中共丰县县委宣传部农村电影公益放映项目</w:t>
      </w:r>
    </w:p>
    <w:p>
      <w:pPr>
        <w:widowControl w:val="0"/>
        <w:spacing w:line="360" w:lineRule="auto"/>
        <w:ind w:firstLine="480"/>
        <w:rPr>
          <w:rFonts w:hint="eastAsia" w:ascii="宋体" w:hAnsi="宋体" w:eastAsia="宋体" w:cs="Times New Roman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highlight w:val="none"/>
        </w:rPr>
        <w:t>2.项目预算:本项目不接受超过</w:t>
      </w:r>
      <w:r>
        <w:rPr>
          <w:rFonts w:hint="eastAsia" w:ascii="宋体" w:hAnsi="宋体" w:eastAsia="宋体" w:cs="Times New Roman"/>
          <w:color w:val="auto"/>
          <w:kern w:val="0"/>
          <w:sz w:val="24"/>
          <w:highlight w:val="none"/>
          <w:lang w:val="en-US" w:eastAsia="zh-CN"/>
        </w:rPr>
        <w:t>80</w:t>
      </w:r>
      <w:r>
        <w:rPr>
          <w:rFonts w:hint="eastAsia" w:ascii="宋体" w:hAnsi="宋体" w:eastAsia="宋体" w:cs="Times New Roman"/>
          <w:color w:val="auto"/>
          <w:kern w:val="0"/>
          <w:sz w:val="24"/>
          <w:highlight w:val="none"/>
        </w:rPr>
        <w:t>万元人民币（采购项目预算金额）的报价。报价包含完成项目所需的全部费用，采购人不再支付报价以外的任何费用。</w:t>
      </w:r>
    </w:p>
    <w:p>
      <w:pPr>
        <w:widowControl w:val="0"/>
        <w:spacing w:line="360" w:lineRule="auto"/>
        <w:ind w:firstLine="480"/>
        <w:rPr>
          <w:rFonts w:hint="eastAsia" w:ascii="宋体" w:hAnsi="宋体" w:eastAsia="宋体" w:cs="Times New Roman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highlight w:val="none"/>
        </w:rPr>
        <w:t>3.质量标准：</w:t>
      </w:r>
      <w:r>
        <w:rPr>
          <w:rFonts w:hint="eastAsia" w:ascii="宋体" w:hAnsi="宋体" w:eastAsia="宋体" w:cs="Times New Roman"/>
          <w:color w:val="auto"/>
          <w:kern w:val="0"/>
          <w:sz w:val="24"/>
          <w:highlight w:val="none"/>
          <w:lang w:val="en-US" w:eastAsia="zh-CN"/>
        </w:rPr>
        <w:t>合格，符合</w:t>
      </w:r>
      <w:r>
        <w:rPr>
          <w:rFonts w:hint="eastAsia" w:ascii="宋体" w:hAnsi="宋体" w:eastAsia="宋体" w:cs="Times New Roman"/>
          <w:color w:val="auto"/>
          <w:kern w:val="0"/>
          <w:sz w:val="24"/>
          <w:highlight w:val="none"/>
        </w:rPr>
        <w:t>采购人要求。</w:t>
      </w:r>
    </w:p>
    <w:p>
      <w:pPr>
        <w:widowControl w:val="0"/>
        <w:spacing w:line="360" w:lineRule="auto"/>
        <w:ind w:firstLine="480"/>
        <w:rPr>
          <w:rFonts w:hint="default" w:ascii="宋体" w:hAnsi="宋体" w:eastAsia="宋体" w:cs="Times New Roman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highlight w:val="none"/>
          <w:lang w:val="en-US" w:eastAsia="zh-CN"/>
        </w:rPr>
        <w:t>4.项目期限：自签订合同之日起至2026年6月30日（共放映4300场）。</w:t>
      </w:r>
    </w:p>
    <w:p>
      <w:pPr>
        <w:widowControl w:val="0"/>
        <w:spacing w:line="360" w:lineRule="auto"/>
        <w:ind w:firstLine="482"/>
        <w:jc w:val="both"/>
        <w:rPr>
          <w:rFonts w:hint="default" w:ascii="宋体" w:hAnsi="宋体" w:eastAsia="宋体" w:cs="Times New Roman"/>
          <w:b/>
          <w:color w:val="auto"/>
          <w:sz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sz w:val="24"/>
          <w:highlight w:val="none"/>
          <w:lang w:val="en-US" w:eastAsia="zh-CN" w:bidi="ar-SA"/>
        </w:rPr>
        <w:t>二、项目内容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  <w:t>在全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县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  <w:t>辖区内的每个行政村放映数字电影12场，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共放映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  <w:t>4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300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  <w:t>场。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  <w:t>影片内容为:一部故事片和一部科教片，具体影片在数字电影交易平台自行订购并报有关部门备案。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  <w:t>用于农村电影公共服务的数字电影放映设备必须是通过国家电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影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  <w:t>局入网认定的型号，须经过国家电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影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eastAsia="zh-CN"/>
        </w:rPr>
        <w:t>局电影数字节目管理中心注册;数字放映设备必须加装GPS监管模块，接入江苏省农村数字电影监管平台。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kern w:val="0"/>
          <w:sz w:val="24"/>
          <w:highlight w:val="none"/>
          <w:lang w:val="en-US" w:eastAsia="zh-CN"/>
        </w:rPr>
        <w:t>三、项目要求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kern w:val="0"/>
          <w:sz w:val="24"/>
          <w:highlight w:val="none"/>
          <w:lang w:val="en-US" w:eastAsia="zh-CN"/>
        </w:rPr>
        <w:t>（一）安全管理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1.放映员必须选择开阔、合适的放映场地，不得在公路边、电线下、井口等不安全地主进行放映；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2.每次进行放映活动，必须有取得《放映资格证》的放映员操作，放映运行中要加强现场的安全检查，落实安全措施，确保场地无安全隐患；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3.设备的架设要按规范操作，银幕张挂要平整牢固，使用银幕支架时，严格按照程序进行，注意风向做到安全可靠；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4.正确使用电源，保证用电安全，防止触电事故；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5.采购人有权对成交供应商的放映情况进行监管和考核。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kern w:val="0"/>
          <w:sz w:val="24"/>
          <w:highlight w:val="none"/>
          <w:lang w:val="en-US" w:eastAsia="zh-CN"/>
        </w:rPr>
        <w:t>（二）服务标准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1.放映时不得出现重大技术失误；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2.不得对农村电影公益放映场次弄虚作假；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3.按时保质保量完成农村电影公益放映场次；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4.不得放映盗版、侵权音像制品和电影制品；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5.不得有乱收费现象；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6.投影机能正常使用，亮度达到要求；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7.服务器能正常导入节目，正常播放影片；功放正常工作，各声道能正常还音；</w:t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8.银幕完好，并保持干净、整洁；</w:t>
      </w:r>
    </w:p>
    <w:p>
      <w:pPr>
        <w:spacing w:line="360" w:lineRule="auto"/>
        <w:ind w:firstLine="480"/>
        <w:rPr>
          <w:rFonts w:hint="default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9.音箱和支架等能正常使用，各部件连接正常，无接触不良问题。</w:t>
      </w:r>
    </w:p>
    <w:p>
      <w:pPr>
        <w:ind w:firstLine="482" w:firstLineChars="200"/>
      </w:pPr>
      <w:r>
        <w:rPr>
          <w:rFonts w:hint="eastAsia" w:ascii="宋体" w:hAnsi="宋体" w:eastAsia="宋体" w:cs="Times New Roman"/>
          <w:b/>
          <w:color w:val="auto"/>
          <w:kern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auto"/>
          <w:kern w:val="0"/>
          <w:sz w:val="24"/>
          <w:highlight w:val="none"/>
        </w:rPr>
        <w:t>、其他要求：</w:t>
      </w:r>
      <w:r>
        <w:rPr>
          <w:rFonts w:hint="eastAsia" w:ascii="宋体" w:hAnsi="宋体" w:eastAsia="宋体" w:cs="Times New Roman"/>
          <w:color w:val="auto"/>
          <w:kern w:val="0"/>
          <w:sz w:val="24"/>
          <w:highlight w:val="none"/>
        </w:rPr>
        <w:t>详见本项目磋商文件附件《拟签订的合同文本》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2"/>
          <w:highlight w:val="none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D8E319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7D1460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2E3076F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2025-11-20T01:38:02Z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