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78305">
      <w:pPr>
        <w:spacing w:line="480" w:lineRule="auto"/>
        <w:ind w:firstLine="480" w:firstLineChars="200"/>
        <w:rPr>
          <w:rFonts w:hint="eastAsia" w:ascii="宋体" w:hAnsi="宋体" w:eastAsia="宋体" w:cs="Times New Roman"/>
          <w:color w:val="000000"/>
          <w:kern w:val="0"/>
          <w:sz w:val="24"/>
          <w:szCs w:val="24"/>
          <w:lang w:eastAsia="zh-CN"/>
        </w:rPr>
      </w:pPr>
      <w:bookmarkStart w:id="0" w:name="_GoBack"/>
      <w:bookmarkEnd w:id="0"/>
      <w:r>
        <w:rPr>
          <w:rFonts w:hint="eastAsia" w:ascii="宋体" w:hAnsi="宋体" w:eastAsia="宋体" w:cs="Times New Roman"/>
          <w:color w:val="000000"/>
          <w:kern w:val="0"/>
          <w:sz w:val="24"/>
          <w:szCs w:val="24"/>
          <w:lang w:eastAsia="zh-CN"/>
        </w:rPr>
        <w:t>如有建议或意见，请以书面形式并加盖公章、注明联系人、联系方式，于202</w:t>
      </w:r>
      <w:r>
        <w:rPr>
          <w:rFonts w:hint="eastAsia" w:ascii="宋体" w:hAnsi="宋体" w:eastAsia="宋体" w:cs="Times New Roman"/>
          <w:color w:val="000000"/>
          <w:kern w:val="0"/>
          <w:sz w:val="24"/>
          <w:szCs w:val="24"/>
          <w:lang w:val="en-US" w:eastAsia="zh-CN"/>
        </w:rPr>
        <w:t>5</w:t>
      </w:r>
      <w:r>
        <w:rPr>
          <w:rFonts w:hint="eastAsia" w:ascii="宋体" w:hAnsi="宋体" w:eastAsia="宋体" w:cs="Times New Roman"/>
          <w:color w:val="000000"/>
          <w:kern w:val="0"/>
          <w:sz w:val="24"/>
          <w:szCs w:val="24"/>
          <w:lang w:eastAsia="zh-CN"/>
        </w:rPr>
        <w:t>年</w:t>
      </w:r>
      <w:r>
        <w:rPr>
          <w:rFonts w:hint="eastAsia" w:ascii="宋体" w:hAnsi="宋体" w:eastAsia="宋体" w:cs="Times New Roman"/>
          <w:color w:val="000000"/>
          <w:kern w:val="0"/>
          <w:sz w:val="24"/>
          <w:szCs w:val="24"/>
          <w:lang w:val="en-US" w:eastAsia="zh-CN"/>
        </w:rPr>
        <w:t>11</w:t>
      </w:r>
      <w:r>
        <w:rPr>
          <w:rFonts w:hint="eastAsia" w:ascii="宋体" w:hAnsi="宋体" w:eastAsia="宋体" w:cs="Times New Roman"/>
          <w:color w:val="000000"/>
          <w:kern w:val="0"/>
          <w:sz w:val="24"/>
          <w:szCs w:val="24"/>
          <w:lang w:eastAsia="zh-CN"/>
        </w:rPr>
        <w:t>月</w:t>
      </w:r>
      <w:r>
        <w:rPr>
          <w:rFonts w:hint="eastAsia" w:ascii="宋体" w:hAnsi="宋体" w:eastAsia="宋体" w:cs="Times New Roman"/>
          <w:color w:val="000000"/>
          <w:kern w:val="0"/>
          <w:sz w:val="24"/>
          <w:szCs w:val="24"/>
          <w:lang w:val="en-US" w:eastAsia="zh-CN"/>
        </w:rPr>
        <w:t>13</w:t>
      </w:r>
      <w:r>
        <w:rPr>
          <w:rFonts w:hint="eastAsia" w:ascii="宋体" w:hAnsi="宋体" w:eastAsia="宋体" w:cs="Times New Roman"/>
          <w:color w:val="000000"/>
          <w:kern w:val="0"/>
          <w:sz w:val="24"/>
          <w:szCs w:val="24"/>
          <w:lang w:eastAsia="zh-CN"/>
        </w:rPr>
        <w:t>日17:</w:t>
      </w:r>
      <w:r>
        <w:rPr>
          <w:rFonts w:hint="eastAsia" w:ascii="宋体" w:hAnsi="宋体" w:eastAsia="宋体" w:cs="Times New Roman"/>
          <w:color w:val="000000"/>
          <w:kern w:val="0"/>
          <w:sz w:val="24"/>
          <w:szCs w:val="24"/>
          <w:lang w:val="en-US" w:eastAsia="zh-CN"/>
        </w:rPr>
        <w:t>3</w:t>
      </w:r>
      <w:r>
        <w:rPr>
          <w:rFonts w:hint="eastAsia" w:ascii="宋体" w:hAnsi="宋体" w:eastAsia="宋体" w:cs="Times New Roman"/>
          <w:color w:val="000000"/>
          <w:kern w:val="0"/>
          <w:sz w:val="24"/>
          <w:szCs w:val="24"/>
          <w:lang w:eastAsia="zh-CN"/>
        </w:rPr>
        <w:t>0之前送至我单位，逾期不受理（如邮寄，202</w:t>
      </w:r>
      <w:r>
        <w:rPr>
          <w:rFonts w:hint="eastAsia" w:ascii="宋体" w:hAnsi="宋体" w:eastAsia="宋体" w:cs="Times New Roman"/>
          <w:color w:val="000000"/>
          <w:kern w:val="0"/>
          <w:sz w:val="24"/>
          <w:szCs w:val="24"/>
          <w:lang w:val="en-US" w:eastAsia="zh-CN"/>
        </w:rPr>
        <w:t>5</w:t>
      </w:r>
      <w:r>
        <w:rPr>
          <w:rFonts w:hint="eastAsia" w:ascii="宋体" w:hAnsi="宋体" w:eastAsia="宋体" w:cs="Times New Roman"/>
          <w:color w:val="000000"/>
          <w:kern w:val="0"/>
          <w:sz w:val="24"/>
          <w:szCs w:val="24"/>
          <w:lang w:eastAsia="zh-CN"/>
        </w:rPr>
        <w:t>年</w:t>
      </w:r>
      <w:r>
        <w:rPr>
          <w:rFonts w:hint="eastAsia" w:ascii="宋体" w:hAnsi="宋体" w:eastAsia="宋体" w:cs="Times New Roman"/>
          <w:color w:val="000000"/>
          <w:kern w:val="0"/>
          <w:sz w:val="24"/>
          <w:szCs w:val="24"/>
          <w:lang w:val="en-US" w:eastAsia="zh-CN"/>
        </w:rPr>
        <w:t>11</w:t>
      </w:r>
      <w:r>
        <w:rPr>
          <w:rFonts w:hint="eastAsia" w:ascii="宋体" w:hAnsi="宋体" w:eastAsia="宋体" w:cs="Times New Roman"/>
          <w:color w:val="000000"/>
          <w:kern w:val="0"/>
          <w:sz w:val="24"/>
          <w:szCs w:val="24"/>
          <w:lang w:eastAsia="zh-CN"/>
        </w:rPr>
        <w:t>月</w:t>
      </w:r>
      <w:r>
        <w:rPr>
          <w:rFonts w:hint="eastAsia" w:ascii="宋体" w:hAnsi="宋体" w:eastAsia="宋体" w:cs="Times New Roman"/>
          <w:color w:val="000000"/>
          <w:kern w:val="0"/>
          <w:sz w:val="24"/>
          <w:szCs w:val="24"/>
          <w:lang w:val="en-US" w:eastAsia="zh-CN"/>
        </w:rPr>
        <w:t>13</w:t>
      </w:r>
      <w:r>
        <w:rPr>
          <w:rFonts w:hint="eastAsia" w:ascii="宋体" w:hAnsi="宋体" w:eastAsia="宋体" w:cs="Times New Roman"/>
          <w:color w:val="000000"/>
          <w:kern w:val="0"/>
          <w:sz w:val="24"/>
          <w:szCs w:val="24"/>
          <w:lang w:eastAsia="zh-CN"/>
        </w:rPr>
        <w:t>日17:</w:t>
      </w:r>
      <w:r>
        <w:rPr>
          <w:rFonts w:hint="eastAsia" w:ascii="宋体" w:hAnsi="宋体" w:eastAsia="宋体" w:cs="Times New Roman"/>
          <w:color w:val="000000"/>
          <w:kern w:val="0"/>
          <w:sz w:val="24"/>
          <w:szCs w:val="24"/>
          <w:lang w:val="en-US" w:eastAsia="zh-CN"/>
        </w:rPr>
        <w:t>3</w:t>
      </w:r>
      <w:r>
        <w:rPr>
          <w:rFonts w:hint="eastAsia" w:ascii="宋体" w:hAnsi="宋体" w:eastAsia="宋体" w:cs="Times New Roman"/>
          <w:color w:val="000000"/>
          <w:kern w:val="0"/>
          <w:sz w:val="24"/>
          <w:szCs w:val="24"/>
          <w:lang w:eastAsia="zh-CN"/>
        </w:rPr>
        <w:t>0之后到达本公司的邮件将不再受理）。</w:t>
      </w:r>
    </w:p>
    <w:p w14:paraId="1047B9ED">
      <w:pPr>
        <w:spacing w:line="480" w:lineRule="auto"/>
        <w:rPr>
          <w:rFonts w:hint="eastAsia" w:ascii="宋体" w:hAnsi="宋体" w:eastAsia="宋体" w:cs="Times New Roman"/>
          <w:color w:val="000000"/>
          <w:kern w:val="0"/>
          <w:sz w:val="24"/>
          <w:szCs w:val="24"/>
          <w:lang w:eastAsia="zh-CN"/>
        </w:rPr>
      </w:pPr>
    </w:p>
    <w:p w14:paraId="5376B06F">
      <w:pPr>
        <w:rPr>
          <w:rFonts w:hint="eastAsia" w:ascii="宋体" w:hAnsi="宋体" w:eastAsia="宋体" w:cs="Times New Roman"/>
          <w:color w:val="000000"/>
          <w:kern w:val="0"/>
          <w:sz w:val="24"/>
          <w:szCs w:val="24"/>
          <w:lang w:eastAsia="zh-CN"/>
        </w:rPr>
      </w:pPr>
    </w:p>
    <w:p w14:paraId="5380D3D1">
      <w:pPr>
        <w:rPr>
          <w:rFonts w:hint="eastAsia" w:ascii="宋体" w:hAnsi="宋体" w:eastAsia="宋体" w:cs="Times New Roman"/>
          <w:color w:val="000000"/>
          <w:kern w:val="0"/>
          <w:sz w:val="24"/>
          <w:szCs w:val="24"/>
          <w:lang w:eastAsia="zh-CN"/>
        </w:rPr>
      </w:pPr>
    </w:p>
    <w:p w14:paraId="69E192E8">
      <w:pPr>
        <w:rPr>
          <w:rFonts w:hint="eastAsia" w:ascii="宋体" w:hAnsi="宋体" w:eastAsia="宋体" w:cs="Times New Roman"/>
          <w:color w:val="000000"/>
          <w:kern w:val="0"/>
          <w:sz w:val="24"/>
          <w:szCs w:val="24"/>
          <w:lang w:eastAsia="zh-CN"/>
        </w:rPr>
      </w:pPr>
    </w:p>
    <w:p w14:paraId="614FB5B5">
      <w:pPr>
        <w:rPr>
          <w:rFonts w:hint="eastAsia" w:ascii="宋体" w:hAnsi="宋体" w:eastAsia="宋体" w:cs="Times New Roman"/>
          <w:color w:val="000000"/>
          <w:kern w:val="0"/>
          <w:sz w:val="24"/>
          <w:szCs w:val="24"/>
          <w:lang w:eastAsia="zh-CN"/>
        </w:rPr>
      </w:pPr>
    </w:p>
    <w:p w14:paraId="3638D965">
      <w:pPr>
        <w:rPr>
          <w:rFonts w:hint="eastAsia" w:ascii="宋体" w:hAnsi="宋体" w:eastAsia="宋体" w:cs="Times New Roman"/>
          <w:color w:val="000000"/>
          <w:kern w:val="0"/>
          <w:sz w:val="24"/>
          <w:szCs w:val="24"/>
          <w:lang w:eastAsia="zh-CN"/>
        </w:rPr>
      </w:pPr>
    </w:p>
    <w:p w14:paraId="11D790C1">
      <w:pPr>
        <w:rPr>
          <w:rFonts w:hint="eastAsia" w:ascii="宋体" w:hAnsi="宋体" w:eastAsia="宋体" w:cs="Times New Roman"/>
          <w:color w:val="000000"/>
          <w:kern w:val="0"/>
          <w:sz w:val="24"/>
          <w:szCs w:val="24"/>
          <w:lang w:eastAsia="zh-CN"/>
        </w:rPr>
      </w:pPr>
    </w:p>
    <w:p w14:paraId="1D3BF5E3">
      <w:pPr>
        <w:rPr>
          <w:rFonts w:hint="eastAsia" w:ascii="宋体" w:hAnsi="宋体" w:eastAsia="宋体" w:cs="Times New Roman"/>
          <w:color w:val="000000"/>
          <w:kern w:val="0"/>
          <w:sz w:val="24"/>
          <w:szCs w:val="24"/>
          <w:lang w:eastAsia="zh-CN"/>
        </w:rPr>
      </w:pPr>
    </w:p>
    <w:p w14:paraId="53921993">
      <w:pPr>
        <w:rPr>
          <w:rFonts w:hint="eastAsia" w:ascii="宋体" w:hAnsi="宋体" w:eastAsia="宋体" w:cs="Times New Roman"/>
          <w:color w:val="000000"/>
          <w:kern w:val="0"/>
          <w:sz w:val="24"/>
          <w:szCs w:val="24"/>
          <w:lang w:eastAsia="zh-CN"/>
        </w:rPr>
      </w:pPr>
    </w:p>
    <w:p w14:paraId="1ACBA15F">
      <w:pPr>
        <w:rPr>
          <w:rFonts w:hint="eastAsia" w:ascii="宋体" w:hAnsi="宋体" w:eastAsia="宋体" w:cs="Times New Roman"/>
          <w:color w:val="000000"/>
          <w:kern w:val="0"/>
          <w:sz w:val="24"/>
          <w:szCs w:val="24"/>
          <w:lang w:eastAsia="zh-CN"/>
        </w:rPr>
      </w:pPr>
    </w:p>
    <w:p w14:paraId="49C10968">
      <w:pPr>
        <w:rPr>
          <w:rFonts w:hint="eastAsia" w:ascii="宋体" w:hAnsi="宋体" w:eastAsia="宋体" w:cs="Times New Roman"/>
          <w:color w:val="000000"/>
          <w:kern w:val="0"/>
          <w:sz w:val="24"/>
          <w:szCs w:val="24"/>
          <w:lang w:eastAsia="zh-CN"/>
        </w:rPr>
      </w:pPr>
    </w:p>
    <w:p w14:paraId="5540FA13">
      <w:pPr>
        <w:rPr>
          <w:rFonts w:hint="eastAsia" w:ascii="宋体" w:hAnsi="宋体" w:eastAsia="宋体" w:cs="Times New Roman"/>
          <w:color w:val="000000"/>
          <w:kern w:val="0"/>
          <w:sz w:val="24"/>
          <w:szCs w:val="24"/>
          <w:lang w:eastAsia="zh-CN"/>
        </w:rPr>
      </w:pPr>
    </w:p>
    <w:p w14:paraId="5B4FA046">
      <w:pPr>
        <w:rPr>
          <w:rFonts w:hint="eastAsia" w:ascii="宋体" w:hAnsi="宋体" w:eastAsia="宋体" w:cs="Times New Roman"/>
          <w:color w:val="000000"/>
          <w:kern w:val="0"/>
          <w:sz w:val="24"/>
          <w:szCs w:val="24"/>
          <w:lang w:eastAsia="zh-CN"/>
        </w:rPr>
      </w:pPr>
    </w:p>
    <w:p w14:paraId="4BB79C99">
      <w:pPr>
        <w:rPr>
          <w:rFonts w:hint="eastAsia" w:ascii="宋体" w:hAnsi="宋体" w:eastAsia="宋体" w:cs="Times New Roman"/>
          <w:color w:val="000000"/>
          <w:kern w:val="0"/>
          <w:sz w:val="24"/>
          <w:szCs w:val="24"/>
          <w:lang w:eastAsia="zh-CN"/>
        </w:rPr>
      </w:pPr>
    </w:p>
    <w:p w14:paraId="50C65C8B">
      <w:pPr>
        <w:rPr>
          <w:rFonts w:hint="eastAsia" w:ascii="宋体" w:hAnsi="宋体" w:eastAsia="宋体" w:cs="Times New Roman"/>
          <w:color w:val="000000"/>
          <w:kern w:val="0"/>
          <w:sz w:val="24"/>
          <w:szCs w:val="24"/>
          <w:lang w:eastAsia="zh-CN"/>
        </w:rPr>
      </w:pPr>
    </w:p>
    <w:p w14:paraId="5FC270A8">
      <w:pPr>
        <w:rPr>
          <w:rFonts w:hint="eastAsia" w:ascii="宋体" w:hAnsi="宋体" w:eastAsia="宋体" w:cs="Times New Roman"/>
          <w:color w:val="000000"/>
          <w:kern w:val="0"/>
          <w:sz w:val="24"/>
          <w:szCs w:val="24"/>
          <w:lang w:eastAsia="zh-CN"/>
        </w:rPr>
      </w:pPr>
    </w:p>
    <w:p w14:paraId="5A118E58">
      <w:pPr>
        <w:rPr>
          <w:rFonts w:hint="eastAsia" w:ascii="宋体" w:hAnsi="宋体" w:eastAsia="宋体" w:cs="Times New Roman"/>
          <w:color w:val="000000"/>
          <w:kern w:val="0"/>
          <w:sz w:val="24"/>
          <w:szCs w:val="24"/>
          <w:lang w:eastAsia="zh-CN"/>
        </w:rPr>
      </w:pPr>
    </w:p>
    <w:p w14:paraId="4C10B5CC">
      <w:pPr>
        <w:rPr>
          <w:rFonts w:hint="eastAsia" w:ascii="宋体" w:hAnsi="宋体" w:eastAsia="宋体" w:cs="Times New Roman"/>
          <w:color w:val="000000"/>
          <w:kern w:val="0"/>
          <w:sz w:val="24"/>
          <w:szCs w:val="24"/>
          <w:lang w:eastAsia="zh-CN"/>
        </w:rPr>
      </w:pPr>
    </w:p>
    <w:p w14:paraId="3F1C8829">
      <w:pPr>
        <w:rPr>
          <w:rFonts w:hint="eastAsia" w:ascii="宋体" w:hAnsi="宋体" w:eastAsia="宋体" w:cs="Times New Roman"/>
          <w:color w:val="000000"/>
          <w:kern w:val="0"/>
          <w:sz w:val="24"/>
          <w:szCs w:val="24"/>
          <w:lang w:eastAsia="zh-CN"/>
        </w:rPr>
      </w:pPr>
    </w:p>
    <w:p w14:paraId="72239FA9">
      <w:pPr>
        <w:rPr>
          <w:rFonts w:hint="eastAsia" w:ascii="宋体" w:hAnsi="宋体" w:eastAsia="宋体" w:cs="Times New Roman"/>
          <w:color w:val="000000"/>
          <w:kern w:val="0"/>
          <w:sz w:val="24"/>
          <w:szCs w:val="24"/>
          <w:lang w:eastAsia="zh-CN"/>
        </w:rPr>
      </w:pPr>
    </w:p>
    <w:p w14:paraId="729D800E">
      <w:pPr>
        <w:rPr>
          <w:rFonts w:hint="eastAsia" w:ascii="宋体" w:hAnsi="宋体" w:eastAsia="宋体" w:cs="Times New Roman"/>
          <w:color w:val="000000"/>
          <w:kern w:val="0"/>
          <w:sz w:val="24"/>
          <w:szCs w:val="24"/>
          <w:lang w:eastAsia="zh-CN"/>
        </w:rPr>
      </w:pPr>
    </w:p>
    <w:p w14:paraId="75F16D81">
      <w:pPr>
        <w:rPr>
          <w:rFonts w:hint="eastAsia" w:ascii="宋体" w:hAnsi="宋体" w:eastAsia="宋体" w:cs="Times New Roman"/>
          <w:color w:val="000000"/>
          <w:kern w:val="0"/>
          <w:sz w:val="24"/>
          <w:szCs w:val="24"/>
          <w:lang w:eastAsia="zh-CN"/>
        </w:rPr>
      </w:pPr>
    </w:p>
    <w:p w14:paraId="12F7E6B1">
      <w:pPr>
        <w:rPr>
          <w:rFonts w:hint="eastAsia" w:ascii="宋体" w:hAnsi="宋体" w:eastAsia="宋体" w:cs="Times New Roman"/>
          <w:color w:val="000000"/>
          <w:kern w:val="0"/>
          <w:sz w:val="24"/>
          <w:szCs w:val="24"/>
          <w:lang w:eastAsia="zh-CN"/>
        </w:rPr>
      </w:pPr>
    </w:p>
    <w:p w14:paraId="073C601F">
      <w:pPr>
        <w:rPr>
          <w:rFonts w:hint="eastAsia" w:ascii="宋体" w:hAnsi="宋体" w:eastAsia="宋体" w:cs="Times New Roman"/>
          <w:color w:val="000000"/>
          <w:kern w:val="0"/>
          <w:sz w:val="24"/>
          <w:szCs w:val="24"/>
          <w:lang w:eastAsia="zh-CN"/>
        </w:rPr>
      </w:pPr>
    </w:p>
    <w:p w14:paraId="74B089A4">
      <w:pPr>
        <w:rPr>
          <w:rFonts w:hint="eastAsia" w:ascii="宋体" w:hAnsi="宋体" w:eastAsia="宋体" w:cs="Times New Roman"/>
          <w:color w:val="000000"/>
          <w:kern w:val="0"/>
          <w:sz w:val="24"/>
          <w:szCs w:val="24"/>
          <w:lang w:eastAsia="zh-CN"/>
        </w:rPr>
      </w:pPr>
    </w:p>
    <w:p w14:paraId="2C2ABD97">
      <w:pPr>
        <w:rPr>
          <w:rFonts w:hint="eastAsia" w:ascii="宋体" w:hAnsi="宋体" w:eastAsia="宋体" w:cs="Times New Roman"/>
          <w:color w:val="000000"/>
          <w:kern w:val="0"/>
          <w:sz w:val="24"/>
          <w:szCs w:val="24"/>
          <w:lang w:eastAsia="zh-CN"/>
        </w:rPr>
      </w:pPr>
    </w:p>
    <w:p w14:paraId="7CFC3FE5">
      <w:pPr>
        <w:rPr>
          <w:rFonts w:hint="eastAsia" w:ascii="宋体" w:hAnsi="宋体" w:eastAsia="宋体" w:cs="Times New Roman"/>
          <w:color w:val="000000"/>
          <w:kern w:val="0"/>
          <w:sz w:val="24"/>
          <w:szCs w:val="24"/>
          <w:lang w:eastAsia="zh-CN"/>
        </w:rPr>
      </w:pPr>
    </w:p>
    <w:p w14:paraId="3EBCDD3A">
      <w:pPr>
        <w:rPr>
          <w:rFonts w:hint="eastAsia" w:ascii="宋体" w:hAnsi="宋体" w:eastAsia="宋体" w:cs="Times New Roman"/>
          <w:color w:val="000000"/>
          <w:kern w:val="0"/>
          <w:sz w:val="24"/>
          <w:szCs w:val="24"/>
          <w:lang w:eastAsia="zh-CN"/>
        </w:rPr>
      </w:pPr>
    </w:p>
    <w:p w14:paraId="2873B506">
      <w:pPr>
        <w:rPr>
          <w:rFonts w:hint="eastAsia" w:ascii="宋体" w:hAnsi="宋体" w:eastAsia="宋体" w:cs="Times New Roman"/>
          <w:color w:val="000000"/>
          <w:kern w:val="0"/>
          <w:sz w:val="24"/>
          <w:szCs w:val="24"/>
          <w:lang w:eastAsia="zh-CN"/>
        </w:rPr>
      </w:pPr>
    </w:p>
    <w:p w14:paraId="17676B82">
      <w:pPr>
        <w:rPr>
          <w:rFonts w:hint="eastAsia" w:ascii="宋体" w:hAnsi="宋体" w:eastAsia="宋体" w:cs="Times New Roman"/>
          <w:color w:val="000000"/>
          <w:kern w:val="0"/>
          <w:sz w:val="24"/>
          <w:szCs w:val="24"/>
          <w:lang w:eastAsia="zh-CN"/>
        </w:rPr>
      </w:pPr>
    </w:p>
    <w:p w14:paraId="63D11849">
      <w:pPr>
        <w:rPr>
          <w:rFonts w:hint="eastAsia" w:ascii="宋体" w:hAnsi="宋体" w:eastAsia="宋体" w:cs="Times New Roman"/>
          <w:color w:val="000000"/>
          <w:kern w:val="0"/>
          <w:sz w:val="24"/>
          <w:szCs w:val="24"/>
          <w:lang w:eastAsia="zh-CN"/>
        </w:rPr>
      </w:pPr>
    </w:p>
    <w:p w14:paraId="30AF379D">
      <w:pPr>
        <w:rPr>
          <w:rFonts w:hint="eastAsia" w:ascii="宋体" w:hAnsi="宋体" w:eastAsia="宋体" w:cs="Times New Roman"/>
          <w:color w:val="000000"/>
          <w:kern w:val="0"/>
          <w:sz w:val="24"/>
          <w:szCs w:val="24"/>
          <w:lang w:eastAsia="zh-CN"/>
        </w:rPr>
      </w:pPr>
    </w:p>
    <w:p w14:paraId="6E03ADBF">
      <w:pPr>
        <w:rPr>
          <w:rFonts w:hint="eastAsia" w:ascii="宋体" w:hAnsi="宋体" w:eastAsia="宋体" w:cs="Times New Roman"/>
          <w:color w:val="000000"/>
          <w:kern w:val="0"/>
          <w:sz w:val="24"/>
          <w:szCs w:val="24"/>
          <w:lang w:eastAsia="zh-CN"/>
        </w:rPr>
      </w:pPr>
    </w:p>
    <w:p w14:paraId="08854183">
      <w:pPr>
        <w:rPr>
          <w:rFonts w:hint="eastAsia" w:ascii="宋体" w:hAnsi="宋体" w:eastAsia="宋体" w:cs="Times New Roman"/>
          <w:color w:val="000000"/>
          <w:kern w:val="0"/>
          <w:sz w:val="24"/>
          <w:szCs w:val="24"/>
          <w:lang w:eastAsia="zh-CN"/>
        </w:rPr>
      </w:pPr>
    </w:p>
    <w:p w14:paraId="58E97B06">
      <w:pPr>
        <w:rPr>
          <w:rFonts w:hint="eastAsia" w:ascii="宋体" w:hAnsi="宋体" w:eastAsia="宋体" w:cs="Times New Roman"/>
          <w:color w:val="000000"/>
          <w:kern w:val="0"/>
          <w:sz w:val="24"/>
          <w:szCs w:val="24"/>
          <w:lang w:eastAsia="zh-CN"/>
        </w:rPr>
      </w:pPr>
    </w:p>
    <w:p w14:paraId="558E7AF8">
      <w:pPr>
        <w:rPr>
          <w:rFonts w:hint="eastAsia" w:ascii="宋体" w:hAnsi="宋体" w:eastAsia="宋体" w:cs="Times New Roman"/>
          <w:color w:val="000000"/>
          <w:kern w:val="0"/>
          <w:sz w:val="24"/>
          <w:szCs w:val="24"/>
          <w:lang w:eastAsia="zh-CN"/>
        </w:rPr>
      </w:pPr>
    </w:p>
    <w:p w14:paraId="6975BF07">
      <w:pPr>
        <w:rPr>
          <w:rFonts w:hint="eastAsia" w:ascii="宋体" w:hAnsi="宋体" w:eastAsia="宋体" w:cs="Times New Roman"/>
          <w:color w:val="000000"/>
          <w:kern w:val="0"/>
          <w:sz w:val="24"/>
          <w:szCs w:val="24"/>
          <w:lang w:eastAsia="zh-CN"/>
        </w:rPr>
      </w:pPr>
    </w:p>
    <w:p w14:paraId="1E2D642A">
      <w:pPr>
        <w:keepNext w:val="0"/>
        <w:keepLines w:val="0"/>
        <w:pageBreakBefore w:val="0"/>
        <w:numPr>
          <w:ilvl w:val="0"/>
          <w:numId w:val="0"/>
        </w:numPr>
        <w:spacing w:line="360" w:lineRule="auto"/>
        <w:ind w:firstLine="3534" w:firstLineChars="11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采购需求</w:t>
      </w:r>
    </w:p>
    <w:p w14:paraId="43D581ED">
      <w:pPr>
        <w:pStyle w:val="2"/>
        <w:numPr>
          <w:ilvl w:val="0"/>
          <w:numId w:val="0"/>
        </w:numPr>
        <w:ind w:left="880" w:leftChars="0" w:right="6" w:rightChars="0"/>
        <w:rPr>
          <w:rFonts w:hint="eastAsia"/>
        </w:rPr>
      </w:pPr>
    </w:p>
    <w:p w14:paraId="1617C93C">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一、项目概述</w:t>
      </w:r>
    </w:p>
    <w:p w14:paraId="6133999C">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根据《关于办理残疾人意外伤害保险有关事项的通知》徐残发〔2016〕83号、《关于在全省开展残疾人综合商业保险工作的通知》苏残发〔2019〕21号文件精神。对邳州市凡持有《中华人民共和国残疾人证》的人员购买残疾人因意外伤害导致身故、新的残疾或等级加重或残疾人在承保期间内初次确诊身患符合</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sz w:val="24"/>
          <w:szCs w:val="24"/>
        </w:rPr>
        <w:t>种重大疾病+3种轻度疾病（无等待期）保险。</w:t>
      </w:r>
    </w:p>
    <w:p w14:paraId="6BBF11F6">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二、采购预算1</w:t>
      </w:r>
      <w:r>
        <w:rPr>
          <w:rFonts w:hint="eastAsia" w:ascii="宋体" w:hAnsi="宋体" w:cs="宋体"/>
          <w:b w:val="0"/>
          <w:bCs w:val="0"/>
          <w:sz w:val="24"/>
          <w:szCs w:val="24"/>
          <w:lang w:val="en-US" w:eastAsia="zh-CN"/>
        </w:rPr>
        <w:t>78.92</w:t>
      </w:r>
      <w:r>
        <w:rPr>
          <w:rFonts w:hint="eastAsia" w:ascii="宋体" w:hAnsi="宋体" w:eastAsia="宋体" w:cs="宋体"/>
          <w:b w:val="0"/>
          <w:bCs w:val="0"/>
          <w:sz w:val="24"/>
          <w:szCs w:val="24"/>
        </w:rPr>
        <w:t>万元</w:t>
      </w:r>
    </w:p>
    <w:p w14:paraId="1B3043FF">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总预算1</w:t>
      </w:r>
      <w:r>
        <w:rPr>
          <w:rFonts w:hint="eastAsia" w:ascii="宋体" w:hAnsi="宋体" w:cs="宋体"/>
          <w:b w:val="0"/>
          <w:bCs w:val="0"/>
          <w:sz w:val="24"/>
          <w:szCs w:val="24"/>
          <w:lang w:val="en-US" w:eastAsia="zh-CN"/>
        </w:rPr>
        <w:t>78.92</w:t>
      </w:r>
      <w:r>
        <w:rPr>
          <w:rFonts w:hint="eastAsia" w:ascii="宋体" w:hAnsi="宋体" w:eastAsia="宋体" w:cs="宋体"/>
          <w:b w:val="0"/>
          <w:bCs w:val="0"/>
          <w:sz w:val="24"/>
          <w:szCs w:val="24"/>
        </w:rPr>
        <w:t>万元。</w:t>
      </w:r>
      <w:r>
        <w:rPr>
          <w:rFonts w:hint="eastAsia" w:ascii="宋体" w:hAnsi="宋体" w:eastAsia="宋体" w:cs="宋体"/>
          <w:b w:val="0"/>
          <w:bCs w:val="0"/>
          <w:color w:val="auto"/>
          <w:sz w:val="24"/>
          <w:szCs w:val="24"/>
          <w:highlight w:val="none"/>
        </w:rPr>
        <w:t>本项目不接受超过</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78.92</w:t>
      </w:r>
      <w:r>
        <w:rPr>
          <w:rFonts w:hint="eastAsia" w:ascii="宋体" w:hAnsi="宋体" w:eastAsia="宋体" w:cs="宋体"/>
          <w:b w:val="0"/>
          <w:bCs w:val="0"/>
          <w:color w:val="auto"/>
          <w:sz w:val="24"/>
          <w:szCs w:val="24"/>
          <w:highlight w:val="none"/>
        </w:rPr>
        <w:t>万元人民币（采购项目预算金额）的投标报价。</w:t>
      </w:r>
    </w:p>
    <w:p w14:paraId="5AE4D025">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说明：邳州市户籍且持有有效期内《中华人民共和国残疾人证》的人员，预计参保人数</w:t>
      </w: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2600人</w:t>
      </w:r>
      <w:r>
        <w:rPr>
          <w:rFonts w:hint="eastAsia" w:ascii="宋体" w:hAnsi="宋体" w:eastAsia="宋体" w:cs="宋体"/>
          <w:b w:val="0"/>
          <w:bCs w:val="0"/>
          <w:sz w:val="24"/>
          <w:szCs w:val="24"/>
        </w:rPr>
        <w:t>，具体人数按实际参保人数为准，无年龄限制，保单生效前7天凡持有《中华人民共和国残疾人证》的人员，每人每年保费为</w:t>
      </w:r>
      <w:r>
        <w:rPr>
          <w:rFonts w:hint="eastAsia" w:ascii="宋体" w:hAnsi="宋体" w:cs="宋体"/>
          <w:b w:val="0"/>
          <w:bCs w:val="0"/>
          <w:sz w:val="24"/>
          <w:szCs w:val="24"/>
          <w:lang w:val="en-US" w:eastAsia="zh-CN"/>
        </w:rPr>
        <w:t>42</w:t>
      </w:r>
      <w:r>
        <w:rPr>
          <w:rFonts w:hint="eastAsia" w:ascii="宋体" w:hAnsi="宋体" w:eastAsia="宋体" w:cs="宋体"/>
          <w:b w:val="0"/>
          <w:bCs w:val="0"/>
          <w:sz w:val="24"/>
          <w:szCs w:val="24"/>
        </w:rPr>
        <w:t>元。预算不超过</w:t>
      </w: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78.92</w:t>
      </w:r>
      <w:r>
        <w:rPr>
          <w:rFonts w:hint="eastAsia" w:ascii="宋体" w:hAnsi="宋体" w:eastAsia="宋体" w:cs="宋体"/>
          <w:b w:val="0"/>
          <w:bCs w:val="0"/>
          <w:sz w:val="24"/>
          <w:szCs w:val="24"/>
        </w:rPr>
        <w:t>万元。</w:t>
      </w:r>
    </w:p>
    <w:p w14:paraId="11470392">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三、保障对象</w:t>
      </w:r>
    </w:p>
    <w:p w14:paraId="5A2A2C02">
      <w:pPr>
        <w:pStyle w:val="5"/>
        <w:keepNext w:val="0"/>
        <w:keepLines w:val="0"/>
        <w:pageBreakBefore w:val="0"/>
        <w:spacing w:line="360" w:lineRule="auto"/>
        <w:ind w:firstLine="480"/>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在邳州市保单生效前7天凡持有有效期内《中华人民共和国残疾人证》的邳州市户籍人员，预计参保人数在</w:t>
      </w: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2600</w:t>
      </w:r>
      <w:r>
        <w:rPr>
          <w:rFonts w:hint="eastAsia" w:ascii="宋体" w:hAnsi="宋体" w:eastAsia="宋体" w:cs="宋体"/>
          <w:b w:val="0"/>
          <w:bCs w:val="0"/>
          <w:sz w:val="24"/>
          <w:szCs w:val="24"/>
        </w:rPr>
        <w:t>人，具体人数以实际参保人数为准，无年龄限制，每人每年保费为</w:t>
      </w:r>
      <w:r>
        <w:rPr>
          <w:rFonts w:hint="eastAsia" w:ascii="宋体" w:hAnsi="宋体" w:cs="宋体"/>
          <w:b w:val="0"/>
          <w:bCs w:val="0"/>
          <w:sz w:val="24"/>
          <w:szCs w:val="24"/>
          <w:lang w:val="en-US" w:eastAsia="zh-CN"/>
        </w:rPr>
        <w:t>42</w:t>
      </w:r>
      <w:r>
        <w:rPr>
          <w:rFonts w:hint="eastAsia" w:ascii="宋体" w:hAnsi="宋体" w:eastAsia="宋体" w:cs="宋体"/>
          <w:b w:val="0"/>
          <w:bCs w:val="0"/>
          <w:sz w:val="24"/>
          <w:szCs w:val="24"/>
        </w:rPr>
        <w:t>元。预算不超过</w:t>
      </w: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78.92</w:t>
      </w:r>
      <w:r>
        <w:rPr>
          <w:rFonts w:hint="eastAsia" w:ascii="宋体" w:hAnsi="宋体" w:eastAsia="宋体" w:cs="宋体"/>
          <w:b w:val="0"/>
          <w:bCs w:val="0"/>
          <w:sz w:val="24"/>
          <w:szCs w:val="24"/>
        </w:rPr>
        <w:t>万元。</w:t>
      </w:r>
    </w:p>
    <w:p w14:paraId="349EC62A">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四、保障内容</w:t>
      </w:r>
    </w:p>
    <w:p w14:paraId="7C74453A">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1、保障对象</w:t>
      </w:r>
    </w:p>
    <w:p w14:paraId="3B3BF310">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在邳州市保单生效前7天凡持有有效期内《中华人民共和国残疾人证》的邳州市户籍人员，预计参保人数在</w:t>
      </w: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2600</w:t>
      </w:r>
      <w:r>
        <w:rPr>
          <w:rFonts w:hint="eastAsia" w:ascii="宋体" w:hAnsi="宋体" w:eastAsia="宋体" w:cs="宋体"/>
          <w:b w:val="0"/>
          <w:bCs w:val="0"/>
          <w:sz w:val="24"/>
          <w:szCs w:val="24"/>
        </w:rPr>
        <w:t>人，具体人数以实际参保人数为准，无年龄限制。</w:t>
      </w:r>
    </w:p>
    <w:p w14:paraId="67D5FC42">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2、保险年度</w:t>
      </w:r>
    </w:p>
    <w:p w14:paraId="30ED84D5">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本项目保险期限1年。</w:t>
      </w:r>
    </w:p>
    <w:p w14:paraId="362730AB">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3、保费</w:t>
      </w:r>
    </w:p>
    <w:p w14:paraId="0268FCAD">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保费为</w:t>
      </w:r>
      <w:r>
        <w:rPr>
          <w:rFonts w:hint="eastAsia" w:ascii="宋体" w:hAnsi="宋体" w:cs="宋体"/>
          <w:b w:val="0"/>
          <w:bCs w:val="0"/>
          <w:sz w:val="24"/>
          <w:szCs w:val="24"/>
          <w:lang w:val="en-US" w:eastAsia="zh-CN"/>
        </w:rPr>
        <w:t>42</w:t>
      </w:r>
      <w:r>
        <w:rPr>
          <w:rFonts w:hint="eastAsia" w:ascii="宋体" w:hAnsi="宋体" w:eastAsia="宋体" w:cs="宋体"/>
          <w:b w:val="0"/>
          <w:bCs w:val="0"/>
          <w:sz w:val="24"/>
          <w:szCs w:val="24"/>
        </w:rPr>
        <w:t>元/人/年。</w:t>
      </w:r>
    </w:p>
    <w:p w14:paraId="21B3AE30">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4、承保方式：共保。</w:t>
      </w:r>
    </w:p>
    <w:p w14:paraId="7B97825A">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如通过资格审查和符合性审查的投标人为</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家，按照评标报告确定的中标候选人名单的顺序确定</w:t>
      </w:r>
      <w:r>
        <w:rPr>
          <w:rFonts w:hint="eastAsia" w:ascii="宋体" w:hAnsi="宋体" w:eastAsia="宋体" w:cs="宋体"/>
          <w:b w:val="0"/>
          <w:bCs w:val="0"/>
          <w:sz w:val="24"/>
          <w:szCs w:val="24"/>
          <w:lang w:val="en-US" w:eastAsia="zh-CN"/>
        </w:rPr>
        <w:t>2家</w:t>
      </w:r>
      <w:r>
        <w:rPr>
          <w:rFonts w:hint="eastAsia" w:ascii="宋体" w:hAnsi="宋体" w:eastAsia="宋体" w:cs="宋体"/>
          <w:b w:val="0"/>
          <w:bCs w:val="0"/>
          <w:sz w:val="24"/>
          <w:szCs w:val="24"/>
        </w:rPr>
        <w:t>中标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，按照以下比例共保。</w:t>
      </w:r>
    </w:p>
    <w:p w14:paraId="3592E010">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第一名中标供应商（首席承保人）占保费比例 </w:t>
      </w:r>
      <w:r>
        <w:rPr>
          <w:rFonts w:hint="eastAsia" w:ascii="宋体" w:hAnsi="宋体" w:cs="宋体"/>
          <w:b w:val="0"/>
          <w:bCs w:val="0"/>
          <w:sz w:val="24"/>
          <w:szCs w:val="24"/>
          <w:lang w:val="en-US" w:eastAsia="zh-CN"/>
        </w:rPr>
        <w:t>65</w:t>
      </w:r>
      <w:r>
        <w:rPr>
          <w:rFonts w:hint="eastAsia" w:ascii="宋体" w:hAnsi="宋体" w:eastAsia="宋体" w:cs="宋体"/>
          <w:b w:val="0"/>
          <w:bCs w:val="0"/>
          <w:sz w:val="24"/>
          <w:szCs w:val="24"/>
        </w:rPr>
        <w:t xml:space="preserve">% ； </w:t>
      </w:r>
    </w:p>
    <w:p w14:paraId="01407CB5">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第二名中标供应商（共保人）占保费比例  3</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 ；</w:t>
      </w:r>
    </w:p>
    <w:p w14:paraId="6452835F">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如通过资格审查和符合性审查的投标人为</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家</w:t>
      </w:r>
      <w:r>
        <w:rPr>
          <w:rFonts w:hint="eastAsia" w:ascii="宋体" w:hAnsi="宋体" w:eastAsia="宋体" w:cs="宋体"/>
          <w:b w:val="0"/>
          <w:bCs w:val="0"/>
          <w:sz w:val="24"/>
          <w:szCs w:val="24"/>
          <w:lang w:val="en-US" w:eastAsia="zh-CN"/>
        </w:rPr>
        <w:t>及以上时</w:t>
      </w:r>
      <w:r>
        <w:rPr>
          <w:rFonts w:hint="eastAsia" w:ascii="宋体" w:hAnsi="宋体" w:eastAsia="宋体" w:cs="宋体"/>
          <w:b w:val="0"/>
          <w:bCs w:val="0"/>
          <w:sz w:val="24"/>
          <w:szCs w:val="24"/>
        </w:rPr>
        <w:t>，按照评标报告确定的中标候选人名单的顺序确定</w:t>
      </w:r>
      <w:r>
        <w:rPr>
          <w:rFonts w:hint="eastAsia" w:ascii="宋体" w:hAnsi="宋体" w:eastAsia="宋体" w:cs="宋体"/>
          <w:b w:val="0"/>
          <w:bCs w:val="0"/>
          <w:sz w:val="24"/>
          <w:szCs w:val="24"/>
          <w:lang w:val="en-US" w:eastAsia="zh-CN"/>
        </w:rPr>
        <w:t>3家</w:t>
      </w:r>
      <w:r>
        <w:rPr>
          <w:rFonts w:hint="eastAsia" w:ascii="宋体" w:hAnsi="宋体" w:eastAsia="宋体" w:cs="宋体"/>
          <w:b w:val="0"/>
          <w:bCs w:val="0"/>
          <w:sz w:val="24"/>
          <w:szCs w:val="24"/>
        </w:rPr>
        <w:t>中标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，按照以下比例共保。</w:t>
      </w:r>
    </w:p>
    <w:p w14:paraId="3FFD8BA7">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第一名中标供应商（首席承保人）占保费比例  </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 xml:space="preserve">0% ； </w:t>
      </w:r>
    </w:p>
    <w:p w14:paraId="7D1FA712">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第二名中标供应商（共保人）占保费比例  </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t>0% ；</w:t>
      </w:r>
    </w:p>
    <w:p w14:paraId="08E9F3FF">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第三名中标供应商（共保人）占保费比例  </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0% 。</w:t>
      </w:r>
    </w:p>
    <w:p w14:paraId="02E6ABA9">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五、采购需求</w:t>
      </w:r>
    </w:p>
    <w:p w14:paraId="020E5227">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1、残疾人因意外伤害导致身故、新的残疾或等级加重或残疾人在承保期间内初次确诊身患符合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种重大疾病+3种轻度疾病（无等待期），承保公司按照保险合同约定的保险金额承担保险责任，每人每年保费为</w:t>
      </w:r>
      <w:r>
        <w:rPr>
          <w:rFonts w:hint="eastAsia" w:ascii="宋体" w:hAnsi="宋体" w:cs="宋体"/>
          <w:b w:val="0"/>
          <w:bCs w:val="0"/>
          <w:sz w:val="24"/>
          <w:szCs w:val="24"/>
          <w:lang w:val="en-US" w:eastAsia="zh-CN"/>
        </w:rPr>
        <w:t>42</w:t>
      </w:r>
      <w:r>
        <w:rPr>
          <w:rFonts w:hint="eastAsia" w:ascii="宋体" w:hAnsi="宋体" w:eastAsia="宋体" w:cs="宋体"/>
          <w:b w:val="0"/>
          <w:bCs w:val="0"/>
          <w:sz w:val="24"/>
          <w:szCs w:val="24"/>
        </w:rPr>
        <w:t>元。</w:t>
      </w:r>
    </w:p>
    <w:p w14:paraId="0F0B9A56">
      <w:pPr>
        <w:pStyle w:val="5"/>
        <w:keepNext w:val="0"/>
        <w:keepLines w:val="0"/>
        <w:pageBreakBefore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rPr>
        <w:t>2、</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sz w:val="24"/>
          <w:szCs w:val="24"/>
        </w:rPr>
        <w:t>种重大疾病包括：1、恶性肿瘤——重度2、较重急性心肌梗死3、严重脑中风后遗症4、重大器官移植术或造血干细胞移植术5、冠状动脉搭桥术（或称冠状动脉旁路移植术）6、严重慢性肾衰竭7、多个肢体缺失8、急性重症肝炎或亚急性重症肝炎9、严重非恶性颅内肿瘤10、严重慢性肝衰竭11、严重脑炎后遗症或严重脑膜炎后遗症12、深度昏迷13、双耳失聪14、双目失明15、瘫痪16、心脏瓣膜手术17、严重阿尔茨海默病18、严重脑损伤19、严重原发性帕金森病20、严重Ⅲ度烧伤21、严重特发性肺动脉高压22、严重运动神经元病23、语言能力丧失24、重型再生障碍性贫血25、主动脉手术26、严重慢性呼吸衰竭27、严重克罗恩病28、严重溃疡性结肠炎</w:t>
      </w:r>
      <w:r>
        <w:rPr>
          <w:rFonts w:hint="eastAsia" w:ascii="宋体" w:hAnsi="宋体" w:eastAsia="宋体" w:cs="宋体"/>
          <w:b w:val="0"/>
          <w:bCs w:val="0"/>
          <w:color w:val="auto"/>
          <w:sz w:val="24"/>
          <w:szCs w:val="24"/>
          <w:lang w:val="en-US" w:eastAsia="zh-CN"/>
        </w:rPr>
        <w:t>29、严重原发性心肌病30、严重多发性硬化症。</w:t>
      </w:r>
    </w:p>
    <w:p w14:paraId="05C632F2">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3种轻度疾病包括：1、恶性肿瘤——轻度2、较轻急性心肌梗死3、轻度脑中风后遗症。具体详见附件参考条款。</w:t>
      </w:r>
    </w:p>
    <w:p w14:paraId="5EEDD640">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六、项目要求</w:t>
      </w:r>
    </w:p>
    <w:p w14:paraId="3CC443EB">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1、共保人的分项价格表以首席承保人为准，采取统一保单、统一条款、统一费率、统一保险金额、统一理赔标准</w:t>
      </w:r>
    </w:p>
    <w:p w14:paraId="3B985ECF">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保单及合同生效日期如下：</w:t>
      </w:r>
    </w:p>
    <w:p w14:paraId="0C688A8C">
      <w:pPr>
        <w:pStyle w:val="5"/>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自202</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年2月1日至202</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年1月31日止</w:t>
      </w:r>
    </w:p>
    <w:p w14:paraId="581965D5">
      <w:pPr>
        <w:pStyle w:val="6"/>
        <w:keepNext w:val="0"/>
        <w:keepLines w:val="0"/>
        <w:pageBreakBefore w:val="0"/>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2、共保人需自202</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年2月1日起按照中标承保方案，逐月为新增残疾人购买保险，新增残疾人员保费为</w:t>
      </w:r>
      <w:r>
        <w:rPr>
          <w:rFonts w:hint="eastAsia" w:ascii="宋体" w:hAnsi="宋体" w:cs="宋体"/>
          <w:b w:val="0"/>
          <w:bCs w:val="0"/>
          <w:sz w:val="24"/>
          <w:szCs w:val="24"/>
          <w:lang w:val="en-US" w:eastAsia="zh-CN"/>
        </w:rPr>
        <w:t>42</w:t>
      </w:r>
      <w:r>
        <w:rPr>
          <w:rFonts w:hint="eastAsia" w:ascii="宋体" w:hAnsi="宋体" w:eastAsia="宋体" w:cs="宋体"/>
          <w:b w:val="0"/>
          <w:bCs w:val="0"/>
          <w:sz w:val="24"/>
          <w:szCs w:val="24"/>
        </w:rPr>
        <w:t>（元/人）/12*截止202</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年1月31日止承保的月数。</w:t>
      </w:r>
    </w:p>
    <w:p w14:paraId="059B80E6">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3、成交承保的保险人在采购方的统一领导下，对接各镇（区、街道）为参加本保险的被保险人提供全面、便捷、高效的保险服务。协助做好政策宣传、解释等工作。</w:t>
      </w:r>
    </w:p>
    <w:p w14:paraId="70517EAD">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4、残疾人参加意外伤害保险后，出险后要及时报案，各级残联组织要积极协助或帮助向保险公司报案，切实维护好残疾人的合法权益。承保公司经办部门确认后，由承保公司在承诺的时限内向被保险人足额支付赔款。</w:t>
      </w:r>
    </w:p>
    <w:p w14:paraId="451B613A">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5、投标文件中所用各主条款需充分响应本磋商文件附件中所附要求，若有差异，需要在差异表中体现，并在投标前自行履行条款报备手续，否则将严重影响标书的实质性响应程度。</w:t>
      </w:r>
    </w:p>
    <w:p w14:paraId="7F19040D">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6、本次邳州市残疾人专属团体综合保险招标方案赔偿限额采用定额确定的形式：以第一名中标公司的方案为准。</w:t>
      </w:r>
    </w:p>
    <w:p w14:paraId="3E2DCF9A">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7、保险保障服务方案，内容至少包括:（1）服务理念；（2）服务项目；（3）保障服务流程图。</w:t>
      </w:r>
    </w:p>
    <w:p w14:paraId="43C8D89B">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8、投标人根据自身条件按照投标文件格式的相关附件要求详细提供有关资料，未按要求提供相关资料所造成的后果自负。</w:t>
      </w:r>
    </w:p>
    <w:p w14:paraId="5A5F4969">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9、投标人对所有投保残疾人关于本保险项目保险保障、索赔流程、理赔资料等有关事项的充分告知工作的承诺以及具体实施举措。</w:t>
      </w:r>
    </w:p>
    <w:p w14:paraId="2A7ED8C5">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10、投标人应对有关出险报案、理赔时间、处理办法及措施上有明确的承诺，如有意外伤亡事件，理赔材料提供死亡证明；火化证明或户口注销证明。</w:t>
      </w:r>
    </w:p>
    <w:p w14:paraId="58AB55D7">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11、投标人的承诺不得有违反保险行业相关法律法规内容，否则作为无效投标处理。</w:t>
      </w:r>
    </w:p>
    <w:p w14:paraId="4B42F632">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12、成交人必须在签订合同前在邳州建立专门的服务机构，指定专人负责，确定地点，形成完善的规章制度和服务体系，以便为服务对象办理承保、理赔、保费结算、投保信息汇总等业务。</w:t>
      </w:r>
    </w:p>
    <w:p w14:paraId="3AD9E21D">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13、成交人负责确定投保、送交保单、保费缴纳、材料交接、赔款划付等有关工作的具体操作程序和步骤，以利于做好邳州市残疾人专属团体综合保险的服务工作。</w:t>
      </w:r>
    </w:p>
    <w:p w14:paraId="34286DF9">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14、成交人应根据保险政策及其承诺，配合采购方制定相关残疾人专属团体综合保险宣传彩页或残疾人服务卡或其他宣传方式，发放到残疾人手中，使残疾人知晓率达到100%。同时，在保险责任期限内，每月10日前向采购方提供统计资料，包括理赔情况等，并将数据统计报告提交于采购方。</w:t>
      </w:r>
    </w:p>
    <w:p w14:paraId="72FAF38A">
      <w:pPr>
        <w:pStyle w:val="5"/>
        <w:keepNext w:val="0"/>
        <w:keepLines w:val="0"/>
        <w:pageBreakBefore w:val="0"/>
        <w:spacing w:line="360" w:lineRule="auto"/>
        <w:ind w:firstLine="472"/>
        <w:rPr>
          <w:rFonts w:hint="eastAsia" w:ascii="宋体" w:hAnsi="宋体" w:eastAsia="宋体" w:cs="宋体"/>
          <w:b w:val="0"/>
          <w:bCs w:val="0"/>
          <w:sz w:val="24"/>
          <w:szCs w:val="24"/>
        </w:rPr>
      </w:pPr>
      <w:r>
        <w:rPr>
          <w:rFonts w:hint="eastAsia" w:ascii="宋体" w:hAnsi="宋体" w:eastAsia="宋体" w:cs="宋体"/>
          <w:b w:val="0"/>
          <w:bCs w:val="0"/>
          <w:sz w:val="24"/>
          <w:szCs w:val="24"/>
        </w:rPr>
        <w:t>15、成交人的理赔服务应主动、及时、准确，有明确的理赔服务流程，按照统一的赔偿标准计算金额，提供良好的出险报案、理赔服务。</w:t>
      </w:r>
    </w:p>
    <w:p w14:paraId="0DF55BD4"/>
    <w:p w14:paraId="77B153BD">
      <w:pPr>
        <w:rPr>
          <w:rFonts w:hint="eastAsia" w:ascii="宋体" w:hAnsi="宋体" w:eastAsia="宋体" w:cs="Times New Roman"/>
          <w:color w:val="000000"/>
          <w:kern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A0824"/>
    <w:rsid w:val="02911015"/>
    <w:rsid w:val="2BC80F34"/>
    <w:rsid w:val="4E680160"/>
    <w:rsid w:val="540B3A76"/>
    <w:rsid w:val="5DB81A66"/>
    <w:rsid w:val="60376493"/>
    <w:rsid w:val="79EA0824"/>
    <w:rsid w:val="7DBD0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ind w:left="256" w:right="6" w:firstLine="624"/>
    </w:pPr>
    <w:rPr>
      <w:rFonts w:eastAsia="仿宋_GB2312"/>
      <w:sz w:val="28"/>
    </w:rPr>
  </w:style>
  <w:style w:type="paragraph" w:customStyle="1" w:styleId="5">
    <w:name w:val="正文1111"/>
    <w:next w:val="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
    <w:name w:val="目录 112"/>
    <w:basedOn w:val="5"/>
    <w:next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2360</Words>
  <Characters>2491</Characters>
  <Lines>0</Lines>
  <Paragraphs>0</Paragraphs>
  <TotalTime>4</TotalTime>
  <ScaleCrop>false</ScaleCrop>
  <LinksUpToDate>false</LinksUpToDate>
  <CharactersWithSpaces>2507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2024-11-25T08:05:00Z</dcterms:created>
  <dc:creator>大浪淘沙</dc:creator>
  <cp:lastModifiedBy>云淡风轻</cp:lastModifiedBy>
  <dcterms:modified xsi:type="dcterms:W3CDTF">2025-11-10T00:57:46Z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A008DB4A927E44A89C7DF1ADD3631539_13</vt:lpwstr>
  </property>
  <property fmtid="{D5CDD505-2E9C-101B-9397-08002B2CF9AE}" pid="4" name="KSOTemplateDocerSaveRecord">
    <vt:lpwstr>eyJoZGlkIjoiYTIzZmU3NmMxYTMxOWE0OGZhNTA1NjAwNzAwYjJkNjgiLCJ1c2VySWQiOiIzNDM4NTAyNzgifQ==</vt:lpwstr>
  </property>
</Properties>
</file>