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25FBD">
      <w:pPr>
        <w:spacing w:line="312" w:lineRule="auto"/>
        <w:contextualSpacing/>
        <w:rPr>
          <w:rFonts w:ascii="宋体" w:hAnsi="宋体"/>
          <w:sz w:val="24"/>
        </w:rPr>
      </w:pPr>
      <w:r>
        <w:rPr>
          <w:rFonts w:hint="eastAsia" w:ascii="宋体" w:hAnsi="宋体"/>
          <w:sz w:val="24"/>
        </w:rPr>
        <w:t>如有建议或意见，请以书面形式并加盖公章、注明联系人、联系方式，于202</w:t>
      </w:r>
      <w:r>
        <w:rPr>
          <w:rFonts w:ascii="宋体" w:hAnsi="宋体"/>
          <w:sz w:val="24"/>
        </w:rPr>
        <w:t>5</w:t>
      </w:r>
      <w:r>
        <w:rPr>
          <w:rFonts w:hint="eastAsia" w:ascii="宋体" w:hAnsi="宋体"/>
          <w:sz w:val="24"/>
        </w:rPr>
        <w:t>年11月</w:t>
      </w:r>
      <w:r>
        <w:rPr>
          <w:rFonts w:hint="eastAsia" w:ascii="宋体" w:hAnsi="宋体"/>
          <w:sz w:val="24"/>
          <w:lang w:val="en-US" w:eastAsia="zh-CN"/>
        </w:rPr>
        <w:t>11</w:t>
      </w:r>
      <w:r>
        <w:rPr>
          <w:rFonts w:hint="eastAsia" w:ascii="宋体" w:hAnsi="宋体"/>
          <w:sz w:val="24"/>
        </w:rPr>
        <w:t>日17:00之前送至我单位，逾期不受理（如邮寄，202</w:t>
      </w:r>
      <w:r>
        <w:rPr>
          <w:rFonts w:ascii="宋体" w:hAnsi="宋体"/>
          <w:sz w:val="24"/>
        </w:rPr>
        <w:t>5</w:t>
      </w:r>
      <w:r>
        <w:rPr>
          <w:rFonts w:hint="eastAsia" w:ascii="宋体" w:hAnsi="宋体"/>
          <w:sz w:val="24"/>
        </w:rPr>
        <w:t>年11月</w:t>
      </w:r>
      <w:r>
        <w:rPr>
          <w:rFonts w:hint="eastAsia" w:ascii="宋体" w:hAnsi="宋体"/>
          <w:sz w:val="24"/>
          <w:lang w:val="en-US" w:eastAsia="zh-CN"/>
        </w:rPr>
        <w:t>11</w:t>
      </w:r>
      <w:r>
        <w:rPr>
          <w:rFonts w:hint="eastAsia" w:ascii="宋体" w:hAnsi="宋体"/>
          <w:sz w:val="24"/>
        </w:rPr>
        <w:t>日17:00之后到达本单位的邮件将不再受理）。</w:t>
      </w:r>
    </w:p>
    <w:p w14:paraId="5E99AF15">
      <w:pPr>
        <w:spacing w:line="288" w:lineRule="auto"/>
        <w:jc w:val="center"/>
        <w:rPr>
          <w:rFonts w:hint="eastAsia" w:asciiTheme="minorEastAsia" w:hAnsiTheme="minorEastAsia" w:eastAsiaTheme="minorEastAsia" w:cstheme="minorEastAsia"/>
          <w:b/>
          <w:color w:val="auto"/>
          <w:sz w:val="32"/>
          <w:szCs w:val="32"/>
        </w:rPr>
      </w:pPr>
      <w:bookmarkStart w:id="3" w:name="_GoBack"/>
      <w:bookmarkEnd w:id="3"/>
    </w:p>
    <w:p w14:paraId="09BD821B">
      <w:pPr>
        <w:keepNext w:val="0"/>
        <w:keepLines w:val="0"/>
        <w:pageBreakBefore/>
        <w:widowControl w:val="0"/>
        <w:kinsoku/>
        <w:wordWrap/>
        <w:overflowPunct/>
        <w:topLinePunct w:val="0"/>
        <w:autoSpaceDE/>
        <w:autoSpaceDN/>
        <w:bidi w:val="0"/>
        <w:adjustRightInd/>
        <w:snapToGrid/>
        <w:spacing w:line="288" w:lineRule="auto"/>
        <w:jc w:val="center"/>
        <w:textAlignment w:val="auto"/>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采购需求</w:t>
      </w:r>
      <w:bookmarkStart w:id="0" w:name="_Toc322457054"/>
      <w:bookmarkEnd w:id="0"/>
      <w:bookmarkStart w:id="1" w:name="_Toc324452802"/>
      <w:bookmarkEnd w:id="1"/>
    </w:p>
    <w:p w14:paraId="3B0D61C4">
      <w:pPr>
        <w:pStyle w:val="7"/>
        <w:spacing w:before="0" w:line="288" w:lineRule="auto"/>
        <w:rPr>
          <w:rStyle w:val="8"/>
          <w:rFonts w:asciiTheme="minorEastAsia" w:hAnsiTheme="minorEastAsia" w:eastAsiaTheme="minorEastAsia" w:cstheme="minorEastAsia"/>
          <w:b/>
          <w:bCs/>
          <w:color w:val="auto"/>
          <w:sz w:val="24"/>
          <w:szCs w:val="24"/>
        </w:rPr>
      </w:pPr>
    </w:p>
    <w:p w14:paraId="4F67BEFC">
      <w:pPr>
        <w:spacing w:line="360" w:lineRule="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一、项目说明</w:t>
      </w:r>
    </w:p>
    <w:p w14:paraId="6D2A0FCA">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1、采购人：徐州市公安局交通管理支队。</w:t>
      </w:r>
    </w:p>
    <w:p w14:paraId="3C3EA70E">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2、采购项目名称：</w:t>
      </w:r>
      <w:r>
        <w:rPr>
          <w:rFonts w:hint="eastAsia" w:asciiTheme="minorEastAsia" w:hAnsiTheme="minorEastAsia" w:eastAsiaTheme="minorEastAsia" w:cstheme="minorEastAsia"/>
          <w:bCs/>
          <w:color w:val="auto"/>
          <w:sz w:val="24"/>
          <w:lang w:eastAsia="zh-CN"/>
        </w:rPr>
        <w:t>智慧交通（徐州市公安局交警支队2024年政务信息化项目）标段五：恶劣天气管控系统</w:t>
      </w:r>
      <w:r>
        <w:rPr>
          <w:rFonts w:hint="eastAsia" w:asciiTheme="minorEastAsia" w:hAnsiTheme="minorEastAsia" w:eastAsiaTheme="minorEastAsia" w:cstheme="minorEastAsia"/>
          <w:bCs/>
          <w:color w:val="auto"/>
          <w:sz w:val="24"/>
        </w:rPr>
        <w:t>。</w:t>
      </w:r>
    </w:p>
    <w:p w14:paraId="28D1E9E5">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3、采购标的：</w:t>
      </w:r>
      <w:r>
        <w:rPr>
          <w:rFonts w:hint="eastAsia" w:asciiTheme="minorEastAsia" w:hAnsiTheme="minorEastAsia" w:eastAsiaTheme="minorEastAsia" w:cstheme="minorEastAsia"/>
          <w:bCs/>
          <w:color w:val="auto"/>
          <w:sz w:val="24"/>
          <w:lang w:eastAsia="zh-CN"/>
        </w:rPr>
        <w:t>智慧交通（徐州市公安局交警支队2024年政务信息化项目）标段五：恶劣天气管控系统</w:t>
      </w:r>
      <w:r>
        <w:rPr>
          <w:rFonts w:hint="eastAsia" w:asciiTheme="minorEastAsia" w:hAnsiTheme="minorEastAsia" w:eastAsiaTheme="minorEastAsia" w:cstheme="minorEastAsia"/>
          <w:bCs/>
          <w:color w:val="auto"/>
          <w:sz w:val="24"/>
        </w:rPr>
        <w:t>。</w:t>
      </w:r>
    </w:p>
    <w:p w14:paraId="6EA1142F">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w:t>
      </w:r>
      <w:r>
        <w:rPr>
          <w:rFonts w:hint="eastAsia" w:asciiTheme="minorEastAsia" w:hAnsiTheme="minorEastAsia" w:eastAsiaTheme="minorEastAsia" w:cstheme="minorEastAsia"/>
          <w:bCs/>
          <w:color w:val="auto"/>
          <w:sz w:val="24"/>
          <w:lang w:eastAsia="zh-CN"/>
        </w:rPr>
        <w:t>智慧交通（徐州市公安局交警支队2024年政务信息化项目）标段五：恶劣天气管控系统</w:t>
      </w:r>
      <w:r>
        <w:rPr>
          <w:rFonts w:hint="eastAsia" w:asciiTheme="minorEastAsia" w:hAnsiTheme="minorEastAsia" w:eastAsiaTheme="minorEastAsia" w:cstheme="minorEastAsia"/>
          <w:bCs/>
          <w:color w:val="auto"/>
          <w:sz w:val="24"/>
        </w:rPr>
        <w:t>）对应的中小企业划分标准所属行业为软件和信息技术服务业。</w:t>
      </w:r>
    </w:p>
    <w:p w14:paraId="4F1263EF">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注：中小企业划分标准所属行业以《关于印发中小企业划型标准规定的通知》（工信部联企业[2011]300号）的规定为准。（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FFBE5B">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w:t>
      </w:r>
      <w:r>
        <w:rPr>
          <w:rFonts w:hint="eastAsia" w:asciiTheme="minorEastAsia" w:hAnsiTheme="minorEastAsia" w:eastAsiaTheme="minorEastAsia" w:cstheme="minorEastAsia"/>
          <w:bCs/>
          <w:color w:val="auto"/>
          <w:sz w:val="24"/>
          <w:lang w:val="en-US" w:eastAsia="zh-CN"/>
        </w:rPr>
        <w:t>本</w:t>
      </w:r>
      <w:r>
        <w:rPr>
          <w:rFonts w:hint="eastAsia" w:asciiTheme="minorEastAsia" w:hAnsiTheme="minorEastAsia" w:eastAsiaTheme="minorEastAsia" w:cstheme="minorEastAsia"/>
          <w:bCs/>
          <w:color w:val="auto"/>
          <w:sz w:val="24"/>
        </w:rPr>
        <w:t>项目是属于专门面向中小微企业采购的项目，提供的服务全部由符合政策要求的中小微企业承接。投标人应为中小微企业、监狱企业、残疾人福利性单位。本项目涉及的硬件产品均采购的为非进口产品。</w:t>
      </w:r>
    </w:p>
    <w:p w14:paraId="3120B8D3">
      <w:pPr>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5、本项目采购预算金额为人民币</w:t>
      </w:r>
      <w:r>
        <w:rPr>
          <w:rFonts w:hint="eastAsia" w:asciiTheme="minorEastAsia" w:hAnsiTheme="minorEastAsia" w:eastAsiaTheme="minorEastAsia" w:cstheme="minorEastAsia"/>
          <w:b/>
          <w:color w:val="auto"/>
          <w:sz w:val="24"/>
          <w:u w:val="single"/>
        </w:rPr>
        <w:t>91.83</w:t>
      </w:r>
      <w:r>
        <w:rPr>
          <w:rFonts w:hint="eastAsia" w:asciiTheme="minorEastAsia" w:hAnsiTheme="minorEastAsia" w:eastAsiaTheme="minorEastAsia" w:cstheme="minorEastAsia"/>
          <w:b/>
          <w:color w:val="auto"/>
          <w:sz w:val="24"/>
        </w:rPr>
        <w:t>万元，且本项目不接受超过项目预算的投标报价。</w:t>
      </w:r>
    </w:p>
    <w:p w14:paraId="0A819762">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注：投标报价包含但不限于产品价、税金、运费、检验、保险、验收、质保、人工费、材料费、机械费（含施工所需车辆、工程器械、安全设备等）、过路费、间接费、水电费、安全文明施工费、施工措施项目、治安、消防、环保、施工期间政府规定的一切保险、验收合格费用、包工程竣工资料整理、包保修等全过程所涉及所有成本、管理费、税金（含增值税、关税、规费、附加税等）、利润、措施费（含安全文明施工措施费、生产、生活临建的搭设及搬迁和拆除费、施工场地的临建场地清理费、施工场地清理（含收集、倾倒、堆放等）、二次搬运费、夜间及节假日施工增加费、冬（雨）季施工费、成品保护费等）、工程保险费、工程保修费、保密费、检验试验费、调试费、包装运输装卸保管费、预算包干费、国家及地方政府各种税收及收费、预期的市场价格的涨跌、汇率的变动、国家与地方政府政策发生改变等所有风险、责任等各项应由费用，不会因政策、规范、税项、物价、工程量等原因的变动而有所调整。采购人不再支付报价以外的任何费用。</w:t>
      </w:r>
    </w:p>
    <w:p w14:paraId="1BC8B1CA">
      <w:pPr>
        <w:spacing w:line="360" w:lineRule="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二、项目基本概况：</w:t>
      </w:r>
    </w:p>
    <w:p w14:paraId="36B7EB09">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本项目计划在徐州高速四大队G2513淮徐高速K148-K150路段建设恶劣天气管控系统，进一步进行高速公路恶劣天气应急指挥管控系统的建设工作。该系统建设主要包括前端设备采购与安装、平台软件采购、安装与调试、系统接入与调试、配套设施。</w:t>
      </w:r>
    </w:p>
    <w:p w14:paraId="5CEF52BF">
      <w:pPr>
        <w:spacing w:line="360" w:lineRule="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三、建设项目内容：</w:t>
      </w:r>
    </w:p>
    <w:p w14:paraId="6BCA556A">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1、前端设备采购与安装</w:t>
      </w:r>
    </w:p>
    <w:p w14:paraId="2FC313D0">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主要包括路口感知设备和预警设备。路口感知设备主要包括超速控距取证设备、感知球机、一体化智慧交通安全警示桩（气象版）。信息预警设备主要包括汇入/汇出警示设备、LED 可变限速标志、恶劣天气多功能警示灯、汇车梯度显示、交通管制告知组合屏等。</w:t>
      </w:r>
    </w:p>
    <w:p w14:paraId="4BE533A0">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具体建设位置：恶劣天气多功能警示灯双向部署于淮徐高速K149-K150处；交通管制告知组合屏设于淮徐高速K150处；管控区域及管控等级提示牌设于淮徐高速K148处；LED可变限速标志设于淮徐高速K148.5处；安全警示桩设于淮徐高速K146出口匝道处。</w:t>
      </w:r>
    </w:p>
    <w:p w14:paraId="7FE353A3">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2、平台软件安装与调试：包括恶劣天气数据采集分析服务软件、恶劣气象速度管控综合执法系统软件。</w:t>
      </w:r>
    </w:p>
    <w:p w14:paraId="40517251">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3、系统接入与调试：本项目新建恶劣天气管控系统需接入采购人正在运行的高速公路恶劣天气应急管控智慧系统中。</w:t>
      </w:r>
    </w:p>
    <w:p w14:paraId="5F3EE560">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4、其他配套设施</w:t>
      </w:r>
    </w:p>
    <w:p w14:paraId="2F659052">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配套设施主要包括传输设备、网络线路、电源线路、管道敷设、杆件制作与安装等，其中在部分取电困难的位置开户取电或建设太阳能供电。</w:t>
      </w:r>
    </w:p>
    <w:p w14:paraId="342468FC">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5、需实现的功能</w:t>
      </w:r>
    </w:p>
    <w:p w14:paraId="00FE6B83">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（1）恶劣天气管控</w:t>
      </w:r>
    </w:p>
    <w:p w14:paraId="7F4B6669">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实现气象、事故等事件的实时监测、预警，管控情况自动研判分析、管制预案下发、解除、信息发布、诱导提醒、管制分流等相关业务。</w:t>
      </w:r>
    </w:p>
    <w:p w14:paraId="725D06BF">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（2）区域气象及路况感知</w:t>
      </w:r>
    </w:p>
    <w:p w14:paraId="7710E375">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系统与气象部门数据对接，可接收高速公路重点路段气象数据。并通过在恶劣天气与事故易发路段自建气象感知一体桩、智能感知摄像机，实现气象数据、路况信息采集，全方位进行路况信息感知。</w:t>
      </w:r>
    </w:p>
    <w:p w14:paraId="1B4FAA16">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（3）诱导警示</w:t>
      </w:r>
    </w:p>
    <w:p w14:paraId="059DBCD3">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在管控路段服务区、匝道汇流口/分流口部署梯度显示标志，与路口的气象感知一体桩进行信息同步，在管控路段设置多功能诱导警示单元、交通管制告知组合屏，对驾驶人进行文字、声光等提示预警，有效降低事故发生率。</w:t>
      </w:r>
    </w:p>
    <w:p w14:paraId="620E047C">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（4）交通执法</w:t>
      </w:r>
    </w:p>
    <w:p w14:paraId="31CA1B63">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系统需联动超速取证仪、管控等级信息提示牌、交通管制告知组合屏、LED可变限速标志等，对不按规行驶的车辆进行违法取证。</w:t>
      </w:r>
    </w:p>
    <w:p w14:paraId="572E2FE8">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本项目新建恶劣天气管控系统需接入采购人正在运行的高速公路恶劣天气应急管控智慧系统中，实现恶劣天气下统一指挥、控制，支持临时指令下发、资源调度、路况互通，有效解决警情管辖争议、警情跨市蔓延等问题，提升协同指挥作战能力。实现由点至线、由线到面的立体化管控，以织密高速公路安全防控网络，最大限度确保辖区安全有序畅通，维护广大人民群众的生命财产安全。</w:t>
      </w:r>
    </w:p>
    <w:p w14:paraId="0A2C3CCF">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5、现场点位示意如下图（供参考）：</w:t>
      </w:r>
    </w:p>
    <w:p w14:paraId="0D49BEA7">
      <w:pPr>
        <w:spacing w:line="360" w:lineRule="auto"/>
        <w:rPr>
          <w:rFonts w:asciiTheme="minorEastAsia" w:hAnsiTheme="minorEastAsia" w:eastAsiaTheme="minorEastAsia" w:cstheme="minorEastAsia"/>
          <w:b/>
          <w:color w:val="auto"/>
          <w:sz w:val="28"/>
          <w:szCs w:val="28"/>
        </w:rPr>
      </w:pPr>
      <w:r>
        <w:rPr>
          <w:rFonts w:hint="eastAsia" w:hAnsi="宋体"/>
          <w:color w:val="auto"/>
        </w:rPr>
        <w:drawing>
          <wp:inline distT="0" distB="0" distL="0" distR="0">
            <wp:extent cx="5102225" cy="2332355"/>
            <wp:effectExtent l="0" t="0" r="3175" b="10795"/>
            <wp:docPr id="4" name="图片 5" descr="标段四-恶劣天气管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标段四-恶劣天气管控"/>
                    <pic:cNvPicPr>
                      <a:picLocks noChangeAspect="1"/>
                    </pic:cNvPicPr>
                  </pic:nvPicPr>
                  <pic:blipFill>
                    <a:blip r:embed="rId4"/>
                    <a:stretch>
                      <a:fillRect/>
                    </a:stretch>
                  </pic:blipFill>
                  <pic:spPr>
                    <a:xfrm>
                      <a:off x="0" y="0"/>
                      <a:ext cx="5102225" cy="2332355"/>
                    </a:xfrm>
                    <a:prstGeom prst="rect">
                      <a:avLst/>
                    </a:prstGeom>
                  </pic:spPr>
                </pic:pic>
              </a:graphicData>
            </a:graphic>
          </wp:inline>
        </w:drawing>
      </w:r>
    </w:p>
    <w:p w14:paraId="396DBF7F">
      <w:pPr>
        <w:spacing w:line="360" w:lineRule="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四、建设项目清单及技术要求：</w:t>
      </w:r>
    </w:p>
    <w:p w14:paraId="0D9A2E56">
      <w:pPr>
        <w:spacing w:line="360" w:lineRule="auto"/>
        <w:rPr>
          <w:color w:val="auto"/>
        </w:rPr>
      </w:pPr>
      <w:r>
        <w:rPr>
          <w:rFonts w:hint="eastAsia" w:asciiTheme="minorEastAsia" w:hAnsiTheme="minorEastAsia" w:eastAsiaTheme="minorEastAsia" w:cstheme="minorEastAsia"/>
          <w:b/>
          <w:color w:val="auto"/>
          <w:sz w:val="24"/>
        </w:rPr>
        <w:t>注：加“★”标志的为实质性响应指标，为不允许偏离的实质性要求和条件，如有偏离，在符合性审查时按照投标无效处理；加“▲”的响应指标为次重要响应指标；其他为一般响应指标；加“▲”指标须在投标文件中提供由第三方检测机构出具的带有CMA或CNAS认证标志的检测报告扫描件，或提供在签订合同前提供由第三方检测机构出具的带有CMA或CNAS认证标志的检测报告扫描件承诺书（承诺书格式自拟），如投标人在投标文件中提供承诺书，但在签订合同前未</w:t>
      </w:r>
      <w:r>
        <w:rPr>
          <w:rFonts w:hint="eastAsia" w:asciiTheme="minorEastAsia" w:hAnsiTheme="minorEastAsia" w:eastAsiaTheme="minorEastAsia" w:cstheme="minorEastAsia"/>
          <w:b/>
          <w:color w:val="auto"/>
          <w:sz w:val="24"/>
          <w:lang w:val="en-US" w:eastAsia="zh-CN"/>
        </w:rPr>
        <w:t>按要求</w:t>
      </w:r>
      <w:r>
        <w:rPr>
          <w:rFonts w:hint="eastAsia" w:asciiTheme="minorEastAsia" w:hAnsiTheme="minorEastAsia" w:eastAsiaTheme="minorEastAsia" w:cstheme="minorEastAsia"/>
          <w:b/>
          <w:color w:val="auto"/>
          <w:sz w:val="24"/>
        </w:rPr>
        <w:t>提供检测报告的，视为放弃中标资格</w:t>
      </w:r>
      <w:r>
        <w:rPr>
          <w:rFonts w:hint="eastAsia" w:asciiTheme="minorEastAsia" w:hAnsiTheme="minorEastAsia" w:eastAsiaTheme="minorEastAsia" w:cstheme="minorEastAsia"/>
          <w:b/>
          <w:color w:val="auto"/>
          <w:sz w:val="24"/>
          <w:lang w:eastAsia="zh-CN"/>
        </w:rPr>
        <w:t>。</w:t>
      </w:r>
      <w:r>
        <w:rPr>
          <w:rFonts w:hint="eastAsia" w:asciiTheme="minorEastAsia" w:hAnsiTheme="minorEastAsia" w:eastAsiaTheme="minorEastAsia" w:cstheme="minorEastAsia"/>
          <w:b/>
          <w:color w:val="auto"/>
          <w:sz w:val="24"/>
        </w:rPr>
        <w:t>未按照招标文件提供证明材料的视为不满足。</w:t>
      </w:r>
    </w:p>
    <w:tbl>
      <w:tblPr>
        <w:tblStyle w:val="3"/>
        <w:tblW w:w="9373"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97"/>
        <w:gridCol w:w="5550"/>
        <w:gridCol w:w="806"/>
        <w:gridCol w:w="713"/>
      </w:tblGrid>
      <w:tr w14:paraId="4E54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7" w:type="dxa"/>
            <w:shd w:val="clear" w:color="auto" w:fill="auto"/>
            <w:noWrap w:val="0"/>
            <w:vAlign w:val="center"/>
          </w:tcPr>
          <w:p w14:paraId="0571B47F">
            <w:pPr>
              <w:widowControl/>
              <w:ind w:left="48" w:hanging="142"/>
              <w:jc w:val="center"/>
              <w:rPr>
                <w:rFonts w:ascii="宋体" w:hAnsi="宋体" w:cs="宋体"/>
                <w:b/>
                <w:bCs/>
                <w:color w:val="auto"/>
                <w:sz w:val="24"/>
              </w:rPr>
            </w:pPr>
            <w:r>
              <w:rPr>
                <w:rFonts w:hint="eastAsia" w:ascii="宋体" w:hAnsi="宋体" w:cs="宋体"/>
                <w:b/>
                <w:bCs/>
                <w:color w:val="auto"/>
                <w:sz w:val="24"/>
              </w:rPr>
              <w:t>序号</w:t>
            </w:r>
          </w:p>
        </w:tc>
        <w:tc>
          <w:tcPr>
            <w:tcW w:w="1497" w:type="dxa"/>
            <w:shd w:val="clear" w:color="auto" w:fill="auto"/>
            <w:noWrap w:val="0"/>
            <w:vAlign w:val="center"/>
          </w:tcPr>
          <w:p w14:paraId="4686949F">
            <w:pPr>
              <w:widowControl/>
              <w:jc w:val="center"/>
              <w:rPr>
                <w:rFonts w:ascii="宋体" w:hAnsi="宋体" w:cs="宋体"/>
                <w:b/>
                <w:bCs/>
                <w:color w:val="auto"/>
                <w:sz w:val="24"/>
              </w:rPr>
            </w:pPr>
            <w:r>
              <w:rPr>
                <w:rFonts w:hint="eastAsia" w:ascii="宋体" w:hAnsi="宋体" w:cs="宋体"/>
                <w:b/>
                <w:bCs/>
                <w:color w:val="auto"/>
                <w:sz w:val="24"/>
              </w:rPr>
              <w:t>类别</w:t>
            </w:r>
          </w:p>
        </w:tc>
        <w:tc>
          <w:tcPr>
            <w:tcW w:w="5550" w:type="dxa"/>
            <w:shd w:val="clear" w:color="auto" w:fill="auto"/>
            <w:noWrap w:val="0"/>
            <w:vAlign w:val="center"/>
          </w:tcPr>
          <w:p w14:paraId="6D5D9912">
            <w:pPr>
              <w:widowControl/>
              <w:ind w:left="-2" w:firstLine="1"/>
              <w:jc w:val="center"/>
              <w:rPr>
                <w:rFonts w:ascii="宋体" w:hAnsi="宋体" w:cs="宋体"/>
                <w:b/>
                <w:bCs/>
                <w:color w:val="auto"/>
                <w:sz w:val="24"/>
              </w:rPr>
            </w:pPr>
            <w:r>
              <w:rPr>
                <w:rFonts w:hint="eastAsia" w:ascii="宋体" w:hAnsi="宋体" w:cs="宋体"/>
                <w:b/>
                <w:bCs/>
                <w:color w:val="auto"/>
                <w:sz w:val="24"/>
              </w:rPr>
              <w:t>硬件配置</w:t>
            </w:r>
          </w:p>
        </w:tc>
        <w:tc>
          <w:tcPr>
            <w:tcW w:w="806" w:type="dxa"/>
            <w:shd w:val="clear" w:color="auto" w:fill="auto"/>
            <w:noWrap w:val="0"/>
            <w:vAlign w:val="center"/>
          </w:tcPr>
          <w:p w14:paraId="648403C7">
            <w:pPr>
              <w:widowControl/>
              <w:ind w:left="-2" w:firstLine="17"/>
              <w:jc w:val="center"/>
              <w:rPr>
                <w:rFonts w:ascii="宋体" w:hAnsi="宋体" w:cs="宋体"/>
                <w:b/>
                <w:bCs/>
                <w:color w:val="auto"/>
                <w:sz w:val="24"/>
              </w:rPr>
            </w:pPr>
            <w:r>
              <w:rPr>
                <w:rFonts w:hint="eastAsia" w:ascii="宋体" w:hAnsi="宋体" w:cs="宋体"/>
                <w:b/>
                <w:bCs/>
                <w:color w:val="auto"/>
                <w:sz w:val="24"/>
              </w:rPr>
              <w:t>数量</w:t>
            </w:r>
          </w:p>
        </w:tc>
        <w:tc>
          <w:tcPr>
            <w:tcW w:w="713" w:type="dxa"/>
            <w:shd w:val="clear" w:color="auto" w:fill="auto"/>
            <w:noWrap w:val="0"/>
            <w:vAlign w:val="center"/>
          </w:tcPr>
          <w:p w14:paraId="7D5D866F">
            <w:pPr>
              <w:widowControl/>
              <w:ind w:left="44" w:hanging="130"/>
              <w:jc w:val="center"/>
              <w:rPr>
                <w:rFonts w:ascii="宋体" w:hAnsi="宋体" w:cs="宋体"/>
                <w:b/>
                <w:bCs/>
                <w:color w:val="auto"/>
                <w:sz w:val="24"/>
              </w:rPr>
            </w:pPr>
            <w:r>
              <w:rPr>
                <w:rFonts w:hint="eastAsia" w:ascii="宋体" w:hAnsi="宋体" w:cs="宋体"/>
                <w:b/>
                <w:bCs/>
                <w:color w:val="auto"/>
                <w:sz w:val="24"/>
              </w:rPr>
              <w:t>单位</w:t>
            </w:r>
          </w:p>
        </w:tc>
      </w:tr>
      <w:tr w14:paraId="218C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7" w:type="dxa"/>
            <w:shd w:val="clear" w:color="auto" w:fill="auto"/>
            <w:noWrap w:val="0"/>
            <w:vAlign w:val="center"/>
          </w:tcPr>
          <w:p w14:paraId="01E7E6C1">
            <w:pPr>
              <w:widowControl/>
              <w:ind w:left="47" w:hanging="141"/>
              <w:jc w:val="center"/>
              <w:rPr>
                <w:rFonts w:ascii="宋体" w:hAnsi="宋体" w:cs="宋体"/>
                <w:color w:val="auto"/>
                <w:sz w:val="24"/>
              </w:rPr>
            </w:pPr>
            <w:r>
              <w:rPr>
                <w:rFonts w:hint="eastAsia" w:ascii="宋体" w:hAnsi="宋体" w:cs="宋体"/>
                <w:color w:val="auto"/>
                <w:sz w:val="24"/>
              </w:rPr>
              <w:t>1</w:t>
            </w:r>
          </w:p>
        </w:tc>
        <w:tc>
          <w:tcPr>
            <w:tcW w:w="1497" w:type="dxa"/>
            <w:shd w:val="clear" w:color="auto" w:fill="auto"/>
            <w:noWrap w:val="0"/>
            <w:vAlign w:val="center"/>
          </w:tcPr>
          <w:p w14:paraId="6F8F9A29">
            <w:pPr>
              <w:widowControl/>
              <w:jc w:val="center"/>
              <w:rPr>
                <w:rFonts w:ascii="宋体" w:hAnsi="宋体" w:cs="宋体"/>
                <w:color w:val="auto"/>
                <w:sz w:val="24"/>
              </w:rPr>
            </w:pPr>
            <w:r>
              <w:rPr>
                <w:rFonts w:hint="eastAsia" w:ascii="宋体" w:hAnsi="宋体" w:cs="宋体"/>
                <w:color w:val="auto"/>
                <w:sz w:val="24"/>
              </w:rPr>
              <w:t>限速取证仪</w:t>
            </w:r>
          </w:p>
        </w:tc>
        <w:tc>
          <w:tcPr>
            <w:tcW w:w="5550" w:type="dxa"/>
            <w:shd w:val="clear" w:color="auto" w:fill="auto"/>
            <w:noWrap w:val="0"/>
            <w:vAlign w:val="center"/>
          </w:tcPr>
          <w:p w14:paraId="2B3E4A27">
            <w:pPr>
              <w:widowControl/>
              <w:jc w:val="left"/>
              <w:rPr>
                <w:rFonts w:hint="eastAsia" w:ascii="宋体" w:hAnsi="宋体" w:eastAsia="宋体" w:cs="宋体"/>
                <w:color w:val="auto"/>
                <w:sz w:val="24"/>
                <w:lang w:eastAsia="zh-CN"/>
              </w:rPr>
            </w:pPr>
            <w:r>
              <w:rPr>
                <w:rFonts w:hint="eastAsia" w:ascii="宋体" w:hAnsi="宋体" w:cs="宋体"/>
                <w:color w:val="auto"/>
                <w:sz w:val="24"/>
              </w:rPr>
              <w:t>★1、符合GA/T 497-2016道路车辆智能监测记录系统通用技术条件。</w:t>
            </w:r>
            <w:r>
              <w:rPr>
                <w:rFonts w:hint="eastAsia" w:ascii="宋体" w:hAnsi="宋体" w:cs="宋体"/>
                <w:color w:val="auto"/>
                <w:sz w:val="24"/>
              </w:rPr>
              <w:br w:type="textWrapping"/>
            </w:r>
            <w:r>
              <w:rPr>
                <w:rFonts w:hint="eastAsia" w:ascii="宋体" w:hAnsi="宋体" w:cs="宋体"/>
                <w:color w:val="auto"/>
                <w:sz w:val="24"/>
              </w:rPr>
              <w:t>★2、符合GA/T 832-2014道路交通安全违法行为图像取证技术规范的检测判定依据。</w:t>
            </w:r>
            <w:r>
              <w:rPr>
                <w:rFonts w:hint="eastAsia" w:ascii="宋体" w:hAnsi="宋体" w:cs="宋体"/>
                <w:color w:val="auto"/>
                <w:sz w:val="24"/>
              </w:rPr>
              <w:br w:type="textWrapping"/>
            </w:r>
            <w:r>
              <w:rPr>
                <w:rFonts w:hint="eastAsia" w:ascii="宋体" w:hAnsi="宋体" w:cs="宋体"/>
                <w:color w:val="auto"/>
                <w:sz w:val="24"/>
              </w:rPr>
              <w:t>3、全景图像中应标明车辆经过监测点的时间、地点、行驶方向等通行数据。</w:t>
            </w:r>
            <w:r>
              <w:rPr>
                <w:rFonts w:hint="eastAsia" w:ascii="宋体" w:hAnsi="宋体" w:cs="宋体"/>
                <w:color w:val="auto"/>
                <w:sz w:val="24"/>
              </w:rPr>
              <w:br w:type="textWrapping"/>
            </w:r>
            <w:r>
              <w:rPr>
                <w:rFonts w:hint="eastAsia" w:ascii="宋体" w:hAnsi="宋体" w:cs="宋体"/>
                <w:color w:val="auto"/>
                <w:sz w:val="24"/>
              </w:rPr>
              <w:t>4、机动车违反限速规定的,每幅图片应叠加限速值和行驶速度值，每幅图片上应叠加雷达测试方向。</w:t>
            </w:r>
            <w:r>
              <w:rPr>
                <w:rFonts w:hint="eastAsia" w:ascii="宋体" w:hAnsi="宋体" w:cs="宋体"/>
                <w:color w:val="auto"/>
                <w:sz w:val="24"/>
              </w:rPr>
              <w:br w:type="textWrapping"/>
            </w:r>
            <w:r>
              <w:rPr>
                <w:rFonts w:hint="eastAsia" w:ascii="宋体" w:hAnsi="宋体" w:cs="宋体"/>
                <w:color w:val="auto"/>
                <w:sz w:val="24"/>
              </w:rPr>
              <w:t>5、检测区域不少于 3车道，应能检测出进入检测区域的车辆，并输出一张全景图片。</w:t>
            </w:r>
            <w:r>
              <w:rPr>
                <w:rFonts w:hint="eastAsia" w:ascii="宋体" w:hAnsi="宋体" w:cs="宋体"/>
                <w:color w:val="auto"/>
                <w:sz w:val="24"/>
              </w:rPr>
              <w:br w:type="textWrapping"/>
            </w:r>
            <w:r>
              <w:rPr>
                <w:rFonts w:hint="eastAsia" w:ascii="宋体" w:hAnsi="宋体" w:cs="宋体"/>
                <w:color w:val="auto"/>
                <w:sz w:val="24"/>
              </w:rPr>
              <w:t>6、应能检测出进入禁行车道的黄牌车辆，并输出两张全景图片。检出率应≥98%，准确率应≥98%。其中号牌的图像水平分辨率不低于100个像素点。</w:t>
            </w:r>
            <w:r>
              <w:rPr>
                <w:rFonts w:hint="eastAsia" w:ascii="宋体" w:hAnsi="宋体" w:cs="宋体"/>
                <w:color w:val="auto"/>
                <w:sz w:val="24"/>
              </w:rPr>
              <w:br w:type="textWrapping"/>
            </w:r>
            <w:r>
              <w:rPr>
                <w:rFonts w:hint="eastAsia" w:ascii="宋体" w:hAnsi="宋体" w:cs="宋体"/>
                <w:color w:val="auto"/>
                <w:sz w:val="24"/>
              </w:rPr>
              <w:t>7、应能检测出进入应急车道的车辆</w:t>
            </w:r>
            <w:r>
              <w:rPr>
                <w:rFonts w:hint="eastAsia" w:ascii="宋体" w:hAnsi="宋体" w:cs="宋体"/>
                <w:color w:val="auto"/>
                <w:sz w:val="24"/>
                <w:lang w:eastAsia="zh-CN"/>
              </w:rPr>
              <w:t>，</w:t>
            </w:r>
            <w:r>
              <w:rPr>
                <w:rFonts w:hint="eastAsia" w:ascii="宋体" w:hAnsi="宋体" w:cs="宋体"/>
                <w:color w:val="auto"/>
                <w:sz w:val="24"/>
              </w:rPr>
              <w:t>并输出两张全景图片。检出率≥ 98%，准确率≥98%。其中号牌的 图像水平分辨率不低于 100个像素点。</w:t>
            </w:r>
            <w:r>
              <w:rPr>
                <w:rFonts w:hint="eastAsia" w:ascii="宋体" w:hAnsi="宋体" w:cs="宋体"/>
                <w:color w:val="auto"/>
                <w:sz w:val="24"/>
              </w:rPr>
              <w:br w:type="textWrapping"/>
            </w:r>
            <w:r>
              <w:rPr>
                <w:rFonts w:hint="eastAsia" w:ascii="宋体" w:hAnsi="宋体" w:cs="宋体"/>
                <w:color w:val="auto"/>
                <w:sz w:val="24"/>
              </w:rPr>
              <w:t>8、应能检测出违法 (实线、导流线) 变道抓拍功能。</w:t>
            </w:r>
            <w:r>
              <w:rPr>
                <w:rFonts w:hint="eastAsia" w:ascii="宋体" w:hAnsi="宋体" w:cs="宋体"/>
                <w:color w:val="auto"/>
                <w:sz w:val="24"/>
              </w:rPr>
              <w:br w:type="textWrapping"/>
            </w:r>
            <w:r>
              <w:rPr>
                <w:rFonts w:hint="eastAsia" w:ascii="宋体" w:hAnsi="宋体" w:cs="宋体"/>
                <w:color w:val="auto"/>
                <w:sz w:val="24"/>
              </w:rPr>
              <w:t>9、应具备自动与北京时间同步功能</w:t>
            </w:r>
            <w:r>
              <w:rPr>
                <w:rFonts w:hint="eastAsia" w:ascii="宋体" w:hAnsi="宋体" w:cs="宋体"/>
                <w:color w:val="auto"/>
                <w:sz w:val="24"/>
                <w:lang w:eastAsia="zh-CN"/>
              </w:rPr>
              <w:t>。</w:t>
            </w:r>
          </w:p>
          <w:p w14:paraId="0B485642">
            <w:pPr>
              <w:widowControl/>
              <w:jc w:val="left"/>
              <w:rPr>
                <w:rFonts w:ascii="宋体" w:hAnsi="宋体" w:cs="宋体"/>
                <w:color w:val="auto"/>
                <w:sz w:val="24"/>
              </w:rPr>
            </w:pPr>
            <w:r>
              <w:rPr>
                <w:rFonts w:hint="eastAsia" w:ascii="宋体" w:hAnsi="宋体" w:cs="宋体"/>
                <w:color w:val="auto"/>
                <w:sz w:val="24"/>
              </w:rPr>
              <w:t>10、含快装支架、抓拍机、镜头、控制芯片、通信模块、电池等。</w:t>
            </w:r>
          </w:p>
        </w:tc>
        <w:tc>
          <w:tcPr>
            <w:tcW w:w="806" w:type="dxa"/>
            <w:shd w:val="clear" w:color="auto" w:fill="auto"/>
            <w:noWrap w:val="0"/>
            <w:vAlign w:val="center"/>
          </w:tcPr>
          <w:p w14:paraId="20B8F370">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2B09CA5B">
            <w:pPr>
              <w:widowControl/>
              <w:ind w:left="43" w:hanging="129"/>
              <w:jc w:val="center"/>
              <w:rPr>
                <w:rFonts w:ascii="宋体" w:hAnsi="宋体" w:cs="宋体"/>
                <w:color w:val="auto"/>
                <w:sz w:val="24"/>
              </w:rPr>
            </w:pPr>
            <w:r>
              <w:rPr>
                <w:rFonts w:hint="eastAsia" w:ascii="宋体" w:hAnsi="宋体" w:cs="宋体"/>
                <w:color w:val="auto"/>
                <w:sz w:val="24"/>
              </w:rPr>
              <w:t>台</w:t>
            </w:r>
          </w:p>
        </w:tc>
      </w:tr>
      <w:tr w14:paraId="6395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7" w:type="dxa"/>
            <w:shd w:val="clear" w:color="auto" w:fill="auto"/>
            <w:noWrap w:val="0"/>
            <w:vAlign w:val="center"/>
          </w:tcPr>
          <w:p w14:paraId="138899D1">
            <w:pPr>
              <w:widowControl/>
              <w:ind w:left="47" w:hanging="141"/>
              <w:jc w:val="center"/>
              <w:rPr>
                <w:rFonts w:ascii="宋体" w:hAnsi="宋体" w:cs="宋体"/>
                <w:color w:val="auto"/>
                <w:sz w:val="24"/>
              </w:rPr>
            </w:pPr>
            <w:r>
              <w:rPr>
                <w:rFonts w:hint="eastAsia" w:ascii="宋体" w:hAnsi="宋体" w:cs="宋体"/>
                <w:color w:val="auto"/>
                <w:sz w:val="24"/>
              </w:rPr>
              <w:t>2</w:t>
            </w:r>
          </w:p>
        </w:tc>
        <w:tc>
          <w:tcPr>
            <w:tcW w:w="1497" w:type="dxa"/>
            <w:shd w:val="clear" w:color="auto" w:fill="auto"/>
            <w:noWrap w:val="0"/>
            <w:vAlign w:val="center"/>
          </w:tcPr>
          <w:p w14:paraId="1FE8D3A2">
            <w:pPr>
              <w:widowControl/>
              <w:jc w:val="center"/>
              <w:rPr>
                <w:rFonts w:ascii="宋体" w:hAnsi="宋体" w:cs="宋体"/>
                <w:color w:val="auto"/>
                <w:sz w:val="24"/>
              </w:rPr>
            </w:pPr>
            <w:r>
              <w:rPr>
                <w:rFonts w:hint="eastAsia" w:ascii="宋体" w:hAnsi="宋体" w:cs="宋体"/>
                <w:color w:val="auto"/>
                <w:sz w:val="24"/>
              </w:rPr>
              <w:t>超速取证仪</w:t>
            </w:r>
          </w:p>
        </w:tc>
        <w:tc>
          <w:tcPr>
            <w:tcW w:w="5550" w:type="dxa"/>
            <w:shd w:val="clear" w:color="auto" w:fill="auto"/>
            <w:noWrap w:val="0"/>
            <w:vAlign w:val="center"/>
          </w:tcPr>
          <w:p w14:paraId="6506AF7F">
            <w:pPr>
              <w:widowControl/>
              <w:jc w:val="left"/>
              <w:rPr>
                <w:rFonts w:hint="eastAsia" w:ascii="宋体" w:hAnsi="宋体" w:eastAsia="宋体" w:cs="宋体"/>
                <w:color w:val="auto"/>
                <w:sz w:val="24"/>
                <w:lang w:eastAsia="zh-CN"/>
              </w:rPr>
            </w:pPr>
            <w:r>
              <w:rPr>
                <w:rFonts w:hint="eastAsia" w:ascii="宋体" w:hAnsi="宋体" w:cs="宋体"/>
                <w:color w:val="auto"/>
                <w:sz w:val="24"/>
              </w:rPr>
              <w:t>★1、符合GA/T497-2016道路车辆智能监测记录系统通用技术条件。</w:t>
            </w:r>
            <w:r>
              <w:rPr>
                <w:rFonts w:hint="eastAsia" w:ascii="宋体" w:hAnsi="宋体" w:cs="宋体"/>
                <w:color w:val="auto"/>
                <w:sz w:val="24"/>
              </w:rPr>
              <w:br w:type="textWrapping"/>
            </w:r>
            <w:r>
              <w:rPr>
                <w:rFonts w:hint="eastAsia" w:ascii="宋体" w:hAnsi="宋体" w:cs="宋体"/>
                <w:color w:val="auto"/>
                <w:sz w:val="24"/>
              </w:rPr>
              <w:t>★2、符合GA/T832-2014道路交通安全违法行为图像取证技术规范的检测判定依据。</w:t>
            </w:r>
            <w:r>
              <w:rPr>
                <w:rFonts w:hint="eastAsia" w:ascii="宋体" w:hAnsi="宋体" w:cs="宋体"/>
                <w:color w:val="auto"/>
                <w:sz w:val="24"/>
              </w:rPr>
              <w:br w:type="textWrapping"/>
            </w:r>
            <w:r>
              <w:rPr>
                <w:rFonts w:hint="eastAsia" w:ascii="宋体" w:hAnsi="宋体" w:cs="宋体"/>
                <w:color w:val="auto"/>
                <w:sz w:val="24"/>
              </w:rPr>
              <w:t>3、全景图像中应标明车辆经过监测点的时间、地点、行驶方向等通行数据。</w:t>
            </w:r>
            <w:r>
              <w:rPr>
                <w:rFonts w:hint="eastAsia" w:ascii="宋体" w:hAnsi="宋体" w:cs="宋体"/>
                <w:color w:val="auto"/>
                <w:sz w:val="24"/>
              </w:rPr>
              <w:br w:type="textWrapping"/>
            </w:r>
            <w:r>
              <w:rPr>
                <w:rFonts w:hint="eastAsia" w:ascii="宋体" w:hAnsi="宋体" w:cs="宋体"/>
                <w:color w:val="auto"/>
                <w:sz w:val="24"/>
              </w:rPr>
              <w:t>4、机动车违反限速规定的,每幅图片应叠加限速值和行驶速度值，每幅图片上应叠加雷达测试方向。</w:t>
            </w:r>
            <w:r>
              <w:rPr>
                <w:rFonts w:hint="eastAsia" w:ascii="宋体" w:hAnsi="宋体" w:cs="宋体"/>
                <w:color w:val="auto"/>
                <w:sz w:val="24"/>
              </w:rPr>
              <w:br w:type="textWrapping"/>
            </w:r>
            <w:r>
              <w:rPr>
                <w:rFonts w:hint="eastAsia" w:ascii="宋体" w:hAnsi="宋体" w:cs="宋体"/>
                <w:color w:val="auto"/>
                <w:sz w:val="24"/>
              </w:rPr>
              <w:t>5、测速范围应至少满 足20km/h～200km/h。</w:t>
            </w:r>
            <w:r>
              <w:rPr>
                <w:rFonts w:hint="eastAsia" w:ascii="宋体" w:hAnsi="宋体" w:cs="宋体"/>
                <w:color w:val="auto"/>
                <w:sz w:val="24"/>
              </w:rPr>
              <w:br w:type="textWrapping"/>
            </w:r>
            <w:r>
              <w:rPr>
                <w:rFonts w:hint="eastAsia" w:ascii="宋体" w:hAnsi="宋体" w:cs="宋体"/>
                <w:color w:val="auto"/>
                <w:sz w:val="24"/>
              </w:rPr>
              <w:t>▲6、超速车辆捕获率≥ 95%；超速车辆图像有效率≥95%。</w:t>
            </w:r>
            <w:r>
              <w:rPr>
                <w:rFonts w:hint="eastAsia" w:ascii="宋体" w:hAnsi="宋体" w:cs="宋体"/>
                <w:color w:val="auto"/>
                <w:sz w:val="24"/>
              </w:rPr>
              <w:br w:type="textWrapping"/>
            </w:r>
            <w:r>
              <w:rPr>
                <w:rFonts w:hint="eastAsia" w:ascii="宋体" w:hAnsi="宋体" w:cs="宋体"/>
                <w:color w:val="auto"/>
                <w:sz w:val="24"/>
              </w:rPr>
              <w:t>7、应能根据大、小车辆类型设定限速值。</w:t>
            </w:r>
            <w:r>
              <w:rPr>
                <w:rFonts w:hint="eastAsia" w:ascii="宋体" w:hAnsi="宋体" w:cs="宋体"/>
                <w:color w:val="auto"/>
                <w:sz w:val="24"/>
              </w:rPr>
              <w:br w:type="textWrapping"/>
            </w:r>
            <w:r>
              <w:rPr>
                <w:rFonts w:hint="eastAsia" w:ascii="宋体" w:hAnsi="宋体" w:cs="宋体"/>
                <w:color w:val="auto"/>
                <w:sz w:val="24"/>
              </w:rPr>
              <w:t>8、手持终端具有接收并执行应用软件发送的修改限速值指令的功能。</w:t>
            </w:r>
            <w:r>
              <w:rPr>
                <w:rFonts w:hint="eastAsia" w:ascii="宋体" w:hAnsi="宋体" w:cs="宋体"/>
                <w:color w:val="auto"/>
                <w:sz w:val="24"/>
              </w:rPr>
              <w:br w:type="textWrapping"/>
            </w:r>
            <w:r>
              <w:rPr>
                <w:rFonts w:hint="eastAsia" w:ascii="宋体" w:hAnsi="宋体" w:cs="宋体"/>
                <w:color w:val="auto"/>
                <w:sz w:val="24"/>
              </w:rPr>
              <w:t>9、检测区域不少于3车道，应能检测出进入检测区域的车辆，并输出一张全景图片。</w:t>
            </w:r>
            <w:r>
              <w:rPr>
                <w:rFonts w:hint="eastAsia" w:ascii="宋体" w:hAnsi="宋体" w:cs="宋体"/>
                <w:color w:val="auto"/>
                <w:sz w:val="24"/>
              </w:rPr>
              <w:br w:type="textWrapping"/>
            </w:r>
            <w:r>
              <w:rPr>
                <w:rFonts w:hint="eastAsia" w:ascii="宋体" w:hAnsi="宋体" w:cs="宋体"/>
                <w:color w:val="auto"/>
                <w:sz w:val="24"/>
              </w:rPr>
              <w:t>▲10、能检测出进入禁行车道的黄牌车辆，并输出两张全景图片。检出率≥98%，准确率≥98%。其中号牌的图像水平分辨率不低于100个像素点。</w:t>
            </w:r>
            <w:r>
              <w:rPr>
                <w:rFonts w:hint="eastAsia" w:ascii="宋体" w:hAnsi="宋体" w:cs="宋体"/>
                <w:color w:val="auto"/>
                <w:sz w:val="24"/>
              </w:rPr>
              <w:br w:type="textWrapping"/>
            </w:r>
            <w:r>
              <w:rPr>
                <w:rFonts w:hint="eastAsia" w:ascii="宋体" w:hAnsi="宋体" w:cs="宋体"/>
                <w:color w:val="auto"/>
                <w:sz w:val="24"/>
              </w:rPr>
              <w:t>11、能检测出进入应急车道的车辆, 并输出两张全景图片。检出率≥ 98%，准确率≥98%。其中号牌的图像水平分辨率不低于 100个像素点。</w:t>
            </w:r>
            <w:r>
              <w:rPr>
                <w:rFonts w:hint="eastAsia" w:ascii="宋体" w:hAnsi="宋体" w:cs="宋体"/>
                <w:color w:val="auto"/>
                <w:sz w:val="24"/>
              </w:rPr>
              <w:br w:type="textWrapping"/>
            </w:r>
            <w:r>
              <w:rPr>
                <w:rFonts w:hint="eastAsia" w:ascii="宋体" w:hAnsi="宋体" w:cs="宋体"/>
                <w:color w:val="auto"/>
                <w:sz w:val="24"/>
              </w:rPr>
              <w:t>▲12、能检测出违法 (实线、导流线) 变道抓拍功能。</w:t>
            </w:r>
            <w:r>
              <w:rPr>
                <w:rFonts w:hint="eastAsia" w:ascii="宋体" w:hAnsi="宋体" w:cs="宋体"/>
                <w:color w:val="auto"/>
                <w:sz w:val="24"/>
              </w:rPr>
              <w:br w:type="textWrapping"/>
            </w:r>
            <w:r>
              <w:rPr>
                <w:rFonts w:hint="eastAsia" w:ascii="宋体" w:hAnsi="宋体" w:cs="宋体"/>
                <w:color w:val="auto"/>
                <w:sz w:val="24"/>
              </w:rPr>
              <w:t>13、应具备自动与北京时间同步功能</w:t>
            </w:r>
            <w:r>
              <w:rPr>
                <w:rFonts w:hint="eastAsia" w:ascii="宋体" w:hAnsi="宋体" w:cs="宋体"/>
                <w:color w:val="auto"/>
                <w:sz w:val="24"/>
                <w:lang w:eastAsia="zh-CN"/>
              </w:rPr>
              <w:t>。</w:t>
            </w:r>
          </w:p>
          <w:p w14:paraId="0CDC5E1A">
            <w:pPr>
              <w:widowControl/>
              <w:jc w:val="left"/>
              <w:rPr>
                <w:rFonts w:ascii="宋体" w:hAnsi="宋体" w:cs="宋体"/>
                <w:color w:val="auto"/>
                <w:sz w:val="24"/>
              </w:rPr>
            </w:pPr>
            <w:r>
              <w:rPr>
                <w:rFonts w:hint="eastAsia" w:ascii="宋体" w:hAnsi="宋体" w:cs="宋体"/>
                <w:color w:val="auto"/>
                <w:sz w:val="24"/>
              </w:rPr>
              <w:t>14、含含快装支架、抓拍机、镜头、控制芯片、通信模块、电池。</w:t>
            </w:r>
          </w:p>
        </w:tc>
        <w:tc>
          <w:tcPr>
            <w:tcW w:w="806" w:type="dxa"/>
            <w:shd w:val="clear" w:color="auto" w:fill="auto"/>
            <w:noWrap w:val="0"/>
            <w:vAlign w:val="center"/>
          </w:tcPr>
          <w:p w14:paraId="34260DBE">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48B38EB1">
            <w:pPr>
              <w:widowControl/>
              <w:ind w:left="43" w:hanging="129"/>
              <w:jc w:val="center"/>
              <w:rPr>
                <w:rFonts w:ascii="宋体" w:hAnsi="宋体" w:cs="宋体"/>
                <w:color w:val="auto"/>
                <w:sz w:val="24"/>
              </w:rPr>
            </w:pPr>
            <w:r>
              <w:rPr>
                <w:rFonts w:hint="eastAsia" w:ascii="宋体" w:hAnsi="宋体" w:cs="宋体"/>
                <w:color w:val="auto"/>
                <w:sz w:val="24"/>
              </w:rPr>
              <w:t>台</w:t>
            </w:r>
          </w:p>
        </w:tc>
      </w:tr>
      <w:tr w14:paraId="2A13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07" w:type="dxa"/>
            <w:shd w:val="clear" w:color="auto" w:fill="auto"/>
            <w:noWrap w:val="0"/>
            <w:vAlign w:val="center"/>
          </w:tcPr>
          <w:p w14:paraId="2C7942C6">
            <w:pPr>
              <w:widowControl/>
              <w:ind w:left="47" w:hanging="141"/>
              <w:jc w:val="center"/>
              <w:rPr>
                <w:rFonts w:ascii="宋体" w:hAnsi="宋体" w:cs="宋体"/>
                <w:color w:val="auto"/>
                <w:sz w:val="24"/>
              </w:rPr>
            </w:pPr>
            <w:r>
              <w:rPr>
                <w:rFonts w:hint="eastAsia" w:ascii="宋体" w:hAnsi="宋体" w:cs="宋体"/>
                <w:color w:val="auto"/>
                <w:sz w:val="24"/>
              </w:rPr>
              <w:t>3</w:t>
            </w:r>
          </w:p>
        </w:tc>
        <w:tc>
          <w:tcPr>
            <w:tcW w:w="1497" w:type="dxa"/>
            <w:shd w:val="clear" w:color="auto" w:fill="auto"/>
            <w:noWrap w:val="0"/>
            <w:vAlign w:val="center"/>
          </w:tcPr>
          <w:p w14:paraId="12C51EF9">
            <w:pPr>
              <w:widowControl/>
              <w:jc w:val="center"/>
              <w:rPr>
                <w:rFonts w:ascii="宋体" w:hAnsi="宋体" w:cs="宋体"/>
                <w:color w:val="auto"/>
                <w:sz w:val="24"/>
              </w:rPr>
            </w:pPr>
            <w:r>
              <w:rPr>
                <w:rFonts w:hint="eastAsia" w:ascii="宋体" w:hAnsi="宋体" w:cs="宋体"/>
                <w:color w:val="auto"/>
                <w:sz w:val="24"/>
              </w:rPr>
              <w:t>车牌补光灯</w:t>
            </w:r>
          </w:p>
        </w:tc>
        <w:tc>
          <w:tcPr>
            <w:tcW w:w="5550" w:type="dxa"/>
            <w:shd w:val="clear" w:color="auto" w:fill="auto"/>
            <w:noWrap w:val="0"/>
            <w:vAlign w:val="center"/>
          </w:tcPr>
          <w:p w14:paraId="4B7B8557">
            <w:pPr>
              <w:widowControl/>
              <w:jc w:val="left"/>
              <w:rPr>
                <w:rFonts w:ascii="宋体" w:hAnsi="宋体" w:cs="宋体"/>
                <w:color w:val="auto"/>
                <w:sz w:val="24"/>
              </w:rPr>
            </w:pPr>
            <w:r>
              <w:rPr>
                <w:rFonts w:hint="eastAsia" w:ascii="宋体" w:hAnsi="宋体" w:cs="宋体"/>
                <w:color w:val="auto"/>
                <w:sz w:val="24"/>
              </w:rPr>
              <w:t>★1、符合GA/T 1202-2022《交通技术监控成像补光装置通用技术条件》。</w:t>
            </w:r>
          </w:p>
          <w:p w14:paraId="239D8B6D">
            <w:pPr>
              <w:widowControl/>
              <w:ind w:left="-2" w:firstLine="1"/>
              <w:rPr>
                <w:rFonts w:ascii="宋体" w:hAnsi="宋体" w:cs="宋体"/>
                <w:color w:val="auto"/>
                <w:sz w:val="24"/>
              </w:rPr>
            </w:pPr>
            <w:r>
              <w:rPr>
                <w:rFonts w:hint="eastAsia" w:ascii="宋体" w:hAnsi="宋体" w:cs="宋体"/>
                <w:color w:val="auto"/>
                <w:sz w:val="24"/>
              </w:rPr>
              <w:t>2、光源类型：LED，单车道环境补光。</w:t>
            </w:r>
          </w:p>
          <w:p w14:paraId="77E84D96">
            <w:pPr>
              <w:widowControl/>
              <w:ind w:left="-2" w:firstLine="1"/>
              <w:rPr>
                <w:rFonts w:ascii="宋体" w:hAnsi="宋体" w:cs="宋体"/>
                <w:color w:val="auto"/>
                <w:sz w:val="24"/>
              </w:rPr>
            </w:pPr>
            <w:r>
              <w:rPr>
                <w:rFonts w:hint="eastAsia" w:ascii="宋体" w:hAnsi="宋体" w:cs="宋体"/>
                <w:color w:val="auto"/>
                <w:sz w:val="24"/>
              </w:rPr>
              <w:t>3、LED灯珠数量：16颗。</w:t>
            </w:r>
          </w:p>
          <w:p w14:paraId="2E92EB6E">
            <w:pPr>
              <w:widowControl/>
              <w:ind w:left="-2" w:firstLine="1"/>
              <w:rPr>
                <w:rFonts w:ascii="宋体" w:hAnsi="宋体" w:cs="宋体"/>
                <w:color w:val="auto"/>
                <w:sz w:val="24"/>
              </w:rPr>
            </w:pPr>
            <w:r>
              <w:rPr>
                <w:rFonts w:hint="eastAsia" w:ascii="宋体" w:hAnsi="宋体" w:cs="宋体"/>
                <w:color w:val="auto"/>
                <w:sz w:val="24"/>
              </w:rPr>
              <w:t>4、发光角度：10°。</w:t>
            </w:r>
          </w:p>
          <w:p w14:paraId="42D7A0B8">
            <w:pPr>
              <w:widowControl/>
              <w:rPr>
                <w:rFonts w:ascii="宋体" w:hAnsi="宋体" w:cs="宋体"/>
                <w:color w:val="auto"/>
                <w:sz w:val="24"/>
              </w:rPr>
            </w:pPr>
            <w:r>
              <w:rPr>
                <w:rFonts w:hint="eastAsia" w:ascii="宋体" w:hAnsi="宋体" w:cs="宋体"/>
                <w:color w:val="auto"/>
                <w:sz w:val="24"/>
              </w:rPr>
              <w:t>5、最佳补光距离：16米～25米。</w:t>
            </w:r>
          </w:p>
          <w:p w14:paraId="6F0B09BA">
            <w:pPr>
              <w:widowControl/>
              <w:ind w:left="-2" w:firstLine="1"/>
              <w:rPr>
                <w:rFonts w:ascii="宋体" w:hAnsi="宋体" w:cs="宋体"/>
                <w:color w:val="auto"/>
                <w:sz w:val="24"/>
              </w:rPr>
            </w:pPr>
            <w:r>
              <w:rPr>
                <w:rFonts w:hint="eastAsia" w:ascii="宋体" w:hAnsi="宋体" w:cs="宋体"/>
                <w:color w:val="auto"/>
                <w:sz w:val="24"/>
              </w:rPr>
              <w:t>6、触发方式：电平量触发(可选配开关量触发)。</w:t>
            </w:r>
          </w:p>
          <w:p w14:paraId="3DD57FBF">
            <w:pPr>
              <w:widowControl/>
              <w:ind w:left="-2" w:firstLine="1"/>
              <w:rPr>
                <w:rFonts w:ascii="宋体" w:hAnsi="宋体" w:cs="宋体"/>
                <w:color w:val="auto"/>
                <w:sz w:val="24"/>
              </w:rPr>
            </w:pPr>
            <w:r>
              <w:rPr>
                <w:rFonts w:hint="eastAsia" w:ascii="宋体" w:hAnsi="宋体" w:cs="宋体"/>
                <w:color w:val="auto"/>
                <w:sz w:val="24"/>
              </w:rPr>
              <w:t>7、响应时间＜20us。</w:t>
            </w:r>
          </w:p>
          <w:p w14:paraId="1D75CF0B">
            <w:pPr>
              <w:widowControl/>
              <w:ind w:left="-2" w:firstLine="1"/>
              <w:rPr>
                <w:rFonts w:ascii="宋体" w:hAnsi="宋体" w:cs="宋体"/>
                <w:color w:val="auto"/>
                <w:sz w:val="24"/>
              </w:rPr>
            </w:pPr>
            <w:r>
              <w:rPr>
                <w:rFonts w:hint="eastAsia" w:ascii="宋体" w:hAnsi="宋体" w:cs="宋体"/>
                <w:color w:val="auto"/>
                <w:sz w:val="24"/>
              </w:rPr>
              <w:t>8、触发信号电平：4V～6V。</w:t>
            </w:r>
          </w:p>
          <w:p w14:paraId="798E72FD">
            <w:pPr>
              <w:widowControl/>
              <w:ind w:left="-2" w:firstLine="1"/>
              <w:rPr>
                <w:rFonts w:ascii="宋体" w:hAnsi="宋体" w:cs="宋体"/>
                <w:color w:val="auto"/>
                <w:sz w:val="24"/>
              </w:rPr>
            </w:pPr>
            <w:r>
              <w:rPr>
                <w:rFonts w:hint="eastAsia" w:ascii="宋体" w:hAnsi="宋体" w:cs="宋体"/>
                <w:color w:val="auto"/>
                <w:sz w:val="24"/>
              </w:rPr>
              <w:t>9、防护等级：≥IP66。</w:t>
            </w:r>
          </w:p>
        </w:tc>
        <w:tc>
          <w:tcPr>
            <w:tcW w:w="806" w:type="dxa"/>
            <w:shd w:val="clear" w:color="auto" w:fill="auto"/>
            <w:noWrap w:val="0"/>
            <w:vAlign w:val="center"/>
          </w:tcPr>
          <w:p w14:paraId="4866A21A">
            <w:pPr>
              <w:widowControl/>
              <w:ind w:left="-2" w:firstLine="16"/>
              <w:jc w:val="center"/>
              <w:rPr>
                <w:rFonts w:ascii="宋体" w:hAnsi="宋体" w:cs="宋体"/>
                <w:color w:val="auto"/>
                <w:sz w:val="24"/>
              </w:rPr>
            </w:pPr>
            <w:r>
              <w:rPr>
                <w:rFonts w:hint="eastAsia" w:ascii="宋体" w:hAnsi="宋体" w:cs="宋体"/>
                <w:color w:val="auto"/>
                <w:sz w:val="24"/>
              </w:rPr>
              <w:t>2</w:t>
            </w:r>
          </w:p>
        </w:tc>
        <w:tc>
          <w:tcPr>
            <w:tcW w:w="713" w:type="dxa"/>
            <w:shd w:val="clear" w:color="auto" w:fill="auto"/>
            <w:noWrap w:val="0"/>
            <w:vAlign w:val="center"/>
          </w:tcPr>
          <w:p w14:paraId="717ACA2D">
            <w:pPr>
              <w:widowControl/>
              <w:ind w:left="43" w:hanging="129"/>
              <w:jc w:val="center"/>
              <w:rPr>
                <w:rFonts w:ascii="宋体" w:hAnsi="宋体" w:cs="宋体"/>
                <w:color w:val="auto"/>
                <w:sz w:val="24"/>
              </w:rPr>
            </w:pPr>
            <w:r>
              <w:rPr>
                <w:rFonts w:hint="eastAsia" w:ascii="宋体" w:hAnsi="宋体" w:cs="宋体"/>
                <w:color w:val="auto"/>
                <w:sz w:val="24"/>
              </w:rPr>
              <w:t>台</w:t>
            </w:r>
          </w:p>
        </w:tc>
      </w:tr>
      <w:tr w14:paraId="0C7E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807" w:type="dxa"/>
            <w:shd w:val="clear" w:color="auto" w:fill="auto"/>
            <w:noWrap w:val="0"/>
            <w:vAlign w:val="center"/>
          </w:tcPr>
          <w:p w14:paraId="22A1F8D9">
            <w:pPr>
              <w:widowControl/>
              <w:ind w:left="47" w:hanging="141"/>
              <w:jc w:val="center"/>
              <w:rPr>
                <w:rFonts w:ascii="宋体" w:hAnsi="宋体" w:cs="宋体"/>
                <w:color w:val="auto"/>
                <w:sz w:val="24"/>
              </w:rPr>
            </w:pPr>
            <w:r>
              <w:rPr>
                <w:rFonts w:hint="eastAsia" w:ascii="宋体" w:hAnsi="宋体" w:cs="宋体"/>
                <w:color w:val="auto"/>
                <w:sz w:val="24"/>
              </w:rPr>
              <w:t>4</w:t>
            </w:r>
          </w:p>
        </w:tc>
        <w:tc>
          <w:tcPr>
            <w:tcW w:w="1497" w:type="dxa"/>
            <w:shd w:val="clear" w:color="auto" w:fill="auto"/>
            <w:noWrap w:val="0"/>
            <w:vAlign w:val="center"/>
          </w:tcPr>
          <w:p w14:paraId="43526F3A">
            <w:pPr>
              <w:widowControl/>
              <w:jc w:val="center"/>
              <w:rPr>
                <w:rFonts w:ascii="宋体" w:hAnsi="宋体" w:cs="宋体"/>
                <w:color w:val="auto"/>
                <w:sz w:val="24"/>
              </w:rPr>
            </w:pPr>
            <w:r>
              <w:rPr>
                <w:rFonts w:hint="eastAsia" w:ascii="宋体" w:hAnsi="宋体" w:cs="宋体"/>
                <w:color w:val="auto"/>
                <w:sz w:val="24"/>
              </w:rPr>
              <w:t>抓拍闪光灯</w:t>
            </w:r>
          </w:p>
        </w:tc>
        <w:tc>
          <w:tcPr>
            <w:tcW w:w="5550" w:type="dxa"/>
            <w:shd w:val="clear" w:color="auto" w:fill="auto"/>
            <w:noWrap w:val="0"/>
            <w:vAlign w:val="center"/>
          </w:tcPr>
          <w:p w14:paraId="1DE2380C">
            <w:pPr>
              <w:widowControl/>
              <w:ind w:left="-2" w:firstLine="1"/>
              <w:rPr>
                <w:rFonts w:ascii="宋体" w:hAnsi="宋体" w:cs="宋体"/>
                <w:color w:val="auto"/>
                <w:sz w:val="24"/>
              </w:rPr>
            </w:pPr>
            <w:r>
              <w:rPr>
                <w:rFonts w:hint="eastAsia" w:ascii="宋体" w:hAnsi="宋体" w:cs="宋体"/>
                <w:color w:val="auto"/>
                <w:sz w:val="24"/>
              </w:rPr>
              <w:t>1、闪光能量：200J。</w:t>
            </w:r>
          </w:p>
          <w:p w14:paraId="1017F28C">
            <w:pPr>
              <w:widowControl/>
              <w:ind w:left="-2" w:firstLine="1"/>
              <w:rPr>
                <w:rFonts w:ascii="宋体" w:hAnsi="宋体" w:cs="宋体"/>
                <w:color w:val="auto"/>
                <w:sz w:val="24"/>
              </w:rPr>
            </w:pPr>
            <w:r>
              <w:rPr>
                <w:rFonts w:hint="eastAsia" w:ascii="宋体" w:hAnsi="宋体" w:cs="宋体"/>
                <w:color w:val="auto"/>
                <w:sz w:val="24"/>
              </w:rPr>
              <w:t>2、具有峰值光强抑制功能。</w:t>
            </w:r>
          </w:p>
          <w:p w14:paraId="29033830">
            <w:pPr>
              <w:widowControl/>
              <w:ind w:left="-2" w:firstLine="1"/>
              <w:rPr>
                <w:rFonts w:ascii="宋体" w:hAnsi="宋体" w:cs="宋体"/>
                <w:color w:val="auto"/>
                <w:sz w:val="24"/>
              </w:rPr>
            </w:pPr>
            <w:r>
              <w:rPr>
                <w:rFonts w:hint="eastAsia" w:ascii="宋体" w:hAnsi="宋体" w:cs="宋体"/>
                <w:color w:val="auto"/>
                <w:sz w:val="24"/>
              </w:rPr>
              <w:t>3、显色指数：≥75Ra。</w:t>
            </w:r>
          </w:p>
          <w:p w14:paraId="4D9CB5A1">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4、闪光时间：1us～2000us可选</w:t>
            </w:r>
            <w:r>
              <w:rPr>
                <w:rFonts w:hint="eastAsia" w:ascii="宋体" w:hAnsi="宋体" w:cs="宋体"/>
                <w:color w:val="auto"/>
                <w:sz w:val="24"/>
                <w:lang w:eastAsia="zh-CN"/>
              </w:rPr>
              <w:t>。</w:t>
            </w:r>
          </w:p>
          <w:p w14:paraId="41ACFFF1">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5、闪光亮度：1～20级可调</w:t>
            </w:r>
            <w:r>
              <w:rPr>
                <w:rFonts w:hint="eastAsia" w:ascii="宋体" w:hAnsi="宋体" w:cs="宋体"/>
                <w:color w:val="auto"/>
                <w:sz w:val="24"/>
                <w:lang w:eastAsia="zh-CN"/>
              </w:rPr>
              <w:t>。</w:t>
            </w:r>
          </w:p>
          <w:p w14:paraId="5BEE479C">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6、回电时间：≤67ms</w:t>
            </w:r>
            <w:r>
              <w:rPr>
                <w:rFonts w:hint="eastAsia" w:ascii="宋体" w:hAnsi="宋体" w:cs="宋体"/>
                <w:color w:val="auto"/>
                <w:sz w:val="24"/>
                <w:lang w:eastAsia="zh-CN"/>
              </w:rPr>
              <w:t>。</w:t>
            </w:r>
          </w:p>
          <w:p w14:paraId="3E45B14A">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7、点亮时间：≤1ms</w:t>
            </w:r>
            <w:r>
              <w:rPr>
                <w:rFonts w:hint="eastAsia" w:ascii="宋体" w:hAnsi="宋体" w:cs="宋体"/>
                <w:color w:val="auto"/>
                <w:sz w:val="24"/>
                <w:lang w:eastAsia="zh-CN"/>
              </w:rPr>
              <w:t>。</w:t>
            </w:r>
          </w:p>
          <w:p w14:paraId="358600FB">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8、补光距离：16M～25M</w:t>
            </w:r>
            <w:r>
              <w:rPr>
                <w:rFonts w:hint="eastAsia" w:ascii="宋体" w:hAnsi="宋体" w:cs="宋体"/>
                <w:color w:val="auto"/>
                <w:sz w:val="24"/>
                <w:lang w:eastAsia="zh-CN"/>
              </w:rPr>
              <w:t>。</w:t>
            </w:r>
          </w:p>
          <w:p w14:paraId="51283A1B">
            <w:pPr>
              <w:ind w:left="-2" w:firstLine="1"/>
              <w:rPr>
                <w:rFonts w:hint="eastAsia" w:ascii="宋体" w:hAnsi="宋体" w:eastAsia="宋体" w:cs="宋体"/>
                <w:color w:val="auto"/>
                <w:sz w:val="24"/>
                <w:lang w:eastAsia="zh-CN"/>
              </w:rPr>
            </w:pPr>
            <w:r>
              <w:rPr>
                <w:rFonts w:hint="eastAsia" w:ascii="宋体" w:hAnsi="宋体" w:cs="宋体"/>
                <w:color w:val="auto"/>
                <w:sz w:val="24"/>
              </w:rPr>
              <w:t>9、工作电压：AC 160V～220V</w:t>
            </w:r>
            <w:r>
              <w:rPr>
                <w:rFonts w:hint="eastAsia" w:ascii="宋体" w:hAnsi="宋体" w:cs="宋体"/>
                <w:color w:val="auto"/>
                <w:sz w:val="24"/>
                <w:lang w:eastAsia="zh-CN"/>
              </w:rPr>
              <w:t>。</w:t>
            </w:r>
          </w:p>
        </w:tc>
        <w:tc>
          <w:tcPr>
            <w:tcW w:w="806" w:type="dxa"/>
            <w:shd w:val="clear" w:color="auto" w:fill="auto"/>
            <w:noWrap w:val="0"/>
            <w:vAlign w:val="center"/>
          </w:tcPr>
          <w:p w14:paraId="67055DA6">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0A851852">
            <w:pPr>
              <w:widowControl/>
              <w:ind w:left="43" w:hanging="129"/>
              <w:jc w:val="center"/>
              <w:rPr>
                <w:rFonts w:ascii="宋体" w:hAnsi="宋体" w:cs="宋体"/>
                <w:color w:val="auto"/>
                <w:sz w:val="24"/>
              </w:rPr>
            </w:pPr>
            <w:r>
              <w:rPr>
                <w:rFonts w:hint="eastAsia" w:ascii="宋体" w:hAnsi="宋体" w:cs="宋体"/>
                <w:color w:val="auto"/>
                <w:sz w:val="24"/>
              </w:rPr>
              <w:t>台</w:t>
            </w:r>
          </w:p>
        </w:tc>
      </w:tr>
      <w:tr w14:paraId="2620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shd w:val="clear" w:color="auto" w:fill="auto"/>
            <w:noWrap w:val="0"/>
            <w:vAlign w:val="center"/>
          </w:tcPr>
          <w:p w14:paraId="69C9D933">
            <w:pPr>
              <w:widowControl/>
              <w:ind w:left="47" w:hanging="141"/>
              <w:jc w:val="center"/>
              <w:rPr>
                <w:rFonts w:ascii="宋体" w:hAnsi="宋体" w:cs="宋体"/>
                <w:color w:val="auto"/>
                <w:sz w:val="24"/>
              </w:rPr>
            </w:pPr>
            <w:r>
              <w:rPr>
                <w:rFonts w:hint="eastAsia" w:ascii="宋体" w:hAnsi="宋体" w:cs="宋体"/>
                <w:color w:val="auto"/>
                <w:sz w:val="24"/>
              </w:rPr>
              <w:t>5</w:t>
            </w:r>
          </w:p>
        </w:tc>
        <w:tc>
          <w:tcPr>
            <w:tcW w:w="1497" w:type="dxa"/>
            <w:shd w:val="clear" w:color="auto" w:fill="auto"/>
            <w:noWrap w:val="0"/>
            <w:vAlign w:val="center"/>
          </w:tcPr>
          <w:p w14:paraId="3F2D00E7">
            <w:pPr>
              <w:widowControl/>
              <w:jc w:val="center"/>
              <w:rPr>
                <w:rFonts w:ascii="宋体" w:hAnsi="宋体" w:cs="宋体"/>
                <w:color w:val="auto"/>
                <w:sz w:val="24"/>
              </w:rPr>
            </w:pPr>
            <w:r>
              <w:rPr>
                <w:rFonts w:hint="eastAsia" w:ascii="宋体" w:hAnsi="宋体" w:cs="宋体"/>
                <w:color w:val="auto"/>
                <w:sz w:val="24"/>
              </w:rPr>
              <w:t>感知球机</w:t>
            </w:r>
          </w:p>
        </w:tc>
        <w:tc>
          <w:tcPr>
            <w:tcW w:w="5550" w:type="dxa"/>
            <w:shd w:val="clear" w:color="auto" w:fill="auto"/>
            <w:noWrap w:val="0"/>
            <w:vAlign w:val="center"/>
          </w:tcPr>
          <w:p w14:paraId="4527EDAC">
            <w:pPr>
              <w:widowControl/>
              <w:ind w:left="-2" w:firstLine="1"/>
              <w:rPr>
                <w:rFonts w:ascii="宋体" w:hAnsi="宋体" w:cs="宋体"/>
                <w:color w:val="auto"/>
                <w:sz w:val="24"/>
              </w:rPr>
            </w:pPr>
            <w:r>
              <w:rPr>
                <w:rFonts w:hint="eastAsia" w:ascii="宋体" w:hAnsi="宋体" w:cs="宋体"/>
                <w:color w:val="auto"/>
                <w:sz w:val="24"/>
              </w:rPr>
              <w:t>1、靶面尺寸</w:t>
            </w:r>
            <w:r>
              <w:rPr>
                <w:rFonts w:hint="eastAsia" w:ascii="宋体" w:hAnsi="宋体" w:cs="宋体"/>
                <w:color w:val="auto"/>
                <w:sz w:val="24"/>
                <w:lang w:eastAsia="zh-CN"/>
              </w:rPr>
              <w:t>：</w:t>
            </w:r>
            <w:r>
              <w:rPr>
                <w:rFonts w:hint="eastAsia" w:ascii="宋体" w:hAnsi="宋体" w:cs="宋体"/>
                <w:color w:val="auto"/>
                <w:sz w:val="24"/>
              </w:rPr>
              <w:t>≥1/1.8英寸。</w:t>
            </w:r>
          </w:p>
          <w:p w14:paraId="12AC387F">
            <w:pPr>
              <w:widowControl/>
              <w:ind w:left="-2" w:firstLine="1"/>
              <w:rPr>
                <w:rFonts w:ascii="宋体" w:hAnsi="宋体" w:cs="宋体"/>
                <w:color w:val="auto"/>
                <w:sz w:val="24"/>
              </w:rPr>
            </w:pPr>
            <w:r>
              <w:rPr>
                <w:rFonts w:hint="eastAsia" w:ascii="宋体" w:hAnsi="宋体" w:cs="宋体"/>
                <w:color w:val="auto"/>
                <w:sz w:val="24"/>
              </w:rPr>
              <w:t>2、像素</w:t>
            </w:r>
            <w:r>
              <w:rPr>
                <w:rFonts w:hint="eastAsia" w:ascii="宋体" w:hAnsi="宋体" w:cs="宋体"/>
                <w:color w:val="auto"/>
                <w:sz w:val="24"/>
                <w:lang w:eastAsia="zh-CN"/>
              </w:rPr>
              <w:t>：</w:t>
            </w:r>
            <w:r>
              <w:rPr>
                <w:rFonts w:hint="eastAsia" w:ascii="宋体" w:hAnsi="宋体" w:cs="宋体"/>
                <w:color w:val="auto"/>
                <w:sz w:val="24"/>
              </w:rPr>
              <w:t>≥400万。</w:t>
            </w:r>
          </w:p>
          <w:p w14:paraId="3CBDEDAD">
            <w:pPr>
              <w:widowControl/>
              <w:ind w:left="-2" w:firstLine="1"/>
              <w:rPr>
                <w:rFonts w:ascii="宋体" w:hAnsi="宋体" w:cs="宋体"/>
                <w:color w:val="auto"/>
                <w:sz w:val="24"/>
              </w:rPr>
            </w:pPr>
            <w:r>
              <w:rPr>
                <w:rFonts w:hint="eastAsia" w:ascii="宋体" w:hAnsi="宋体" w:cs="宋体"/>
                <w:color w:val="auto"/>
                <w:sz w:val="24"/>
              </w:rPr>
              <w:t>3、内置GPU芯片。</w:t>
            </w:r>
          </w:p>
          <w:p w14:paraId="1BF1E14B">
            <w:pPr>
              <w:widowControl/>
              <w:ind w:left="-2" w:firstLine="1"/>
              <w:rPr>
                <w:rFonts w:ascii="宋体" w:hAnsi="宋体" w:cs="宋体"/>
                <w:color w:val="auto"/>
                <w:sz w:val="24"/>
              </w:rPr>
            </w:pPr>
            <w:r>
              <w:rPr>
                <w:rFonts w:hint="eastAsia" w:ascii="宋体" w:hAnsi="宋体" w:cs="宋体"/>
                <w:color w:val="auto"/>
                <w:sz w:val="24"/>
              </w:rPr>
              <w:t>4、视频图像分辨率</w:t>
            </w:r>
            <w:r>
              <w:rPr>
                <w:rFonts w:hint="eastAsia" w:ascii="宋体" w:hAnsi="宋体" w:cs="宋体"/>
                <w:color w:val="auto"/>
                <w:sz w:val="24"/>
                <w:lang w:eastAsia="zh-CN"/>
              </w:rPr>
              <w:t>：</w:t>
            </w:r>
            <w:r>
              <w:rPr>
                <w:rFonts w:hint="eastAsia" w:ascii="宋体" w:hAnsi="宋体" w:cs="宋体"/>
                <w:color w:val="auto"/>
                <w:sz w:val="24"/>
              </w:rPr>
              <w:t>≥2560×1440。</w:t>
            </w:r>
          </w:p>
          <w:p w14:paraId="5D2ADA01">
            <w:pPr>
              <w:widowControl/>
              <w:ind w:left="-2" w:firstLine="1"/>
              <w:rPr>
                <w:rFonts w:ascii="宋体" w:hAnsi="宋体" w:cs="宋体"/>
                <w:color w:val="auto"/>
                <w:sz w:val="24"/>
              </w:rPr>
            </w:pPr>
            <w:r>
              <w:rPr>
                <w:rFonts w:hint="eastAsia" w:ascii="宋体" w:hAnsi="宋体" w:cs="宋体"/>
                <w:color w:val="auto"/>
                <w:sz w:val="24"/>
              </w:rPr>
              <w:t>5、最低照度：彩色</w:t>
            </w:r>
            <w:r>
              <w:rPr>
                <w:rFonts w:hint="eastAsia" w:ascii="宋体" w:hAnsi="宋体" w:cs="宋体"/>
                <w:color w:val="auto"/>
                <w:sz w:val="24"/>
                <w:lang w:eastAsia="zh-CN"/>
              </w:rPr>
              <w:t>：</w:t>
            </w:r>
            <w:r>
              <w:rPr>
                <w:rFonts w:hint="eastAsia" w:ascii="宋体" w:hAnsi="宋体" w:cs="宋体"/>
                <w:color w:val="auto"/>
                <w:sz w:val="24"/>
              </w:rPr>
              <w:t>≤0.0002 lx，黑白</w:t>
            </w:r>
            <w:r>
              <w:rPr>
                <w:rFonts w:hint="eastAsia" w:ascii="宋体" w:hAnsi="宋体" w:cs="宋体"/>
                <w:color w:val="auto"/>
                <w:sz w:val="24"/>
                <w:lang w:eastAsia="zh-CN"/>
              </w:rPr>
              <w:t>：</w:t>
            </w:r>
            <w:r>
              <w:rPr>
                <w:rFonts w:hint="eastAsia" w:ascii="宋体" w:hAnsi="宋体" w:cs="宋体"/>
                <w:color w:val="auto"/>
                <w:sz w:val="24"/>
              </w:rPr>
              <w:t>≤0.0001 lx。</w:t>
            </w:r>
          </w:p>
          <w:p w14:paraId="15E1A89C">
            <w:pPr>
              <w:widowControl/>
              <w:ind w:left="-2" w:firstLine="1"/>
              <w:rPr>
                <w:rFonts w:ascii="宋体" w:hAnsi="宋体" w:cs="宋体"/>
                <w:color w:val="auto"/>
                <w:sz w:val="24"/>
              </w:rPr>
            </w:pPr>
            <w:r>
              <w:rPr>
                <w:rFonts w:hint="eastAsia" w:ascii="宋体" w:hAnsi="宋体" w:cs="宋体"/>
                <w:color w:val="auto"/>
                <w:sz w:val="24"/>
              </w:rPr>
              <w:t>6、宽动态范围：≥120dB。</w:t>
            </w:r>
          </w:p>
          <w:p w14:paraId="7210BA0B">
            <w:pPr>
              <w:widowControl/>
              <w:ind w:left="-2" w:firstLine="1"/>
              <w:rPr>
                <w:rFonts w:ascii="宋体" w:hAnsi="宋体" w:cs="宋体"/>
                <w:color w:val="auto"/>
                <w:sz w:val="24"/>
              </w:rPr>
            </w:pPr>
            <w:r>
              <w:rPr>
                <w:rFonts w:hint="eastAsia" w:ascii="宋体" w:hAnsi="宋体" w:cs="宋体"/>
                <w:color w:val="auto"/>
                <w:sz w:val="24"/>
              </w:rPr>
              <w:t>7、视频压缩:H.265/H.264/MJPEG。</w:t>
            </w:r>
          </w:p>
          <w:p w14:paraId="510BDC1F">
            <w:pPr>
              <w:widowControl/>
              <w:ind w:left="-2" w:firstLine="1"/>
              <w:rPr>
                <w:rFonts w:ascii="宋体" w:hAnsi="宋体" w:cs="宋体"/>
                <w:color w:val="auto"/>
                <w:sz w:val="24"/>
              </w:rPr>
            </w:pPr>
            <w:r>
              <w:rPr>
                <w:rFonts w:hint="eastAsia" w:ascii="宋体" w:hAnsi="宋体" w:cs="宋体"/>
                <w:color w:val="auto"/>
                <w:sz w:val="24"/>
              </w:rPr>
              <w:t>8、红外照射距离：≥200米。</w:t>
            </w:r>
          </w:p>
          <w:p w14:paraId="1ECC7416">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9、焦距：≥6～240mm，光学变倍：≥40倍</w:t>
            </w:r>
            <w:r>
              <w:rPr>
                <w:rFonts w:hint="eastAsia" w:ascii="宋体" w:hAnsi="宋体" w:cs="宋体"/>
                <w:color w:val="auto"/>
                <w:sz w:val="24"/>
                <w:lang w:eastAsia="zh-CN"/>
              </w:rPr>
              <w:t>。</w:t>
            </w:r>
          </w:p>
          <w:p w14:paraId="604E38E4">
            <w:pPr>
              <w:widowControl/>
              <w:ind w:left="-2" w:firstLine="1"/>
              <w:rPr>
                <w:rFonts w:ascii="宋体" w:hAnsi="宋体" w:cs="宋体"/>
                <w:color w:val="auto"/>
                <w:sz w:val="24"/>
              </w:rPr>
            </w:pPr>
            <w:r>
              <w:rPr>
                <w:rFonts w:hint="eastAsia" w:ascii="宋体" w:hAnsi="宋体" w:cs="宋体"/>
                <w:color w:val="auto"/>
                <w:sz w:val="24"/>
              </w:rPr>
              <w:t>10、水平及垂直范围：水平360°；垂直-20°～90°。</w:t>
            </w:r>
          </w:p>
          <w:p w14:paraId="6DD357C5">
            <w:pPr>
              <w:widowControl/>
              <w:ind w:left="-2" w:firstLine="1"/>
              <w:rPr>
                <w:rFonts w:ascii="宋体" w:hAnsi="宋体" w:cs="宋体"/>
                <w:color w:val="auto"/>
                <w:sz w:val="24"/>
              </w:rPr>
            </w:pPr>
            <w:r>
              <w:rPr>
                <w:rFonts w:hint="eastAsia" w:ascii="宋体" w:hAnsi="宋体" w:cs="宋体"/>
                <w:color w:val="auto"/>
                <w:sz w:val="24"/>
              </w:rPr>
              <w:t>11、水平速度:水平键控速度：0.1°～210°/s,速度可设;水平预置12、点速度：280°/s。</w:t>
            </w:r>
          </w:p>
          <w:p w14:paraId="4A826F64">
            <w:pPr>
              <w:widowControl/>
              <w:ind w:left="-2" w:firstLine="1"/>
              <w:rPr>
                <w:rFonts w:ascii="宋体" w:hAnsi="宋体" w:cs="宋体"/>
                <w:color w:val="auto"/>
                <w:sz w:val="24"/>
              </w:rPr>
            </w:pPr>
            <w:r>
              <w:rPr>
                <w:rFonts w:hint="eastAsia" w:ascii="宋体" w:hAnsi="宋体" w:cs="宋体"/>
                <w:color w:val="auto"/>
                <w:sz w:val="24"/>
              </w:rPr>
              <w:t>13、垂直速度:垂直键控速度：0.1°～150°/s,速度可设;垂直预置点速度：250°/s。</w:t>
            </w:r>
          </w:p>
          <w:p w14:paraId="527109D9">
            <w:pPr>
              <w:widowControl/>
              <w:ind w:left="-2" w:firstLine="1"/>
              <w:rPr>
                <w:rFonts w:ascii="宋体" w:hAnsi="宋体" w:cs="宋体"/>
                <w:color w:val="auto"/>
                <w:sz w:val="24"/>
              </w:rPr>
            </w:pPr>
            <w:r>
              <w:rPr>
                <w:rFonts w:hint="eastAsia" w:ascii="宋体" w:hAnsi="宋体" w:cs="宋体"/>
                <w:color w:val="auto"/>
                <w:sz w:val="24"/>
              </w:rPr>
              <w:t>14、摄像机可在预览画面及抓拍图片中叠加人员和车辆的移动轨迹，轨迹颜色支持红色、黄色、蓝色、绿色及紫色，轨迹末尾具有一个方向箭头，指向目标离开的方向，抓拍图片大小不大于500KB。</w:t>
            </w:r>
          </w:p>
          <w:p w14:paraId="26D64843">
            <w:pPr>
              <w:widowControl/>
              <w:ind w:left="-2" w:firstLine="1"/>
              <w:rPr>
                <w:rFonts w:hint="eastAsia" w:ascii="宋体" w:hAnsi="宋体" w:cs="宋体"/>
                <w:color w:val="auto"/>
                <w:sz w:val="24"/>
                <w:lang w:eastAsia="zh-CN"/>
              </w:rPr>
            </w:pPr>
            <w:r>
              <w:rPr>
                <w:rFonts w:hint="eastAsia" w:ascii="宋体" w:hAnsi="宋体" w:cs="宋体"/>
                <w:color w:val="auto"/>
                <w:sz w:val="24"/>
              </w:rPr>
              <w:t>15、在混合目标检测模式下，可同时对行人、非机动车、机动车进行检测、跟踪及抓拍</w:t>
            </w:r>
            <w:r>
              <w:rPr>
                <w:rFonts w:hint="eastAsia" w:ascii="宋体" w:hAnsi="宋体" w:cs="宋体"/>
                <w:color w:val="auto"/>
                <w:sz w:val="24"/>
                <w:lang w:eastAsia="zh-CN"/>
              </w:rPr>
              <w:t>。</w:t>
            </w:r>
          </w:p>
          <w:p w14:paraId="1D719609">
            <w:pPr>
              <w:widowControl/>
              <w:ind w:left="-2" w:firstLine="1"/>
              <w:rPr>
                <w:rFonts w:ascii="宋体" w:hAnsi="宋体" w:cs="宋体"/>
                <w:color w:val="auto"/>
                <w:sz w:val="24"/>
              </w:rPr>
            </w:pPr>
            <w:r>
              <w:rPr>
                <w:rFonts w:hint="eastAsia" w:ascii="宋体" w:hAnsi="宋体" w:cs="宋体"/>
                <w:color w:val="auto"/>
                <w:sz w:val="24"/>
              </w:rPr>
              <w:t>16、摄像机抓拍图片格式包括JPEG、JPEG2000、BMP、PNG及TIF。</w:t>
            </w:r>
          </w:p>
          <w:p w14:paraId="526BF53B">
            <w:pPr>
              <w:ind w:left="-2" w:firstLine="1"/>
              <w:rPr>
                <w:rFonts w:ascii="宋体" w:hAnsi="宋体" w:cs="宋体"/>
                <w:color w:val="auto"/>
                <w:sz w:val="24"/>
              </w:rPr>
            </w:pPr>
            <w:r>
              <w:rPr>
                <w:rFonts w:hint="eastAsia" w:ascii="宋体" w:hAnsi="宋体" w:cs="宋体"/>
                <w:color w:val="auto"/>
                <w:sz w:val="24"/>
              </w:rPr>
              <w:t>17、防护等级：≥IP67。</w:t>
            </w:r>
          </w:p>
        </w:tc>
        <w:tc>
          <w:tcPr>
            <w:tcW w:w="806" w:type="dxa"/>
            <w:shd w:val="clear" w:color="auto" w:fill="auto"/>
            <w:noWrap w:val="0"/>
            <w:vAlign w:val="center"/>
          </w:tcPr>
          <w:p w14:paraId="39E8E238">
            <w:pPr>
              <w:widowControl/>
              <w:ind w:left="-2" w:firstLine="16"/>
              <w:jc w:val="center"/>
              <w:rPr>
                <w:rFonts w:ascii="宋体" w:hAnsi="宋体" w:cs="宋体"/>
                <w:color w:val="auto"/>
                <w:sz w:val="24"/>
              </w:rPr>
            </w:pPr>
            <w:r>
              <w:rPr>
                <w:rFonts w:hint="eastAsia" w:ascii="宋体" w:hAnsi="宋体" w:cs="宋体"/>
                <w:color w:val="auto"/>
                <w:sz w:val="24"/>
              </w:rPr>
              <w:t>2</w:t>
            </w:r>
          </w:p>
        </w:tc>
        <w:tc>
          <w:tcPr>
            <w:tcW w:w="713" w:type="dxa"/>
            <w:shd w:val="clear" w:color="auto" w:fill="auto"/>
            <w:noWrap w:val="0"/>
            <w:vAlign w:val="center"/>
          </w:tcPr>
          <w:p w14:paraId="240EB8A1">
            <w:pPr>
              <w:widowControl/>
              <w:ind w:left="43" w:hanging="129"/>
              <w:jc w:val="center"/>
              <w:rPr>
                <w:rFonts w:ascii="宋体" w:hAnsi="宋体" w:cs="宋体"/>
                <w:color w:val="auto"/>
                <w:sz w:val="24"/>
              </w:rPr>
            </w:pPr>
            <w:r>
              <w:rPr>
                <w:rFonts w:hint="eastAsia" w:ascii="宋体" w:hAnsi="宋体" w:cs="宋体"/>
                <w:color w:val="auto"/>
                <w:sz w:val="24"/>
              </w:rPr>
              <w:t>套</w:t>
            </w:r>
          </w:p>
        </w:tc>
      </w:tr>
      <w:tr w14:paraId="0013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shd w:val="clear" w:color="auto" w:fill="auto"/>
            <w:noWrap w:val="0"/>
            <w:vAlign w:val="center"/>
          </w:tcPr>
          <w:p w14:paraId="4885168C">
            <w:pPr>
              <w:widowControl/>
              <w:ind w:left="47" w:hanging="141"/>
              <w:jc w:val="center"/>
              <w:rPr>
                <w:rFonts w:ascii="宋体" w:hAnsi="宋体" w:cs="宋体"/>
                <w:color w:val="auto"/>
                <w:sz w:val="24"/>
              </w:rPr>
            </w:pPr>
            <w:r>
              <w:rPr>
                <w:rFonts w:hint="eastAsia" w:ascii="宋体" w:hAnsi="宋体" w:cs="宋体"/>
                <w:color w:val="auto"/>
                <w:sz w:val="24"/>
              </w:rPr>
              <w:t>6</w:t>
            </w:r>
          </w:p>
        </w:tc>
        <w:tc>
          <w:tcPr>
            <w:tcW w:w="1497" w:type="dxa"/>
            <w:shd w:val="clear" w:color="auto" w:fill="auto"/>
            <w:noWrap w:val="0"/>
            <w:vAlign w:val="center"/>
          </w:tcPr>
          <w:p w14:paraId="1DA63DB5">
            <w:pPr>
              <w:widowControl/>
              <w:jc w:val="center"/>
              <w:rPr>
                <w:rFonts w:ascii="宋体" w:hAnsi="宋体" w:cs="宋体"/>
                <w:color w:val="auto"/>
                <w:sz w:val="24"/>
              </w:rPr>
            </w:pPr>
            <w:r>
              <w:rPr>
                <w:rFonts w:hint="eastAsia" w:ascii="宋体" w:hAnsi="宋体" w:cs="宋体"/>
                <w:color w:val="auto"/>
                <w:sz w:val="24"/>
              </w:rPr>
              <w:t>LED 可变限速标志</w:t>
            </w:r>
          </w:p>
        </w:tc>
        <w:tc>
          <w:tcPr>
            <w:tcW w:w="5550" w:type="dxa"/>
            <w:shd w:val="clear" w:color="auto" w:fill="auto"/>
            <w:noWrap w:val="0"/>
            <w:vAlign w:val="center"/>
          </w:tcPr>
          <w:p w14:paraId="7BE373C6">
            <w:pPr>
              <w:widowControl/>
              <w:ind w:left="-2" w:firstLine="1"/>
              <w:jc w:val="left"/>
              <w:rPr>
                <w:rFonts w:ascii="宋体" w:hAnsi="宋体" w:cs="宋体"/>
                <w:color w:val="auto"/>
                <w:sz w:val="24"/>
              </w:rPr>
            </w:pPr>
            <w:r>
              <w:rPr>
                <w:rFonts w:hint="eastAsia" w:ascii="宋体" w:hAnsi="宋体" w:cs="宋体"/>
                <w:color w:val="auto"/>
                <w:sz w:val="24"/>
              </w:rPr>
              <w:t>由LED 文字屏和限速标志组成：</w:t>
            </w:r>
          </w:p>
          <w:p w14:paraId="6977FF1B">
            <w:pPr>
              <w:widowControl/>
              <w:ind w:left="-2" w:firstLine="1"/>
              <w:jc w:val="left"/>
              <w:rPr>
                <w:rFonts w:ascii="宋体" w:hAnsi="宋体" w:cs="宋体"/>
                <w:color w:val="auto"/>
                <w:sz w:val="24"/>
              </w:rPr>
            </w:pPr>
            <w:r>
              <w:rPr>
                <w:rFonts w:hint="eastAsia" w:ascii="宋体" w:hAnsi="宋体" w:cs="宋体"/>
                <w:color w:val="auto"/>
                <w:sz w:val="24"/>
              </w:rPr>
              <w:t>1、可变限速显示屏应能按指令正常显示5、10、15、20、30、40、50、60、70、80、90、100、110、120 等限速值，向过往的机动车清晰明确的发布恶劣气候条件下的交通管控限制速度。</w:t>
            </w:r>
          </w:p>
          <w:p w14:paraId="7F86DC8C">
            <w:pPr>
              <w:widowControl/>
              <w:ind w:left="-2" w:firstLine="1"/>
              <w:jc w:val="left"/>
              <w:rPr>
                <w:rFonts w:ascii="宋体" w:hAnsi="宋体" w:cs="宋体"/>
                <w:color w:val="auto"/>
                <w:sz w:val="24"/>
              </w:rPr>
            </w:pPr>
            <w:r>
              <w:rPr>
                <w:rFonts w:hint="eastAsia" w:ascii="宋体" w:hAnsi="宋体" w:cs="宋体"/>
                <w:color w:val="auto"/>
                <w:sz w:val="24"/>
              </w:rPr>
              <w:t>技术参数</w:t>
            </w:r>
            <w:r>
              <w:rPr>
                <w:rFonts w:hint="eastAsia" w:ascii="宋体" w:hAnsi="宋体" w:cs="宋体"/>
                <w:color w:val="auto"/>
                <w:sz w:val="24"/>
                <w:lang w:val="en-US" w:eastAsia="zh-CN"/>
              </w:rPr>
              <w:t>要求</w:t>
            </w:r>
            <w:r>
              <w:rPr>
                <w:rFonts w:hint="eastAsia" w:ascii="宋体" w:hAnsi="宋体" w:cs="宋体"/>
                <w:color w:val="auto"/>
                <w:sz w:val="24"/>
              </w:rPr>
              <w:t>：</w:t>
            </w:r>
          </w:p>
          <w:p w14:paraId="1A4ED805">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（1）材质：LED 橡塑管、镀锌板钣金外壳规格：1920mm×1920mm</w:t>
            </w:r>
            <w:r>
              <w:rPr>
                <w:rFonts w:hint="eastAsia" w:ascii="宋体" w:hAnsi="宋体" w:cs="宋体"/>
                <w:color w:val="auto"/>
                <w:sz w:val="24"/>
                <w:lang w:eastAsia="zh-CN"/>
              </w:rPr>
              <w:t>。</w:t>
            </w:r>
          </w:p>
          <w:p w14:paraId="21198964">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（2）双色显示，红光为 5000～6000mcd，黄光为7000～8500mcd</w:t>
            </w:r>
            <w:r>
              <w:rPr>
                <w:rFonts w:hint="eastAsia" w:ascii="宋体" w:hAnsi="宋体" w:cs="宋体"/>
                <w:color w:val="auto"/>
                <w:sz w:val="24"/>
                <w:lang w:eastAsia="zh-CN"/>
              </w:rPr>
              <w:t>。</w:t>
            </w:r>
          </w:p>
          <w:p w14:paraId="0FF3D3A7">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（3）半强角15°，视认角30°</w:t>
            </w:r>
            <w:r>
              <w:rPr>
                <w:rFonts w:hint="eastAsia" w:ascii="宋体" w:hAnsi="宋体" w:cs="宋体"/>
                <w:color w:val="auto"/>
                <w:sz w:val="24"/>
                <w:lang w:eastAsia="zh-CN"/>
              </w:rPr>
              <w:t>。</w:t>
            </w:r>
          </w:p>
          <w:p w14:paraId="6A0781C5">
            <w:pPr>
              <w:widowControl/>
              <w:ind w:left="-2" w:firstLine="1"/>
              <w:jc w:val="left"/>
              <w:rPr>
                <w:rFonts w:ascii="宋体" w:hAnsi="宋体" w:cs="宋体"/>
                <w:color w:val="auto"/>
                <w:sz w:val="24"/>
              </w:rPr>
            </w:pPr>
            <w:r>
              <w:rPr>
                <w:rFonts w:hint="eastAsia" w:ascii="宋体" w:hAnsi="宋体" w:cs="宋体"/>
                <w:color w:val="auto"/>
                <w:sz w:val="24"/>
              </w:rPr>
              <w:t>（4）静态视认距离400 米，动态视认距离300 米。</w:t>
            </w:r>
          </w:p>
          <w:p w14:paraId="7BB1B6FC">
            <w:pPr>
              <w:widowControl/>
              <w:ind w:left="-2" w:firstLine="1"/>
              <w:jc w:val="left"/>
              <w:rPr>
                <w:rFonts w:ascii="宋体" w:hAnsi="宋体" w:cs="宋体"/>
                <w:color w:val="auto"/>
                <w:sz w:val="24"/>
              </w:rPr>
            </w:pPr>
            <w:r>
              <w:rPr>
                <w:rFonts w:hint="eastAsia" w:ascii="宋体" w:hAnsi="宋体" w:cs="宋体"/>
                <w:color w:val="auto"/>
                <w:sz w:val="24"/>
              </w:rPr>
              <w:t>（5）防护等级：≥IP65 级。</w:t>
            </w:r>
          </w:p>
          <w:p w14:paraId="57A58164">
            <w:pPr>
              <w:widowControl/>
              <w:ind w:left="-2" w:firstLine="1"/>
              <w:jc w:val="left"/>
              <w:rPr>
                <w:rFonts w:hint="eastAsia" w:ascii="宋体" w:hAnsi="宋体" w:cs="宋体"/>
                <w:color w:val="auto"/>
                <w:sz w:val="24"/>
                <w:lang w:eastAsia="zh-CN"/>
              </w:rPr>
            </w:pPr>
            <w:r>
              <w:rPr>
                <w:rFonts w:hint="eastAsia" w:ascii="宋体" w:hAnsi="宋体" w:cs="宋体"/>
                <w:color w:val="auto"/>
                <w:sz w:val="24"/>
              </w:rPr>
              <w:t>（6）P25双色屏</w:t>
            </w:r>
            <w:r>
              <w:rPr>
                <w:rFonts w:hint="eastAsia" w:ascii="宋体" w:hAnsi="宋体" w:cs="宋体"/>
                <w:color w:val="auto"/>
                <w:sz w:val="24"/>
                <w:lang w:eastAsia="zh-CN"/>
              </w:rPr>
              <w:t>。</w:t>
            </w:r>
            <w:r>
              <w:rPr>
                <w:rFonts w:hint="eastAsia" w:ascii="宋体" w:hAnsi="宋体" w:cs="宋体"/>
                <w:color w:val="auto"/>
                <w:sz w:val="24"/>
              </w:rPr>
              <w:br w:type="textWrapping"/>
            </w:r>
            <w:r>
              <w:rPr>
                <w:rFonts w:hint="eastAsia" w:ascii="宋体" w:hAnsi="宋体" w:cs="宋体"/>
                <w:color w:val="auto"/>
                <w:sz w:val="24"/>
              </w:rPr>
              <w:t>（7）点间距：25mm</w:t>
            </w:r>
            <w:r>
              <w:rPr>
                <w:rFonts w:hint="eastAsia" w:ascii="宋体" w:hAnsi="宋体" w:cs="宋体"/>
                <w:color w:val="auto"/>
                <w:sz w:val="24"/>
                <w:lang w:eastAsia="zh-CN"/>
              </w:rPr>
              <w:t>。</w:t>
            </w:r>
            <w:r>
              <w:rPr>
                <w:rFonts w:hint="eastAsia" w:ascii="宋体" w:hAnsi="宋体" w:cs="宋体"/>
                <w:color w:val="auto"/>
                <w:sz w:val="24"/>
              </w:rPr>
              <w:br w:type="textWrapping"/>
            </w:r>
            <w:r>
              <w:rPr>
                <w:rFonts w:hint="eastAsia" w:ascii="宋体" w:hAnsi="宋体" w:cs="宋体"/>
                <w:color w:val="auto"/>
                <w:sz w:val="24"/>
              </w:rPr>
              <w:t>（8）通讯方式：有线网络</w:t>
            </w:r>
            <w:r>
              <w:rPr>
                <w:rFonts w:hint="eastAsia" w:ascii="宋体" w:hAnsi="宋体" w:cs="宋体"/>
                <w:color w:val="auto"/>
                <w:sz w:val="24"/>
                <w:lang w:eastAsia="zh-CN"/>
              </w:rPr>
              <w:t>。</w:t>
            </w:r>
          </w:p>
          <w:p w14:paraId="625BF92B">
            <w:pPr>
              <w:widowControl/>
              <w:ind w:left="-2" w:firstLine="1"/>
              <w:jc w:val="left"/>
              <w:rPr>
                <w:rFonts w:ascii="宋体" w:hAnsi="宋体" w:cs="宋体"/>
                <w:color w:val="auto"/>
                <w:sz w:val="24"/>
              </w:rPr>
            </w:pPr>
            <w:r>
              <w:rPr>
                <w:rFonts w:hint="eastAsia" w:ascii="宋体" w:hAnsi="宋体" w:cs="宋体"/>
                <w:color w:val="auto"/>
                <w:sz w:val="24"/>
              </w:rPr>
              <w:t>（9）控制方式：有线网络</w:t>
            </w:r>
            <w:r>
              <w:rPr>
                <w:rFonts w:hint="eastAsia" w:ascii="宋体" w:hAnsi="宋体" w:cs="宋体"/>
                <w:color w:val="auto"/>
                <w:sz w:val="24"/>
                <w:lang w:eastAsia="zh-CN"/>
              </w:rPr>
              <w:t>。</w:t>
            </w:r>
            <w:r>
              <w:rPr>
                <w:rFonts w:hint="eastAsia" w:ascii="宋体" w:hAnsi="宋体" w:cs="宋体"/>
                <w:color w:val="auto"/>
                <w:sz w:val="24"/>
              </w:rPr>
              <w:br w:type="textWrapping"/>
            </w:r>
            <w:r>
              <w:rPr>
                <w:rFonts w:hint="eastAsia" w:ascii="宋体" w:hAnsi="宋体" w:cs="宋体"/>
                <w:color w:val="auto"/>
                <w:sz w:val="24"/>
              </w:rPr>
              <w:t>2、可变文字屏用于告示当前交通管制内容，依据管制需要发布可变文字警示内容，与可变限速显示屏组合使用，为过往的机动车驾驶员提供明确的、醒目的交通管制信息。</w:t>
            </w:r>
          </w:p>
          <w:p w14:paraId="1FB0564A">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（1）规格尺寸：1920mm×800mm</w:t>
            </w:r>
            <w:r>
              <w:rPr>
                <w:rFonts w:hint="eastAsia" w:ascii="宋体" w:hAnsi="宋体" w:cs="宋体"/>
                <w:color w:val="auto"/>
                <w:sz w:val="24"/>
                <w:lang w:eastAsia="zh-CN"/>
              </w:rPr>
              <w:t>。</w:t>
            </w:r>
          </w:p>
          <w:p w14:paraId="499154C0">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（2）像素：2R1G，1600dots/m2；亮度：8500mcd</w:t>
            </w:r>
            <w:r>
              <w:rPr>
                <w:rFonts w:hint="eastAsia" w:ascii="宋体" w:hAnsi="宋体" w:cs="宋体"/>
                <w:color w:val="auto"/>
                <w:sz w:val="24"/>
                <w:lang w:eastAsia="zh-CN"/>
              </w:rPr>
              <w:t>。</w:t>
            </w:r>
          </w:p>
          <w:p w14:paraId="6C97611B">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（3）可视认角：30°</w:t>
            </w:r>
            <w:r>
              <w:rPr>
                <w:rFonts w:hint="eastAsia" w:ascii="宋体" w:hAnsi="宋体" w:cs="宋体"/>
                <w:color w:val="auto"/>
                <w:sz w:val="24"/>
                <w:lang w:eastAsia="zh-CN"/>
              </w:rPr>
              <w:t>。</w:t>
            </w:r>
          </w:p>
          <w:p w14:paraId="25FF2E56">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（4）防护等级：≥IP65级</w:t>
            </w:r>
            <w:r>
              <w:rPr>
                <w:rFonts w:hint="eastAsia" w:ascii="宋体" w:hAnsi="宋体" w:cs="宋体"/>
                <w:color w:val="auto"/>
                <w:sz w:val="24"/>
                <w:lang w:eastAsia="zh-CN"/>
              </w:rPr>
              <w:t>。</w:t>
            </w:r>
          </w:p>
          <w:p w14:paraId="04E15154">
            <w:pPr>
              <w:ind w:left="-2" w:firstLine="1"/>
              <w:jc w:val="left"/>
              <w:rPr>
                <w:rFonts w:hint="eastAsia" w:ascii="宋体" w:hAnsi="宋体" w:eastAsia="宋体" w:cs="宋体"/>
                <w:color w:val="auto"/>
                <w:sz w:val="24"/>
                <w:lang w:eastAsia="zh-CN"/>
              </w:rPr>
            </w:pPr>
            <w:r>
              <w:rPr>
                <w:rFonts w:hint="eastAsia" w:ascii="宋体" w:hAnsi="宋体" w:cs="宋体"/>
                <w:color w:val="auto"/>
                <w:sz w:val="24"/>
              </w:rPr>
              <w:t>3、其他：含交通控制卡、单立柱杆件、基础笼（单立柱圆管，规格直径180*5mm，杆件高度2500mm，法兰尺寸600</w:t>
            </w:r>
            <w:r>
              <w:rPr>
                <w:rFonts w:hint="eastAsia" w:ascii="宋体" w:hAnsi="宋体" w:cs="宋体"/>
                <w:color w:val="auto"/>
                <w:sz w:val="24"/>
                <w:lang w:val="en-US" w:eastAsia="zh-CN"/>
              </w:rPr>
              <w:t>mm</w:t>
            </w:r>
            <w:r>
              <w:rPr>
                <w:rFonts w:hint="eastAsia" w:ascii="宋体" w:hAnsi="宋体" w:cs="宋体"/>
                <w:color w:val="auto"/>
                <w:sz w:val="24"/>
              </w:rPr>
              <w:t>×600</w:t>
            </w:r>
            <w:r>
              <w:rPr>
                <w:rFonts w:hint="eastAsia" w:ascii="宋体" w:hAnsi="宋体" w:cs="宋体"/>
                <w:color w:val="auto"/>
                <w:sz w:val="24"/>
                <w:lang w:val="en-US" w:eastAsia="zh-CN"/>
              </w:rPr>
              <w:t>mm</w:t>
            </w:r>
            <w:r>
              <w:rPr>
                <w:rFonts w:hint="eastAsia" w:ascii="宋体" w:hAnsi="宋体" w:cs="宋体"/>
                <w:color w:val="auto"/>
                <w:sz w:val="24"/>
              </w:rPr>
              <w:t>×16mm）</w:t>
            </w:r>
            <w:r>
              <w:rPr>
                <w:rFonts w:hint="eastAsia" w:ascii="宋体" w:hAnsi="宋体" w:cs="宋体"/>
                <w:color w:val="auto"/>
                <w:sz w:val="24"/>
                <w:lang w:eastAsia="zh-CN"/>
              </w:rPr>
              <w:t>。</w:t>
            </w:r>
          </w:p>
        </w:tc>
        <w:tc>
          <w:tcPr>
            <w:tcW w:w="806" w:type="dxa"/>
            <w:shd w:val="clear" w:color="auto" w:fill="auto"/>
            <w:noWrap w:val="0"/>
            <w:vAlign w:val="center"/>
          </w:tcPr>
          <w:p w14:paraId="75A75304">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1E7E8545">
            <w:pPr>
              <w:widowControl/>
              <w:ind w:left="43" w:hanging="129"/>
              <w:jc w:val="center"/>
              <w:rPr>
                <w:rFonts w:ascii="宋体" w:hAnsi="宋体" w:cs="宋体"/>
                <w:color w:val="auto"/>
                <w:sz w:val="24"/>
              </w:rPr>
            </w:pPr>
            <w:r>
              <w:rPr>
                <w:rFonts w:hint="eastAsia" w:ascii="宋体" w:hAnsi="宋体" w:cs="宋体"/>
                <w:color w:val="auto"/>
                <w:sz w:val="24"/>
              </w:rPr>
              <w:t>套</w:t>
            </w:r>
          </w:p>
        </w:tc>
      </w:tr>
      <w:tr w14:paraId="6442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07" w:type="dxa"/>
            <w:shd w:val="clear" w:color="auto" w:fill="auto"/>
            <w:noWrap w:val="0"/>
            <w:vAlign w:val="center"/>
          </w:tcPr>
          <w:p w14:paraId="355BA689">
            <w:pPr>
              <w:widowControl/>
              <w:ind w:left="47" w:hanging="141"/>
              <w:jc w:val="center"/>
              <w:rPr>
                <w:rFonts w:ascii="宋体" w:hAnsi="宋体" w:cs="宋体"/>
                <w:color w:val="auto"/>
                <w:sz w:val="24"/>
              </w:rPr>
            </w:pPr>
            <w:r>
              <w:rPr>
                <w:rFonts w:hint="eastAsia" w:ascii="宋体" w:hAnsi="宋体" w:cs="宋体"/>
                <w:color w:val="auto"/>
                <w:sz w:val="24"/>
              </w:rPr>
              <w:t>7</w:t>
            </w:r>
          </w:p>
        </w:tc>
        <w:tc>
          <w:tcPr>
            <w:tcW w:w="1497" w:type="dxa"/>
            <w:shd w:val="clear" w:color="auto" w:fill="auto"/>
            <w:noWrap w:val="0"/>
            <w:vAlign w:val="center"/>
          </w:tcPr>
          <w:p w14:paraId="5E04719C">
            <w:pPr>
              <w:widowControl/>
              <w:jc w:val="center"/>
              <w:rPr>
                <w:rFonts w:ascii="宋体" w:hAnsi="宋体" w:cs="宋体"/>
                <w:color w:val="auto"/>
                <w:sz w:val="24"/>
              </w:rPr>
            </w:pPr>
            <w:r>
              <w:rPr>
                <w:rFonts w:hint="eastAsia" w:ascii="宋体" w:hAnsi="宋体" w:cs="宋体"/>
                <w:color w:val="auto"/>
                <w:sz w:val="24"/>
              </w:rPr>
              <w:t>交通管制告知组合屏</w:t>
            </w:r>
          </w:p>
        </w:tc>
        <w:tc>
          <w:tcPr>
            <w:tcW w:w="5550" w:type="dxa"/>
            <w:shd w:val="clear" w:color="auto" w:fill="auto"/>
            <w:noWrap w:val="0"/>
            <w:vAlign w:val="center"/>
          </w:tcPr>
          <w:p w14:paraId="5C617F0B">
            <w:pPr>
              <w:widowControl/>
              <w:ind w:left="-2" w:firstLine="1"/>
              <w:rPr>
                <w:rFonts w:ascii="宋体" w:hAnsi="宋体" w:cs="宋体"/>
                <w:color w:val="auto"/>
                <w:sz w:val="24"/>
              </w:rPr>
            </w:pPr>
            <w:r>
              <w:rPr>
                <w:rFonts w:hint="eastAsia" w:ascii="宋体" w:hAnsi="宋体" w:cs="宋体"/>
                <w:color w:val="auto"/>
                <w:sz w:val="24"/>
              </w:rPr>
              <w:t>1、以 LED 发光器件为基本显示单元的交通信息显示设备，具有图形及文字显示作用。</w:t>
            </w:r>
          </w:p>
          <w:p w14:paraId="7844F61E">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2、点距：10mm</w:t>
            </w:r>
            <w:r>
              <w:rPr>
                <w:rFonts w:hint="eastAsia" w:ascii="宋体" w:hAnsi="宋体" w:cs="宋体"/>
                <w:color w:val="auto"/>
                <w:sz w:val="24"/>
                <w:lang w:eastAsia="zh-CN"/>
              </w:rPr>
              <w:t>。</w:t>
            </w:r>
          </w:p>
          <w:p w14:paraId="14C0269E">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3、灯管配置：1R1G1B</w:t>
            </w:r>
            <w:r>
              <w:rPr>
                <w:rFonts w:hint="eastAsia" w:ascii="宋体" w:hAnsi="宋体" w:cs="宋体"/>
                <w:color w:val="auto"/>
                <w:sz w:val="24"/>
                <w:lang w:eastAsia="zh-CN"/>
              </w:rPr>
              <w:t>。</w:t>
            </w:r>
          </w:p>
          <w:p w14:paraId="7BD35F09">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4、单管参数：3mm椭圆</w:t>
            </w:r>
            <w:r>
              <w:rPr>
                <w:rFonts w:hint="eastAsia" w:ascii="宋体" w:hAnsi="宋体" w:cs="宋体"/>
                <w:color w:val="auto"/>
                <w:sz w:val="24"/>
                <w:lang w:eastAsia="zh-CN"/>
              </w:rPr>
              <w:t>。</w:t>
            </w:r>
          </w:p>
          <w:p w14:paraId="6F1C316E">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5、发光角度：30°高亮</w:t>
            </w:r>
            <w:r>
              <w:rPr>
                <w:rFonts w:hint="eastAsia" w:ascii="宋体" w:hAnsi="宋体" w:cs="宋体"/>
                <w:color w:val="auto"/>
                <w:sz w:val="24"/>
                <w:lang w:eastAsia="zh-CN"/>
              </w:rPr>
              <w:t>。</w:t>
            </w:r>
          </w:p>
          <w:p w14:paraId="73806DBF">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6、外部材质：镀锌板</w:t>
            </w:r>
            <w:r>
              <w:rPr>
                <w:rFonts w:hint="eastAsia" w:ascii="宋体" w:hAnsi="宋体" w:cs="宋体"/>
                <w:color w:val="auto"/>
                <w:sz w:val="24"/>
                <w:lang w:eastAsia="zh-CN"/>
              </w:rPr>
              <w:t>。</w:t>
            </w:r>
          </w:p>
          <w:p w14:paraId="7D798B2C">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7、安装件：立柱地锚</w:t>
            </w:r>
            <w:r>
              <w:rPr>
                <w:rFonts w:hint="eastAsia" w:ascii="宋体" w:hAnsi="宋体" w:cs="宋体"/>
                <w:color w:val="auto"/>
                <w:sz w:val="24"/>
                <w:lang w:eastAsia="zh-CN"/>
              </w:rPr>
              <w:t>。</w:t>
            </w:r>
          </w:p>
          <w:p w14:paraId="0035EA3A">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8、通信与控制方式：RS232+RS485+RJ45</w:t>
            </w:r>
            <w:r>
              <w:rPr>
                <w:rFonts w:hint="eastAsia" w:ascii="宋体" w:hAnsi="宋体" w:cs="宋体"/>
                <w:color w:val="auto"/>
                <w:sz w:val="24"/>
                <w:lang w:eastAsia="zh-CN"/>
              </w:rPr>
              <w:t>。</w:t>
            </w:r>
          </w:p>
          <w:p w14:paraId="281CFEC1">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9、亮度调节：自动</w:t>
            </w:r>
            <w:r>
              <w:rPr>
                <w:rFonts w:hint="eastAsia" w:ascii="宋体" w:hAnsi="宋体" w:cs="宋体"/>
                <w:color w:val="auto"/>
                <w:sz w:val="24"/>
                <w:lang w:eastAsia="zh-CN"/>
              </w:rPr>
              <w:t>。</w:t>
            </w:r>
          </w:p>
          <w:p w14:paraId="62A9C171">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10、像素密度：10000点/m2</w:t>
            </w:r>
            <w:r>
              <w:rPr>
                <w:rFonts w:hint="eastAsia" w:ascii="宋体" w:hAnsi="宋体" w:cs="宋体"/>
                <w:color w:val="auto"/>
                <w:sz w:val="24"/>
                <w:lang w:eastAsia="zh-CN"/>
              </w:rPr>
              <w:t>。</w:t>
            </w:r>
          </w:p>
          <w:p w14:paraId="607B5976">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11、像素分辨率：192×384</w:t>
            </w:r>
            <w:r>
              <w:rPr>
                <w:rFonts w:hint="eastAsia" w:ascii="宋体" w:hAnsi="宋体" w:cs="宋体"/>
                <w:color w:val="auto"/>
                <w:sz w:val="24"/>
                <w:lang w:eastAsia="zh-CN"/>
              </w:rPr>
              <w:t>。</w:t>
            </w:r>
          </w:p>
          <w:p w14:paraId="3CEAC634">
            <w:pPr>
              <w:widowControl/>
              <w:ind w:left="-2" w:firstLine="1"/>
              <w:rPr>
                <w:rFonts w:ascii="宋体" w:hAnsi="宋体" w:cs="宋体"/>
                <w:color w:val="auto"/>
                <w:sz w:val="24"/>
              </w:rPr>
            </w:pPr>
            <w:r>
              <w:rPr>
                <w:rFonts w:hint="eastAsia" w:ascii="宋体" w:hAnsi="宋体" w:cs="宋体"/>
                <w:color w:val="auto"/>
                <w:sz w:val="24"/>
              </w:rPr>
              <w:t>12、屏幕大小（长*宽）：≥3.84m*1.92m</w:t>
            </w:r>
          </w:p>
          <w:p w14:paraId="5F38B747">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13、视距：静态视认距离≥250米；动态视认距离≥210米</w:t>
            </w:r>
            <w:r>
              <w:rPr>
                <w:rFonts w:hint="eastAsia" w:ascii="宋体" w:hAnsi="宋体" w:cs="宋体"/>
                <w:color w:val="auto"/>
                <w:sz w:val="24"/>
                <w:lang w:eastAsia="zh-CN"/>
              </w:rPr>
              <w:t>。</w:t>
            </w:r>
          </w:p>
          <w:p w14:paraId="7415A1AB">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14、整屏功耗</w:t>
            </w:r>
            <w:r>
              <w:rPr>
                <w:rFonts w:hint="eastAsia" w:ascii="宋体" w:hAnsi="宋体" w:cs="宋体"/>
                <w:color w:val="auto"/>
                <w:sz w:val="24"/>
                <w:lang w:eastAsia="zh-CN"/>
              </w:rPr>
              <w:t>：</w:t>
            </w:r>
            <w:r>
              <w:rPr>
                <w:rFonts w:hint="eastAsia" w:ascii="宋体" w:hAnsi="宋体" w:cs="宋体"/>
                <w:color w:val="auto"/>
                <w:sz w:val="24"/>
                <w:lang w:val="en-US" w:eastAsia="zh-CN"/>
              </w:rPr>
              <w:t>≤</w:t>
            </w:r>
            <w:r>
              <w:rPr>
                <w:rFonts w:hint="eastAsia" w:ascii="宋体" w:hAnsi="宋体" w:cs="宋体"/>
                <w:color w:val="auto"/>
                <w:sz w:val="24"/>
              </w:rPr>
              <w:t>3600W</w:t>
            </w:r>
            <w:r>
              <w:rPr>
                <w:rFonts w:hint="eastAsia" w:ascii="宋体" w:hAnsi="宋体" w:cs="宋体"/>
                <w:color w:val="auto"/>
                <w:sz w:val="24"/>
                <w:lang w:eastAsia="zh-CN"/>
              </w:rPr>
              <w:t>。</w:t>
            </w:r>
          </w:p>
          <w:p w14:paraId="7C842A3F">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15、刷新频率</w:t>
            </w:r>
            <w:r>
              <w:rPr>
                <w:rFonts w:hint="eastAsia" w:ascii="宋体" w:hAnsi="宋体" w:cs="宋体"/>
                <w:color w:val="auto"/>
                <w:sz w:val="24"/>
                <w:lang w:eastAsia="zh-CN"/>
              </w:rPr>
              <w:t>：</w:t>
            </w:r>
            <w:r>
              <w:rPr>
                <w:rFonts w:hint="eastAsia" w:ascii="宋体" w:hAnsi="宋体" w:cs="宋体"/>
                <w:color w:val="auto"/>
                <w:sz w:val="24"/>
                <w:lang w:val="en-US" w:eastAsia="zh-CN"/>
              </w:rPr>
              <w:t>≥</w:t>
            </w:r>
            <w:r>
              <w:rPr>
                <w:rFonts w:hint="eastAsia" w:ascii="宋体" w:hAnsi="宋体" w:cs="宋体"/>
                <w:color w:val="auto"/>
                <w:sz w:val="24"/>
              </w:rPr>
              <w:t>500Hz</w:t>
            </w:r>
            <w:r>
              <w:rPr>
                <w:rFonts w:hint="eastAsia" w:ascii="宋体" w:hAnsi="宋体" w:cs="宋体"/>
                <w:color w:val="auto"/>
                <w:sz w:val="24"/>
                <w:lang w:eastAsia="zh-CN"/>
              </w:rPr>
              <w:t>。</w:t>
            </w:r>
          </w:p>
          <w:p w14:paraId="06773EDC">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16、工作环境温度：-40℃～+65℃</w:t>
            </w:r>
            <w:r>
              <w:rPr>
                <w:rFonts w:hint="eastAsia" w:ascii="宋体" w:hAnsi="宋体" w:cs="宋体"/>
                <w:color w:val="auto"/>
                <w:sz w:val="24"/>
                <w:lang w:eastAsia="zh-CN"/>
              </w:rPr>
              <w:t>。</w:t>
            </w:r>
          </w:p>
          <w:p w14:paraId="1035816D">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17、相对湿度：5%～95%</w:t>
            </w:r>
            <w:r>
              <w:rPr>
                <w:rFonts w:hint="eastAsia" w:ascii="宋体" w:hAnsi="宋体" w:cs="宋体"/>
                <w:color w:val="auto"/>
                <w:sz w:val="24"/>
                <w:lang w:eastAsia="zh-CN"/>
              </w:rPr>
              <w:t>。</w:t>
            </w:r>
          </w:p>
          <w:p w14:paraId="6E31FD4F">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18、工作电压（交流）：AC380V±15%, 50Hz±2Hz</w:t>
            </w:r>
            <w:r>
              <w:rPr>
                <w:rFonts w:hint="eastAsia" w:ascii="宋体" w:hAnsi="宋体" w:cs="宋体"/>
                <w:color w:val="auto"/>
                <w:sz w:val="24"/>
                <w:lang w:eastAsia="zh-CN"/>
              </w:rPr>
              <w:t>。</w:t>
            </w:r>
          </w:p>
          <w:p w14:paraId="31AB07EE">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19、平均无故障时间</w:t>
            </w:r>
            <w:r>
              <w:rPr>
                <w:rFonts w:hint="eastAsia" w:ascii="宋体" w:hAnsi="宋体" w:cs="宋体"/>
                <w:color w:val="auto"/>
                <w:sz w:val="24"/>
                <w:lang w:eastAsia="zh-CN"/>
              </w:rPr>
              <w:t>：</w:t>
            </w:r>
            <w:r>
              <w:rPr>
                <w:rFonts w:hint="eastAsia" w:ascii="宋体" w:hAnsi="宋体" w:cs="宋体"/>
                <w:color w:val="auto"/>
                <w:sz w:val="24"/>
              </w:rPr>
              <w:t>≥20000小时</w:t>
            </w:r>
            <w:r>
              <w:rPr>
                <w:rFonts w:hint="eastAsia" w:ascii="宋体" w:hAnsi="宋体" w:cs="宋体"/>
                <w:color w:val="auto"/>
                <w:sz w:val="24"/>
                <w:lang w:eastAsia="zh-CN"/>
              </w:rPr>
              <w:t>。</w:t>
            </w:r>
          </w:p>
          <w:p w14:paraId="6F82ABB4">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20、离散型失控率</w:t>
            </w:r>
            <w:r>
              <w:rPr>
                <w:rFonts w:hint="eastAsia" w:ascii="宋体" w:hAnsi="宋体" w:cs="宋体"/>
                <w:color w:val="auto"/>
                <w:sz w:val="24"/>
                <w:lang w:eastAsia="zh-CN"/>
              </w:rPr>
              <w:t>：</w:t>
            </w:r>
            <w:r>
              <w:rPr>
                <w:rFonts w:hint="eastAsia" w:ascii="宋体" w:hAnsi="宋体" w:cs="宋体"/>
                <w:color w:val="auto"/>
                <w:sz w:val="24"/>
              </w:rPr>
              <w:t>≤3%</w:t>
            </w:r>
            <w:r>
              <w:rPr>
                <w:rFonts w:hint="eastAsia" w:ascii="宋体" w:hAnsi="宋体" w:cs="宋体"/>
                <w:color w:val="auto"/>
                <w:sz w:val="24"/>
                <w:lang w:eastAsia="zh-CN"/>
              </w:rPr>
              <w:t>。</w:t>
            </w:r>
          </w:p>
          <w:p w14:paraId="31D1598B">
            <w:pPr>
              <w:ind w:left="-2" w:firstLine="1"/>
              <w:rPr>
                <w:rFonts w:hint="eastAsia" w:ascii="宋体" w:hAnsi="宋体" w:eastAsia="宋体" w:cs="宋体"/>
                <w:color w:val="auto"/>
                <w:sz w:val="24"/>
                <w:lang w:eastAsia="zh-CN"/>
              </w:rPr>
            </w:pPr>
            <w:r>
              <w:rPr>
                <w:rFonts w:hint="eastAsia" w:ascii="宋体" w:hAnsi="宋体" w:cs="宋体"/>
                <w:color w:val="auto"/>
                <w:sz w:val="24"/>
              </w:rPr>
              <w:t>21、杂点率</w:t>
            </w:r>
            <w:r>
              <w:rPr>
                <w:rFonts w:hint="eastAsia" w:ascii="宋体" w:hAnsi="宋体" w:cs="宋体"/>
                <w:color w:val="auto"/>
                <w:sz w:val="24"/>
                <w:lang w:eastAsia="zh-CN"/>
              </w:rPr>
              <w:t>：</w:t>
            </w:r>
            <w:r>
              <w:rPr>
                <w:rFonts w:hint="eastAsia" w:ascii="宋体" w:hAnsi="宋体" w:cs="宋体"/>
                <w:color w:val="auto"/>
                <w:sz w:val="24"/>
              </w:rPr>
              <w:t>≤1/10000</w:t>
            </w:r>
            <w:r>
              <w:rPr>
                <w:rFonts w:hint="eastAsia" w:ascii="宋体" w:hAnsi="宋体" w:cs="宋体"/>
                <w:color w:val="auto"/>
                <w:sz w:val="24"/>
                <w:lang w:eastAsia="zh-CN"/>
              </w:rPr>
              <w:t>。</w:t>
            </w:r>
          </w:p>
        </w:tc>
        <w:tc>
          <w:tcPr>
            <w:tcW w:w="806" w:type="dxa"/>
            <w:shd w:val="clear" w:color="auto" w:fill="auto"/>
            <w:noWrap w:val="0"/>
            <w:vAlign w:val="center"/>
          </w:tcPr>
          <w:p w14:paraId="5231334B">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0BA70690">
            <w:pPr>
              <w:widowControl/>
              <w:ind w:left="43" w:hanging="129"/>
              <w:jc w:val="center"/>
              <w:rPr>
                <w:rFonts w:ascii="宋体" w:hAnsi="宋体" w:cs="宋体"/>
                <w:color w:val="auto"/>
                <w:sz w:val="24"/>
              </w:rPr>
            </w:pPr>
            <w:r>
              <w:rPr>
                <w:rFonts w:hint="eastAsia" w:ascii="宋体" w:hAnsi="宋体" w:cs="宋体"/>
                <w:color w:val="auto"/>
                <w:sz w:val="24"/>
              </w:rPr>
              <w:t>套</w:t>
            </w:r>
          </w:p>
        </w:tc>
      </w:tr>
      <w:tr w14:paraId="4209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07" w:type="dxa"/>
            <w:shd w:val="clear" w:color="auto" w:fill="auto"/>
            <w:noWrap w:val="0"/>
            <w:vAlign w:val="center"/>
          </w:tcPr>
          <w:p w14:paraId="2D0CC8E6">
            <w:pPr>
              <w:widowControl/>
              <w:ind w:left="47" w:hanging="141"/>
              <w:jc w:val="center"/>
              <w:rPr>
                <w:rFonts w:ascii="宋体" w:hAnsi="宋体" w:cs="宋体"/>
                <w:color w:val="auto"/>
                <w:sz w:val="24"/>
              </w:rPr>
            </w:pPr>
            <w:r>
              <w:rPr>
                <w:rFonts w:hint="eastAsia" w:ascii="宋体" w:hAnsi="宋体" w:cs="宋体"/>
                <w:color w:val="auto"/>
                <w:sz w:val="24"/>
              </w:rPr>
              <w:t>8</w:t>
            </w:r>
          </w:p>
        </w:tc>
        <w:tc>
          <w:tcPr>
            <w:tcW w:w="1497" w:type="dxa"/>
            <w:shd w:val="clear" w:color="auto" w:fill="auto"/>
            <w:noWrap w:val="0"/>
            <w:vAlign w:val="center"/>
          </w:tcPr>
          <w:p w14:paraId="2F012A11">
            <w:pPr>
              <w:widowControl/>
              <w:jc w:val="center"/>
              <w:rPr>
                <w:rFonts w:ascii="宋体" w:hAnsi="宋体" w:cs="宋体"/>
                <w:color w:val="auto"/>
                <w:sz w:val="24"/>
              </w:rPr>
            </w:pPr>
            <w:r>
              <w:rPr>
                <w:rFonts w:hint="eastAsia" w:ascii="宋体" w:hAnsi="宋体" w:cs="宋体"/>
                <w:color w:val="auto"/>
                <w:sz w:val="24"/>
              </w:rPr>
              <w:t>交通安全警示桩（气象版）</w:t>
            </w:r>
          </w:p>
        </w:tc>
        <w:tc>
          <w:tcPr>
            <w:tcW w:w="5550" w:type="dxa"/>
            <w:shd w:val="clear" w:color="auto" w:fill="auto"/>
            <w:noWrap w:val="0"/>
            <w:vAlign w:val="center"/>
          </w:tcPr>
          <w:p w14:paraId="3A9BEC72">
            <w:pPr>
              <w:rPr>
                <w:rFonts w:ascii="宋体" w:hAnsi="宋体" w:cs="宋体"/>
                <w:color w:val="auto"/>
                <w:sz w:val="24"/>
              </w:rPr>
            </w:pPr>
            <w:r>
              <w:rPr>
                <w:rFonts w:hint="eastAsia" w:ascii="宋体" w:hAnsi="宋体" w:cs="宋体"/>
                <w:color w:val="auto"/>
                <w:sz w:val="24"/>
              </w:rPr>
              <w:t>交通安全警示桩整体尺寸长×宽×高应不小于：450mm×200mm×2400mm，功能和技术参数要求：</w:t>
            </w:r>
          </w:p>
          <w:p w14:paraId="4085C3A0">
            <w:pPr>
              <w:rPr>
                <w:rFonts w:hint="eastAsia" w:ascii="宋体" w:hAnsi="宋体" w:eastAsia="宋体" w:cs="宋体"/>
                <w:color w:val="auto"/>
                <w:sz w:val="24"/>
                <w:lang w:eastAsia="zh-CN"/>
              </w:rPr>
            </w:pPr>
            <w:r>
              <w:rPr>
                <w:rFonts w:hint="eastAsia" w:ascii="宋体" w:hAnsi="宋体" w:cs="宋体"/>
                <w:color w:val="auto"/>
                <w:sz w:val="24"/>
              </w:rPr>
              <w:t>1、交通安全警示桩应为可拆卸的模块化结构。结构应牢固，连接紧密，模块密封良好 ，应采取防水、防锈措施</w:t>
            </w:r>
            <w:r>
              <w:rPr>
                <w:rFonts w:hint="eastAsia" w:ascii="宋体" w:hAnsi="宋体" w:cs="宋体"/>
                <w:color w:val="auto"/>
                <w:sz w:val="24"/>
                <w:lang w:eastAsia="zh-CN"/>
              </w:rPr>
              <w:t>。</w:t>
            </w:r>
          </w:p>
          <w:p w14:paraId="42745670">
            <w:pPr>
              <w:rPr>
                <w:rFonts w:ascii="宋体" w:hAnsi="宋体" w:cs="宋体"/>
                <w:color w:val="auto"/>
                <w:sz w:val="24"/>
              </w:rPr>
            </w:pPr>
            <w:r>
              <w:rPr>
                <w:rFonts w:hint="eastAsia" w:ascii="宋体" w:hAnsi="宋体" w:cs="宋体"/>
                <w:color w:val="auto"/>
                <w:sz w:val="24"/>
              </w:rPr>
              <w:t>▲2、车辆检测竖向距离</w:t>
            </w:r>
            <w:r>
              <w:rPr>
                <w:rFonts w:hint="eastAsia" w:ascii="宋体" w:hAnsi="宋体" w:cs="宋体"/>
                <w:color w:val="auto"/>
                <w:sz w:val="24"/>
                <w:lang w:eastAsia="zh-CN"/>
              </w:rPr>
              <w:t>：</w:t>
            </w:r>
            <w:r>
              <w:rPr>
                <w:rFonts w:hint="eastAsia" w:ascii="宋体" w:hAnsi="宋体" w:cs="宋体"/>
                <w:color w:val="auto"/>
                <w:sz w:val="24"/>
              </w:rPr>
              <w:t>≥100米，能覆盖单向4条车道。检测率</w:t>
            </w:r>
            <w:r>
              <w:rPr>
                <w:rFonts w:hint="eastAsia" w:ascii="宋体" w:hAnsi="宋体" w:cs="宋体"/>
                <w:color w:val="auto"/>
                <w:sz w:val="24"/>
                <w:lang w:eastAsia="zh-CN"/>
              </w:rPr>
              <w:t>：</w:t>
            </w:r>
            <w:r>
              <w:rPr>
                <w:rFonts w:hint="eastAsia" w:ascii="宋体" w:hAnsi="宋体" w:cs="宋体"/>
                <w:color w:val="auto"/>
                <w:sz w:val="24"/>
              </w:rPr>
              <w:t>≥98%。</w:t>
            </w:r>
          </w:p>
          <w:p w14:paraId="449971C2">
            <w:pPr>
              <w:rPr>
                <w:rFonts w:ascii="宋体" w:hAnsi="宋体" w:cs="宋体"/>
                <w:color w:val="auto"/>
                <w:sz w:val="24"/>
              </w:rPr>
            </w:pPr>
            <w:r>
              <w:rPr>
                <w:rFonts w:hint="eastAsia" w:ascii="宋体" w:hAnsi="宋体" w:cs="宋体"/>
                <w:color w:val="auto"/>
                <w:sz w:val="24"/>
              </w:rPr>
              <w:t>3、行人检测竖向距离</w:t>
            </w:r>
            <w:r>
              <w:rPr>
                <w:rFonts w:hint="eastAsia" w:ascii="宋体" w:hAnsi="宋体" w:cs="宋体"/>
                <w:color w:val="auto"/>
                <w:sz w:val="24"/>
                <w:lang w:eastAsia="zh-CN"/>
              </w:rPr>
              <w:t>：</w:t>
            </w:r>
            <w:r>
              <w:rPr>
                <w:rFonts w:hint="eastAsia" w:ascii="宋体" w:hAnsi="宋体" w:cs="宋体"/>
                <w:color w:val="auto"/>
                <w:sz w:val="24"/>
              </w:rPr>
              <w:t>≥20米，横向宽度</w:t>
            </w:r>
            <w:r>
              <w:rPr>
                <w:rFonts w:hint="eastAsia" w:ascii="宋体" w:hAnsi="宋体" w:cs="宋体"/>
                <w:color w:val="auto"/>
                <w:sz w:val="24"/>
                <w:lang w:eastAsia="zh-CN"/>
              </w:rPr>
              <w:t>：</w:t>
            </w:r>
            <w:r>
              <w:rPr>
                <w:rFonts w:hint="eastAsia" w:ascii="宋体" w:hAnsi="宋体" w:cs="宋体"/>
                <w:color w:val="auto"/>
                <w:sz w:val="24"/>
              </w:rPr>
              <w:t>≥5米，检测率</w:t>
            </w:r>
            <w:r>
              <w:rPr>
                <w:rFonts w:hint="eastAsia" w:ascii="宋体" w:hAnsi="宋体" w:cs="宋体"/>
                <w:color w:val="auto"/>
                <w:sz w:val="24"/>
                <w:lang w:eastAsia="zh-CN"/>
              </w:rPr>
              <w:t>：</w:t>
            </w:r>
            <w:r>
              <w:rPr>
                <w:rFonts w:hint="eastAsia" w:ascii="宋体" w:hAnsi="宋体" w:cs="宋体"/>
                <w:color w:val="auto"/>
                <w:sz w:val="24"/>
              </w:rPr>
              <w:t>≥98%。</w:t>
            </w:r>
          </w:p>
          <w:p w14:paraId="0F0FCA8D">
            <w:pPr>
              <w:rPr>
                <w:rFonts w:ascii="宋体" w:hAnsi="宋体" w:cs="宋体"/>
                <w:color w:val="auto"/>
                <w:sz w:val="24"/>
              </w:rPr>
            </w:pPr>
            <w:r>
              <w:rPr>
                <w:rFonts w:hint="eastAsia" w:ascii="宋体" w:hAnsi="宋体" w:cs="宋体"/>
                <w:color w:val="auto"/>
                <w:sz w:val="24"/>
              </w:rPr>
              <w:t>▲4、警示策略：能根据警示策略显示相符的图形、图像、动画、文字，并具有延时功能,延时时长可调。根据危险等级自动匹配警示方式，危险等级划分不少于3级。根据道路预警需求,可多点位架设辅助警示装置，与安全警示桩同步发出警示。</w:t>
            </w:r>
          </w:p>
          <w:p w14:paraId="562B4DCE">
            <w:pPr>
              <w:rPr>
                <w:rFonts w:ascii="宋体" w:hAnsi="宋体" w:cs="宋体"/>
                <w:color w:val="auto"/>
                <w:sz w:val="24"/>
              </w:rPr>
            </w:pPr>
            <w:r>
              <w:rPr>
                <w:rFonts w:hint="eastAsia" w:ascii="宋体" w:hAnsi="宋体" w:cs="宋体"/>
                <w:color w:val="auto"/>
                <w:sz w:val="24"/>
              </w:rPr>
              <w:t>5、具有灯光警示功能，灯光颜色为红、蓝双色，闪烁方式为交替闪烁。</w:t>
            </w:r>
          </w:p>
          <w:p w14:paraId="504755D2">
            <w:pPr>
              <w:rPr>
                <w:rFonts w:ascii="宋体" w:hAnsi="宋体" w:cs="宋体"/>
                <w:color w:val="auto"/>
                <w:sz w:val="24"/>
              </w:rPr>
            </w:pPr>
            <w:r>
              <w:rPr>
                <w:rFonts w:hint="eastAsia" w:ascii="宋体" w:hAnsi="宋体" w:cs="宋体"/>
                <w:color w:val="auto"/>
                <w:sz w:val="24"/>
              </w:rPr>
              <w:t>6、自动调光功能：设置至少1个环境照度检测装置,根据环境照度调整显示亮度。</w:t>
            </w:r>
          </w:p>
          <w:p w14:paraId="014CFE63">
            <w:pPr>
              <w:rPr>
                <w:rFonts w:ascii="宋体" w:hAnsi="宋体" w:cs="宋体"/>
                <w:color w:val="auto"/>
                <w:sz w:val="24"/>
              </w:rPr>
            </w:pPr>
            <w:r>
              <w:rPr>
                <w:rFonts w:hint="eastAsia" w:ascii="宋体" w:hAnsi="宋体" w:cs="宋体"/>
                <w:color w:val="auto"/>
                <w:sz w:val="24"/>
              </w:rPr>
              <w:t>7、手动调光功能：安全警示桩显示亮度应能进行手动调节。</w:t>
            </w:r>
          </w:p>
          <w:p w14:paraId="3BA445A1">
            <w:pPr>
              <w:rPr>
                <w:rFonts w:ascii="宋体" w:hAnsi="宋体" w:cs="宋体"/>
                <w:color w:val="auto"/>
                <w:sz w:val="24"/>
              </w:rPr>
            </w:pPr>
            <w:r>
              <w:rPr>
                <w:rFonts w:hint="eastAsia" w:ascii="宋体" w:hAnsi="宋体" w:cs="宋体"/>
                <w:color w:val="auto"/>
                <w:sz w:val="24"/>
              </w:rPr>
              <w:t>8、具有上电自检功能，并能以日志记录。</w:t>
            </w:r>
          </w:p>
          <w:p w14:paraId="18F42F61">
            <w:pPr>
              <w:rPr>
                <w:rFonts w:ascii="宋体" w:hAnsi="宋体" w:cs="宋体"/>
                <w:color w:val="auto"/>
                <w:sz w:val="24"/>
              </w:rPr>
            </w:pPr>
            <w:r>
              <w:rPr>
                <w:rFonts w:hint="eastAsia" w:ascii="宋体" w:hAnsi="宋体" w:cs="宋体"/>
                <w:color w:val="auto"/>
                <w:sz w:val="24"/>
              </w:rPr>
              <w:t>9、具有与北京时间自动同步的功能，系统24H计时误差应不超过1</w:t>
            </w:r>
            <w:r>
              <w:rPr>
                <w:rFonts w:hint="eastAsia" w:ascii="宋体" w:hAnsi="宋体" w:cs="宋体"/>
                <w:color w:val="auto"/>
                <w:sz w:val="24"/>
                <w:lang w:val="en-US" w:eastAsia="zh-CN"/>
              </w:rPr>
              <w:t>s</w:t>
            </w:r>
            <w:r>
              <w:rPr>
                <w:rFonts w:hint="eastAsia" w:ascii="宋体" w:hAnsi="宋体" w:cs="宋体"/>
                <w:color w:val="auto"/>
                <w:sz w:val="24"/>
              </w:rPr>
              <w:t>。</w:t>
            </w:r>
          </w:p>
          <w:p w14:paraId="64CD144C">
            <w:pPr>
              <w:rPr>
                <w:rFonts w:ascii="宋体" w:hAnsi="宋体" w:cs="宋体"/>
                <w:color w:val="auto"/>
                <w:sz w:val="24"/>
              </w:rPr>
            </w:pPr>
            <w:r>
              <w:rPr>
                <w:rFonts w:hint="eastAsia" w:ascii="宋体" w:hAnsi="宋体" w:cs="宋体"/>
                <w:color w:val="auto"/>
                <w:sz w:val="24"/>
              </w:rPr>
              <w:t>10、LED点阵显示屏面积</w:t>
            </w:r>
            <w:r>
              <w:rPr>
                <w:rFonts w:hint="eastAsia" w:ascii="宋体" w:hAnsi="宋体" w:cs="宋体"/>
                <w:color w:val="auto"/>
                <w:sz w:val="24"/>
                <w:lang w:eastAsia="zh-CN"/>
              </w:rPr>
              <w:t>：</w:t>
            </w:r>
            <w:r>
              <w:rPr>
                <w:rFonts w:hint="eastAsia" w:ascii="宋体" w:hAnsi="宋体" w:cs="宋体"/>
                <w:color w:val="auto"/>
                <w:sz w:val="24"/>
              </w:rPr>
              <w:t>≥0.4平方米。</w:t>
            </w:r>
          </w:p>
          <w:p w14:paraId="7FE9493F">
            <w:pPr>
              <w:rPr>
                <w:rFonts w:ascii="宋体" w:hAnsi="宋体" w:cs="宋体"/>
                <w:color w:val="auto"/>
                <w:sz w:val="24"/>
              </w:rPr>
            </w:pPr>
            <w:r>
              <w:rPr>
                <w:rFonts w:hint="eastAsia" w:ascii="宋体" w:hAnsi="宋体" w:cs="宋体"/>
                <w:color w:val="auto"/>
                <w:sz w:val="24"/>
              </w:rPr>
              <w:t>11、构成标志图案、文字等信息内容的LED点中心间距小于等于10MM，在避免产生眩光的情况下，能够清晰、稳定的传递标志信息。</w:t>
            </w:r>
          </w:p>
          <w:p w14:paraId="75E5036A">
            <w:pPr>
              <w:widowControl/>
              <w:ind w:left="-2" w:firstLine="1"/>
              <w:rPr>
                <w:rFonts w:ascii="宋体" w:hAnsi="宋体" w:cs="宋体"/>
                <w:color w:val="auto"/>
                <w:sz w:val="24"/>
              </w:rPr>
            </w:pPr>
            <w:bookmarkStart w:id="2" w:name="RANGE!C50"/>
            <w:r>
              <w:rPr>
                <w:rFonts w:hint="eastAsia" w:ascii="宋体" w:hAnsi="宋体" w:cs="宋体"/>
                <w:color w:val="auto"/>
                <w:sz w:val="24"/>
              </w:rPr>
              <w:t>12、提供六个气象参数，测量风速，风向，大气压力，大气温度，相对湿度和降雨强度；具有能见度检测功能，能见度范围：10～5000m，分辨力：1m 准确度：±50 m（能见度≤500m）；±10%（500m&lt;能见度≤1500m）、±20%（能见度＞1500m），支持路面温度红外遥感。</w:t>
            </w:r>
            <w:bookmarkEnd w:id="2"/>
          </w:p>
          <w:p w14:paraId="3D1CF33A">
            <w:pPr>
              <w:ind w:left="-2" w:firstLine="1"/>
              <w:rPr>
                <w:rFonts w:ascii="宋体" w:hAnsi="宋体" w:cs="宋体"/>
                <w:color w:val="auto"/>
                <w:sz w:val="24"/>
              </w:rPr>
            </w:pPr>
            <w:r>
              <w:rPr>
                <w:rFonts w:hint="eastAsia" w:ascii="宋体" w:hAnsi="宋体" w:cs="宋体"/>
                <w:color w:val="auto"/>
                <w:sz w:val="24"/>
              </w:rPr>
              <w:t>每套含警示桩体2台，六要素气象检测仪1套，红外线地热遥感分析1套。</w:t>
            </w:r>
          </w:p>
        </w:tc>
        <w:tc>
          <w:tcPr>
            <w:tcW w:w="806" w:type="dxa"/>
            <w:shd w:val="clear" w:color="auto" w:fill="auto"/>
            <w:noWrap w:val="0"/>
            <w:vAlign w:val="center"/>
          </w:tcPr>
          <w:p w14:paraId="795DEB6D">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2C848B72">
            <w:pPr>
              <w:widowControl/>
              <w:ind w:left="43" w:hanging="129"/>
              <w:jc w:val="center"/>
              <w:rPr>
                <w:rFonts w:ascii="宋体" w:hAnsi="宋体" w:cs="宋体"/>
                <w:color w:val="auto"/>
                <w:sz w:val="24"/>
              </w:rPr>
            </w:pPr>
            <w:r>
              <w:rPr>
                <w:rFonts w:hint="eastAsia" w:ascii="宋体" w:hAnsi="宋体" w:cs="宋体"/>
                <w:color w:val="auto"/>
                <w:sz w:val="24"/>
              </w:rPr>
              <w:t>套</w:t>
            </w:r>
          </w:p>
        </w:tc>
      </w:tr>
      <w:tr w14:paraId="442B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807" w:type="dxa"/>
            <w:shd w:val="clear" w:color="auto" w:fill="auto"/>
            <w:noWrap w:val="0"/>
            <w:vAlign w:val="center"/>
          </w:tcPr>
          <w:p w14:paraId="19229674">
            <w:pPr>
              <w:widowControl/>
              <w:ind w:left="47" w:hanging="141"/>
              <w:jc w:val="center"/>
              <w:rPr>
                <w:rFonts w:ascii="宋体" w:hAnsi="宋体" w:cs="宋体"/>
                <w:color w:val="auto"/>
                <w:sz w:val="24"/>
              </w:rPr>
            </w:pPr>
            <w:r>
              <w:rPr>
                <w:rFonts w:hint="eastAsia" w:ascii="宋体" w:hAnsi="宋体" w:cs="宋体"/>
                <w:color w:val="auto"/>
                <w:sz w:val="24"/>
              </w:rPr>
              <w:t>9</w:t>
            </w:r>
          </w:p>
        </w:tc>
        <w:tc>
          <w:tcPr>
            <w:tcW w:w="1497" w:type="dxa"/>
            <w:shd w:val="clear" w:color="auto" w:fill="auto"/>
            <w:noWrap w:val="0"/>
            <w:vAlign w:val="center"/>
          </w:tcPr>
          <w:p w14:paraId="233D5CB0">
            <w:pPr>
              <w:widowControl/>
              <w:jc w:val="center"/>
              <w:rPr>
                <w:rFonts w:ascii="宋体" w:hAnsi="宋体" w:cs="宋体"/>
                <w:color w:val="auto"/>
                <w:sz w:val="24"/>
              </w:rPr>
            </w:pPr>
            <w:r>
              <w:rPr>
                <w:rFonts w:hint="eastAsia" w:ascii="宋体" w:hAnsi="宋体" w:cs="宋体"/>
                <w:color w:val="auto"/>
                <w:sz w:val="24"/>
              </w:rPr>
              <w:t>汇车梯度显示</w:t>
            </w:r>
          </w:p>
        </w:tc>
        <w:tc>
          <w:tcPr>
            <w:tcW w:w="5550" w:type="dxa"/>
            <w:shd w:val="clear" w:color="auto" w:fill="auto"/>
            <w:noWrap w:val="0"/>
            <w:vAlign w:val="center"/>
          </w:tcPr>
          <w:p w14:paraId="777BDD84">
            <w:pPr>
              <w:widowControl/>
              <w:ind w:left="-2" w:firstLine="1"/>
              <w:jc w:val="left"/>
              <w:rPr>
                <w:rFonts w:ascii="宋体" w:hAnsi="宋体" w:cs="宋体"/>
                <w:color w:val="auto"/>
                <w:sz w:val="24"/>
              </w:rPr>
            </w:pPr>
            <w:r>
              <w:rPr>
                <w:rFonts w:hint="eastAsia" w:ascii="宋体" w:hAnsi="宋体" w:cs="宋体"/>
                <w:color w:val="auto"/>
                <w:sz w:val="24"/>
              </w:rPr>
              <w:t>1、点间距：15mm</w:t>
            </w:r>
            <w:r>
              <w:rPr>
                <w:rFonts w:hint="eastAsia" w:ascii="宋体" w:hAnsi="宋体" w:cs="宋体"/>
                <w:color w:val="auto"/>
                <w:sz w:val="24"/>
                <w:lang w:eastAsia="zh-CN"/>
              </w:rPr>
              <w:t>。</w:t>
            </w:r>
            <w:r>
              <w:rPr>
                <w:rFonts w:hint="eastAsia" w:ascii="宋体" w:hAnsi="宋体" w:cs="宋体"/>
                <w:color w:val="auto"/>
                <w:sz w:val="24"/>
              </w:rPr>
              <w:br w:type="textWrapping"/>
            </w:r>
            <w:r>
              <w:rPr>
                <w:rFonts w:hint="eastAsia" w:ascii="宋体" w:hAnsi="宋体" w:cs="宋体"/>
                <w:color w:val="auto"/>
                <w:sz w:val="24"/>
              </w:rPr>
              <w:t>2、显示方式：支持常亮或同步闪烁，闪烁频率30次/min～120次/min可调</w:t>
            </w:r>
            <w:r>
              <w:rPr>
                <w:rFonts w:hint="eastAsia" w:ascii="宋体" w:hAnsi="宋体" w:cs="宋体"/>
                <w:color w:val="auto"/>
                <w:sz w:val="24"/>
                <w:lang w:eastAsia="zh-CN"/>
              </w:rPr>
              <w:t>。</w:t>
            </w:r>
            <w:r>
              <w:rPr>
                <w:rFonts w:hint="eastAsia" w:ascii="宋体" w:hAnsi="宋体" w:cs="宋体"/>
                <w:color w:val="auto"/>
                <w:sz w:val="24"/>
              </w:rPr>
              <w:br w:type="textWrapping"/>
            </w:r>
            <w:r>
              <w:rPr>
                <w:rFonts w:hint="eastAsia" w:ascii="宋体" w:hAnsi="宋体" w:cs="宋体"/>
                <w:color w:val="auto"/>
                <w:sz w:val="24"/>
              </w:rPr>
              <w:t>3、通讯方式：设备之间无线通讯、与后台有线网络</w:t>
            </w:r>
            <w:r>
              <w:rPr>
                <w:rFonts w:hint="eastAsia" w:ascii="宋体" w:hAnsi="宋体" w:cs="宋体"/>
                <w:color w:val="auto"/>
                <w:sz w:val="24"/>
                <w:lang w:eastAsia="zh-CN"/>
              </w:rPr>
              <w:t>。</w:t>
            </w:r>
            <w:r>
              <w:rPr>
                <w:rFonts w:hint="eastAsia" w:ascii="宋体" w:hAnsi="宋体" w:cs="宋体"/>
                <w:color w:val="auto"/>
                <w:sz w:val="24"/>
              </w:rPr>
              <w:br w:type="textWrapping"/>
            </w:r>
            <w:r>
              <w:rPr>
                <w:rFonts w:hint="eastAsia" w:ascii="宋体" w:hAnsi="宋体" w:cs="宋体"/>
                <w:color w:val="auto"/>
                <w:sz w:val="24"/>
              </w:rPr>
              <w:t>4、控制方式：有线网络</w:t>
            </w:r>
            <w:r>
              <w:rPr>
                <w:rFonts w:hint="eastAsia" w:ascii="宋体" w:hAnsi="宋体" w:cs="宋体"/>
                <w:color w:val="auto"/>
                <w:sz w:val="24"/>
                <w:lang w:eastAsia="zh-CN"/>
              </w:rPr>
              <w:t>。</w:t>
            </w:r>
            <w:r>
              <w:rPr>
                <w:rFonts w:hint="eastAsia" w:ascii="宋体" w:hAnsi="宋体" w:cs="宋体"/>
                <w:color w:val="auto"/>
                <w:sz w:val="24"/>
              </w:rPr>
              <w:br w:type="textWrapping"/>
            </w:r>
            <w:r>
              <w:rPr>
                <w:rFonts w:hint="eastAsia" w:ascii="宋体" w:hAnsi="宋体" w:cs="宋体"/>
                <w:color w:val="auto"/>
                <w:sz w:val="24"/>
              </w:rPr>
              <w:t>5、能以文字、图形、声音等方式警示通行冲突方向通行情况。</w:t>
            </w:r>
          </w:p>
          <w:p w14:paraId="79CA5FDE">
            <w:pPr>
              <w:widowControl/>
              <w:ind w:left="-2" w:firstLine="1"/>
              <w:jc w:val="left"/>
              <w:rPr>
                <w:rFonts w:ascii="宋体" w:hAnsi="宋体" w:cs="宋体"/>
                <w:color w:val="auto"/>
                <w:sz w:val="24"/>
              </w:rPr>
            </w:pPr>
            <w:r>
              <w:rPr>
                <w:rFonts w:hint="eastAsia" w:ascii="宋体" w:hAnsi="宋体" w:cs="宋体"/>
                <w:color w:val="auto"/>
                <w:sz w:val="24"/>
              </w:rPr>
              <w:t>6、声音警示：车辆、行人通行时分别播报相应警示信息，且车辆通行优先级最高，并可设置播报时段。</w:t>
            </w:r>
          </w:p>
          <w:p w14:paraId="4439BD2D">
            <w:pPr>
              <w:widowControl/>
              <w:ind w:left="-2" w:firstLine="1"/>
              <w:jc w:val="left"/>
              <w:rPr>
                <w:rFonts w:ascii="宋体" w:hAnsi="宋体" w:cs="宋体"/>
                <w:color w:val="auto"/>
                <w:sz w:val="24"/>
              </w:rPr>
            </w:pPr>
            <w:r>
              <w:rPr>
                <w:rFonts w:hint="eastAsia" w:ascii="宋体" w:hAnsi="宋体" w:cs="宋体"/>
                <w:color w:val="auto"/>
                <w:sz w:val="24"/>
              </w:rPr>
              <w:t>7、LED灯板：点阵发光，固定字样：行人穿越/左侧来车（可定制字符）单字尺寸</w:t>
            </w:r>
            <w:r>
              <w:rPr>
                <w:rFonts w:hint="eastAsia" w:ascii="宋体" w:hAnsi="宋体" w:cs="宋体"/>
                <w:color w:val="auto"/>
                <w:sz w:val="24"/>
                <w:lang w:eastAsia="zh-CN"/>
              </w:rPr>
              <w:t>：</w:t>
            </w:r>
            <w:r>
              <w:rPr>
                <w:rFonts w:hint="eastAsia" w:ascii="宋体" w:hAnsi="宋体" w:cs="宋体"/>
                <w:color w:val="auto"/>
                <w:sz w:val="24"/>
              </w:rPr>
              <w:t>≥260mm*260mm</w:t>
            </w:r>
          </w:p>
          <w:p w14:paraId="24069F02">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8、LED显示点阵尺寸</w:t>
            </w:r>
            <w:r>
              <w:rPr>
                <w:rFonts w:hint="eastAsia" w:ascii="宋体" w:hAnsi="宋体" w:cs="宋体"/>
                <w:color w:val="auto"/>
                <w:sz w:val="24"/>
                <w:lang w:eastAsia="zh-CN"/>
              </w:rPr>
              <w:t>：</w:t>
            </w:r>
            <w:r>
              <w:rPr>
                <w:rFonts w:hint="eastAsia" w:ascii="宋体" w:hAnsi="宋体" w:cs="宋体"/>
                <w:color w:val="auto"/>
                <w:sz w:val="24"/>
              </w:rPr>
              <w:t>≥600</w:t>
            </w:r>
            <w:r>
              <w:rPr>
                <w:rFonts w:hint="eastAsia" w:ascii="宋体" w:hAnsi="宋体" w:cs="宋体"/>
                <w:color w:val="auto"/>
                <w:sz w:val="24"/>
                <w:lang w:val="en-US" w:eastAsia="zh-CN"/>
              </w:rPr>
              <w:t>mm</w:t>
            </w:r>
            <w:r>
              <w:rPr>
                <w:rFonts w:hint="eastAsia" w:ascii="宋体" w:hAnsi="宋体" w:cs="宋体"/>
                <w:color w:val="auto"/>
                <w:sz w:val="24"/>
              </w:rPr>
              <w:t>*260mm</w:t>
            </w:r>
            <w:r>
              <w:rPr>
                <w:rFonts w:hint="eastAsia" w:ascii="宋体" w:hAnsi="宋体" w:cs="宋体"/>
                <w:color w:val="auto"/>
                <w:sz w:val="24"/>
                <w:lang w:eastAsia="zh-CN"/>
              </w:rPr>
              <w:t>。</w:t>
            </w:r>
          </w:p>
          <w:p w14:paraId="3B2BAF1F">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9、无线通信控制模块通信距离</w:t>
            </w:r>
            <w:r>
              <w:rPr>
                <w:rFonts w:hint="eastAsia" w:ascii="宋体" w:hAnsi="宋体" w:cs="宋体"/>
                <w:color w:val="auto"/>
                <w:sz w:val="24"/>
                <w:lang w:eastAsia="zh-CN"/>
              </w:rPr>
              <w:t>：</w:t>
            </w:r>
            <w:r>
              <w:rPr>
                <w:rFonts w:hint="eastAsia" w:ascii="宋体" w:hAnsi="宋体" w:cs="宋体"/>
                <w:color w:val="auto"/>
                <w:sz w:val="24"/>
              </w:rPr>
              <w:t>≥300米（通视）</w:t>
            </w:r>
            <w:r>
              <w:rPr>
                <w:rFonts w:hint="eastAsia" w:ascii="宋体" w:hAnsi="宋体" w:cs="宋体"/>
                <w:color w:val="auto"/>
                <w:sz w:val="24"/>
                <w:lang w:eastAsia="zh-CN"/>
              </w:rPr>
              <w:t>。</w:t>
            </w:r>
          </w:p>
          <w:p w14:paraId="6936C9C3">
            <w:pPr>
              <w:widowControl/>
              <w:ind w:left="-2" w:firstLine="1"/>
              <w:jc w:val="left"/>
              <w:rPr>
                <w:rFonts w:hint="eastAsia" w:ascii="宋体" w:hAnsi="宋体" w:eastAsia="宋体" w:cs="宋体"/>
                <w:color w:val="auto"/>
                <w:sz w:val="24"/>
                <w:lang w:eastAsia="zh-CN"/>
              </w:rPr>
            </w:pPr>
            <w:r>
              <w:rPr>
                <w:rFonts w:hint="eastAsia" w:ascii="宋体" w:hAnsi="宋体" w:cs="宋体"/>
                <w:color w:val="auto"/>
                <w:sz w:val="24"/>
              </w:rPr>
              <w:t>10、具有灯光警示功能，灯光颜色为红蓝双色</w:t>
            </w:r>
            <w:r>
              <w:rPr>
                <w:rFonts w:hint="eastAsia" w:ascii="宋体" w:hAnsi="宋体" w:cs="宋体"/>
                <w:color w:val="auto"/>
                <w:sz w:val="24"/>
                <w:lang w:eastAsia="zh-CN"/>
              </w:rPr>
              <w:t>，</w:t>
            </w:r>
            <w:r>
              <w:rPr>
                <w:rFonts w:hint="eastAsia" w:ascii="宋体" w:hAnsi="宋体" w:cs="宋体"/>
                <w:color w:val="auto"/>
                <w:sz w:val="24"/>
              </w:rPr>
              <w:t>交替闪烁</w:t>
            </w:r>
            <w:r>
              <w:rPr>
                <w:rFonts w:hint="eastAsia" w:ascii="宋体" w:hAnsi="宋体" w:cs="宋体"/>
                <w:color w:val="auto"/>
                <w:sz w:val="24"/>
                <w:lang w:eastAsia="zh-CN"/>
              </w:rPr>
              <w:t>。</w:t>
            </w:r>
          </w:p>
          <w:p w14:paraId="1D3837EF">
            <w:pPr>
              <w:ind w:left="-2" w:firstLine="1"/>
              <w:jc w:val="left"/>
              <w:rPr>
                <w:rFonts w:hint="eastAsia" w:ascii="宋体" w:hAnsi="宋体" w:eastAsia="宋体" w:cs="宋体"/>
                <w:color w:val="auto"/>
                <w:sz w:val="24"/>
                <w:lang w:eastAsia="zh-CN"/>
              </w:rPr>
            </w:pPr>
            <w:r>
              <w:rPr>
                <w:rFonts w:hint="eastAsia" w:ascii="宋体" w:hAnsi="宋体" w:cs="宋体"/>
                <w:color w:val="auto"/>
                <w:sz w:val="24"/>
              </w:rPr>
              <w:t>11、工作环境：-20 ℃～50℃,湿度小于95%(无凝结)</w:t>
            </w:r>
            <w:r>
              <w:rPr>
                <w:rFonts w:hint="eastAsia" w:ascii="宋体" w:hAnsi="宋体" w:cs="宋体"/>
                <w:color w:val="auto"/>
                <w:sz w:val="24"/>
                <w:lang w:eastAsia="zh-CN"/>
              </w:rPr>
              <w:t>。</w:t>
            </w:r>
          </w:p>
        </w:tc>
        <w:tc>
          <w:tcPr>
            <w:tcW w:w="806" w:type="dxa"/>
            <w:shd w:val="clear" w:color="auto" w:fill="auto"/>
            <w:noWrap w:val="0"/>
            <w:vAlign w:val="center"/>
          </w:tcPr>
          <w:p w14:paraId="7966FF4C">
            <w:pPr>
              <w:widowControl/>
              <w:ind w:left="-2" w:firstLine="16"/>
              <w:jc w:val="center"/>
              <w:rPr>
                <w:rFonts w:ascii="宋体" w:hAnsi="宋体" w:cs="宋体"/>
                <w:color w:val="auto"/>
                <w:sz w:val="24"/>
              </w:rPr>
            </w:pPr>
            <w:r>
              <w:rPr>
                <w:rFonts w:hint="eastAsia" w:ascii="宋体" w:hAnsi="宋体" w:cs="宋体"/>
                <w:color w:val="auto"/>
                <w:sz w:val="24"/>
              </w:rPr>
              <w:t>4</w:t>
            </w:r>
          </w:p>
        </w:tc>
        <w:tc>
          <w:tcPr>
            <w:tcW w:w="713" w:type="dxa"/>
            <w:shd w:val="clear" w:color="auto" w:fill="auto"/>
            <w:noWrap w:val="0"/>
            <w:vAlign w:val="center"/>
          </w:tcPr>
          <w:p w14:paraId="52BFEDC8">
            <w:pPr>
              <w:widowControl/>
              <w:ind w:left="43" w:hanging="129"/>
              <w:jc w:val="center"/>
              <w:rPr>
                <w:rFonts w:ascii="宋体" w:hAnsi="宋体" w:cs="宋体"/>
                <w:color w:val="auto"/>
                <w:sz w:val="24"/>
              </w:rPr>
            </w:pPr>
            <w:r>
              <w:rPr>
                <w:rFonts w:hint="eastAsia" w:ascii="宋体" w:hAnsi="宋体" w:cs="宋体"/>
                <w:color w:val="auto"/>
                <w:sz w:val="24"/>
              </w:rPr>
              <w:t>个</w:t>
            </w:r>
          </w:p>
        </w:tc>
      </w:tr>
      <w:tr w14:paraId="0092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07" w:type="dxa"/>
            <w:shd w:val="clear" w:color="auto" w:fill="auto"/>
            <w:noWrap w:val="0"/>
            <w:vAlign w:val="center"/>
          </w:tcPr>
          <w:p w14:paraId="7AD57527">
            <w:pPr>
              <w:widowControl/>
              <w:ind w:left="47" w:hanging="141"/>
              <w:jc w:val="center"/>
              <w:rPr>
                <w:rFonts w:ascii="宋体" w:hAnsi="宋体" w:cs="宋体"/>
                <w:color w:val="auto"/>
                <w:sz w:val="24"/>
              </w:rPr>
            </w:pPr>
            <w:r>
              <w:rPr>
                <w:rFonts w:hint="eastAsia" w:ascii="宋体" w:hAnsi="宋体" w:cs="宋体"/>
                <w:color w:val="auto"/>
                <w:sz w:val="24"/>
              </w:rPr>
              <w:t>10</w:t>
            </w:r>
          </w:p>
        </w:tc>
        <w:tc>
          <w:tcPr>
            <w:tcW w:w="1497" w:type="dxa"/>
            <w:shd w:val="clear" w:color="auto" w:fill="auto"/>
            <w:noWrap w:val="0"/>
            <w:vAlign w:val="center"/>
          </w:tcPr>
          <w:p w14:paraId="4DAFF661">
            <w:pPr>
              <w:widowControl/>
              <w:jc w:val="center"/>
              <w:rPr>
                <w:rFonts w:ascii="宋体" w:hAnsi="宋体" w:cs="宋体"/>
                <w:color w:val="auto"/>
                <w:sz w:val="24"/>
              </w:rPr>
            </w:pPr>
            <w:r>
              <w:rPr>
                <w:rFonts w:hint="eastAsia" w:ascii="宋体" w:hAnsi="宋体" w:cs="宋体"/>
                <w:color w:val="auto"/>
                <w:sz w:val="24"/>
              </w:rPr>
              <w:t>恶劣天气多功能警示灯</w:t>
            </w:r>
          </w:p>
        </w:tc>
        <w:tc>
          <w:tcPr>
            <w:tcW w:w="5550" w:type="dxa"/>
            <w:shd w:val="clear" w:color="auto" w:fill="auto"/>
            <w:noWrap w:val="0"/>
            <w:vAlign w:val="center"/>
          </w:tcPr>
          <w:p w14:paraId="21EB32F8">
            <w:pPr>
              <w:rPr>
                <w:rFonts w:ascii="宋体" w:hAnsi="宋体" w:cs="宋体"/>
                <w:color w:val="auto"/>
                <w:sz w:val="24"/>
              </w:rPr>
            </w:pPr>
            <w:r>
              <w:rPr>
                <w:rFonts w:hint="eastAsia" w:ascii="宋体" w:hAnsi="宋体" w:cs="宋体"/>
                <w:color w:val="auto"/>
                <w:sz w:val="24"/>
              </w:rPr>
              <w:t>▲1、警示灯外廓尺寸应不小于：360mm×360mm×120mm(宽×高×厚)。</w:t>
            </w:r>
          </w:p>
          <w:p w14:paraId="68782F33">
            <w:pPr>
              <w:rPr>
                <w:rFonts w:ascii="宋体" w:hAnsi="宋体" w:cs="宋体"/>
                <w:color w:val="auto"/>
                <w:sz w:val="24"/>
              </w:rPr>
            </w:pPr>
            <w:r>
              <w:rPr>
                <w:rFonts w:hint="eastAsia" w:ascii="宋体" w:hAnsi="宋体" w:cs="宋体"/>
                <w:color w:val="auto"/>
                <w:sz w:val="24"/>
              </w:rPr>
              <w:t>2、道路轮廓强化模式：成组的警示灯应能同步常亮标出道路轮廓，并可调整亮度。</w:t>
            </w:r>
          </w:p>
          <w:p w14:paraId="3326A971">
            <w:pPr>
              <w:rPr>
                <w:rFonts w:ascii="宋体" w:hAnsi="宋体" w:cs="宋体"/>
                <w:color w:val="auto"/>
                <w:sz w:val="24"/>
              </w:rPr>
            </w:pPr>
            <w:r>
              <w:rPr>
                <w:rFonts w:hint="eastAsia" w:ascii="宋体" w:hAnsi="宋体" w:cs="宋体"/>
                <w:color w:val="auto"/>
                <w:sz w:val="24"/>
              </w:rPr>
              <w:t>3、行车主动诱导模式：在诱导系统中，警示灯应能按照特定频率同步进行闪烁，并可调整亮度。</w:t>
            </w:r>
          </w:p>
          <w:p w14:paraId="58EAC07B">
            <w:pPr>
              <w:rPr>
                <w:rFonts w:ascii="宋体" w:hAnsi="宋体" w:cs="宋体"/>
                <w:color w:val="auto"/>
                <w:sz w:val="24"/>
              </w:rPr>
            </w:pPr>
            <w:r>
              <w:rPr>
                <w:rFonts w:hint="eastAsia" w:ascii="宋体" w:hAnsi="宋体" w:cs="宋体"/>
                <w:color w:val="auto"/>
                <w:sz w:val="24"/>
              </w:rPr>
              <w:t>4、气象预警模式：成组的警示灯应能根据上位机发送的指令，同步闪烁显示相应气象文字，如</w:t>
            </w:r>
            <w:r>
              <w:rPr>
                <w:rFonts w:hint="eastAsia" w:ascii="宋体" w:hAnsi="宋体" w:cs="宋体"/>
                <w:color w:val="auto"/>
                <w:sz w:val="24"/>
                <w:lang w:eastAsia="zh-CN"/>
              </w:rPr>
              <w:t>：</w:t>
            </w:r>
            <w:r>
              <w:rPr>
                <w:rFonts w:hint="eastAsia" w:ascii="宋体" w:hAnsi="宋体" w:cs="宋体"/>
                <w:color w:val="auto"/>
                <w:sz w:val="24"/>
              </w:rPr>
              <w:t>雨 、雾、 冰、雪，并可调整亮度。</w:t>
            </w:r>
          </w:p>
          <w:p w14:paraId="57697793">
            <w:pPr>
              <w:rPr>
                <w:rFonts w:ascii="宋体" w:hAnsi="宋体" w:cs="宋体"/>
                <w:color w:val="auto"/>
                <w:sz w:val="24"/>
              </w:rPr>
            </w:pPr>
            <w:r>
              <w:rPr>
                <w:rFonts w:hint="eastAsia" w:ascii="宋体" w:hAnsi="宋体" w:cs="宋体"/>
                <w:color w:val="auto"/>
                <w:sz w:val="24"/>
              </w:rPr>
              <w:t>5、危险警示模式：能够根据上位机发送的指令，进行设备组合，发布组合文字闪烁提醒，并可调整亮度及闪烁频率。</w:t>
            </w:r>
          </w:p>
          <w:p w14:paraId="5DC2FD16">
            <w:pPr>
              <w:rPr>
                <w:rFonts w:ascii="宋体" w:hAnsi="宋体" w:cs="宋体"/>
                <w:color w:val="auto"/>
                <w:sz w:val="24"/>
              </w:rPr>
            </w:pPr>
            <w:r>
              <w:rPr>
                <w:rFonts w:hint="eastAsia" w:ascii="宋体" w:hAnsi="宋体" w:cs="宋体"/>
                <w:color w:val="auto"/>
                <w:sz w:val="24"/>
              </w:rPr>
              <w:t>6、交通管控模式：上位机发送指令 ,可发布管控文字组合</w:t>
            </w:r>
            <w:r>
              <w:rPr>
                <w:rFonts w:hint="eastAsia" w:ascii="宋体" w:hAnsi="宋体" w:cs="宋体"/>
                <w:color w:val="auto"/>
                <w:sz w:val="24"/>
                <w:lang w:eastAsia="zh-CN"/>
              </w:rPr>
              <w:t>，</w:t>
            </w:r>
            <w:r>
              <w:rPr>
                <w:rFonts w:hint="eastAsia" w:ascii="宋体" w:hAnsi="宋体" w:cs="宋体"/>
                <w:color w:val="auto"/>
                <w:sz w:val="24"/>
              </w:rPr>
              <w:t>例如：禁止驶入应急车道等，同步触发语音，同步闪烁；并可调整亮度及闪烁频率。</w:t>
            </w:r>
          </w:p>
          <w:p w14:paraId="7952E33E">
            <w:pPr>
              <w:rPr>
                <w:rFonts w:ascii="宋体" w:hAnsi="宋体" w:cs="宋体"/>
                <w:color w:val="auto"/>
                <w:sz w:val="24"/>
              </w:rPr>
            </w:pPr>
            <w:r>
              <w:rPr>
                <w:rFonts w:hint="eastAsia" w:ascii="宋体" w:hAnsi="宋体" w:cs="宋体"/>
                <w:color w:val="auto"/>
                <w:sz w:val="24"/>
              </w:rPr>
              <w:t>7、交通诱导模式：上位机发布指令,可发布诱导文字组合, 例如:前方拥堵减速慢行等，同步触发语音，同步闪烁；并可调整亮度及闪烁频率。</w:t>
            </w:r>
          </w:p>
          <w:p w14:paraId="5017EAAC">
            <w:pPr>
              <w:rPr>
                <w:rFonts w:ascii="宋体" w:hAnsi="宋体" w:cs="宋体"/>
                <w:color w:val="auto"/>
                <w:sz w:val="24"/>
              </w:rPr>
            </w:pPr>
            <w:r>
              <w:rPr>
                <w:rFonts w:hint="eastAsia" w:ascii="宋体" w:hAnsi="宋体" w:cs="宋体"/>
                <w:color w:val="auto"/>
                <w:sz w:val="24"/>
              </w:rPr>
              <w:t>8、跑马灯模式：上位机发送指令，警示灯可实现跑马灯效果。</w:t>
            </w:r>
          </w:p>
          <w:p w14:paraId="2D93E0BE">
            <w:pPr>
              <w:rPr>
                <w:rFonts w:ascii="宋体" w:hAnsi="宋体" w:cs="宋体"/>
                <w:color w:val="auto"/>
                <w:sz w:val="24"/>
              </w:rPr>
            </w:pPr>
            <w:r>
              <w:rPr>
                <w:rFonts w:hint="eastAsia" w:ascii="宋体" w:hAnsi="宋体" w:cs="宋体"/>
                <w:color w:val="auto"/>
                <w:sz w:val="24"/>
              </w:rPr>
              <w:t>9、红蓝警示灯模式：上位机发送指令</w:t>
            </w:r>
            <w:r>
              <w:rPr>
                <w:rFonts w:hint="eastAsia" w:ascii="宋体" w:hAnsi="宋体" w:cs="宋体"/>
                <w:color w:val="auto"/>
                <w:sz w:val="24"/>
                <w:lang w:eastAsia="zh-CN"/>
              </w:rPr>
              <w:t>，</w:t>
            </w:r>
            <w:r>
              <w:rPr>
                <w:rFonts w:hint="eastAsia" w:ascii="宋体" w:hAnsi="宋体" w:cs="宋体"/>
                <w:color w:val="auto"/>
                <w:sz w:val="24"/>
              </w:rPr>
              <w:t>警示灯可实现一屏红蓝两色交替闪烁 。</w:t>
            </w:r>
          </w:p>
          <w:p w14:paraId="092B3B82">
            <w:pPr>
              <w:rPr>
                <w:rFonts w:ascii="宋体" w:hAnsi="宋体" w:cs="宋体"/>
                <w:color w:val="auto"/>
                <w:sz w:val="24"/>
              </w:rPr>
            </w:pPr>
            <w:r>
              <w:rPr>
                <w:rFonts w:hint="eastAsia" w:ascii="宋体" w:hAnsi="宋体" w:cs="宋体"/>
                <w:color w:val="auto"/>
                <w:sz w:val="24"/>
              </w:rPr>
              <w:t>10、应急车道警示模式：禁行时红色</w:t>
            </w:r>
            <w:r>
              <w:rPr>
                <w:rFonts w:hint="eastAsia" w:ascii="宋体" w:hAnsi="宋体" w:cs="宋体"/>
                <w:color w:val="auto"/>
                <w:sz w:val="24"/>
                <w:lang w:eastAsia="zh-CN"/>
              </w:rPr>
              <w:t>，</w:t>
            </w:r>
            <w:r>
              <w:rPr>
                <w:rFonts w:hint="eastAsia" w:ascii="宋体" w:hAnsi="宋体" w:cs="宋体"/>
                <w:color w:val="auto"/>
                <w:sz w:val="24"/>
              </w:rPr>
              <w:t>警示引导时黄色，放行时绿色。</w:t>
            </w:r>
          </w:p>
          <w:p w14:paraId="24D88487">
            <w:pPr>
              <w:rPr>
                <w:rFonts w:ascii="宋体" w:hAnsi="宋体" w:cs="宋体"/>
                <w:color w:val="auto"/>
                <w:sz w:val="24"/>
              </w:rPr>
            </w:pPr>
            <w:r>
              <w:rPr>
                <w:rFonts w:hint="eastAsia" w:ascii="宋体" w:hAnsi="宋体" w:cs="宋体"/>
                <w:color w:val="auto"/>
                <w:sz w:val="24"/>
              </w:rPr>
              <w:t>11、黄色警示灯发光显示组件的闪烁策略分为常亮、30次/min、 60次 /min、120次/min等4种闪烁频率；闪烁时的占空比为 1</w:t>
            </w:r>
            <w:r>
              <w:rPr>
                <w:rFonts w:hint="eastAsia" w:ascii="宋体" w:hAnsi="宋体" w:cs="宋体"/>
                <w:color w:val="auto"/>
                <w:sz w:val="24"/>
                <w:lang w:eastAsia="zh-CN"/>
              </w:rPr>
              <w:t>：</w:t>
            </w:r>
            <w:r>
              <w:rPr>
                <w:rFonts w:hint="eastAsia" w:ascii="宋体" w:hAnsi="宋体" w:cs="宋体"/>
                <w:color w:val="auto"/>
                <w:sz w:val="24"/>
              </w:rPr>
              <w:t>2～1</w:t>
            </w:r>
            <w:r>
              <w:rPr>
                <w:rFonts w:hint="eastAsia" w:ascii="宋体" w:hAnsi="宋体" w:cs="宋体"/>
                <w:color w:val="auto"/>
                <w:sz w:val="24"/>
                <w:lang w:eastAsia="zh-CN"/>
              </w:rPr>
              <w:t>：</w:t>
            </w:r>
            <w:r>
              <w:rPr>
                <w:rFonts w:hint="eastAsia" w:ascii="宋体" w:hAnsi="宋体" w:cs="宋体"/>
                <w:color w:val="auto"/>
                <w:sz w:val="24"/>
              </w:rPr>
              <w:t>4。</w:t>
            </w:r>
          </w:p>
          <w:p w14:paraId="1DAA64DD">
            <w:pPr>
              <w:rPr>
                <w:rFonts w:ascii="宋体" w:hAnsi="宋体" w:cs="宋体"/>
                <w:color w:val="auto"/>
                <w:sz w:val="24"/>
              </w:rPr>
            </w:pPr>
            <w:r>
              <w:rPr>
                <w:rFonts w:hint="eastAsia" w:ascii="宋体" w:hAnsi="宋体" w:cs="宋体"/>
                <w:color w:val="auto"/>
                <w:sz w:val="24"/>
              </w:rPr>
              <w:t>12、黄色警示灯发光显示组件同步闪烁时的时间误差应小于25ms。</w:t>
            </w:r>
          </w:p>
          <w:p w14:paraId="44871584">
            <w:pPr>
              <w:rPr>
                <w:rFonts w:ascii="宋体" w:hAnsi="宋体" w:cs="宋体"/>
                <w:color w:val="auto"/>
                <w:sz w:val="24"/>
              </w:rPr>
            </w:pPr>
            <w:r>
              <w:rPr>
                <w:rFonts w:hint="eastAsia" w:ascii="宋体" w:hAnsi="宋体" w:cs="宋体"/>
                <w:color w:val="auto"/>
                <w:sz w:val="24"/>
              </w:rPr>
              <w:t>13、可人工设定模式状态通过网络发布，发布后立即显示警示信息。</w:t>
            </w:r>
          </w:p>
          <w:p w14:paraId="1330D7C9">
            <w:pPr>
              <w:rPr>
                <w:rFonts w:ascii="宋体" w:hAnsi="宋体" w:cs="宋体"/>
                <w:color w:val="auto"/>
                <w:sz w:val="24"/>
              </w:rPr>
            </w:pPr>
            <w:r>
              <w:rPr>
                <w:rFonts w:hint="eastAsia" w:ascii="宋体" w:hAnsi="宋体" w:cs="宋体"/>
                <w:color w:val="auto"/>
                <w:sz w:val="24"/>
              </w:rPr>
              <w:t>14、可人工选定模式状态定时发布，按时段显示警示信息。</w:t>
            </w:r>
          </w:p>
          <w:p w14:paraId="3C2423FA">
            <w:pPr>
              <w:rPr>
                <w:rFonts w:ascii="宋体" w:hAnsi="宋体" w:cs="宋体"/>
                <w:color w:val="auto"/>
                <w:sz w:val="24"/>
              </w:rPr>
            </w:pPr>
            <w:r>
              <w:rPr>
                <w:rFonts w:hint="eastAsia" w:ascii="宋体" w:hAnsi="宋体" w:cs="宋体"/>
                <w:color w:val="auto"/>
                <w:sz w:val="24"/>
              </w:rPr>
              <w:t>▲15、可以显示红、黄、绿、蓝、橙等不低于 5 种颜色。</w:t>
            </w:r>
          </w:p>
          <w:p w14:paraId="5494ACF2">
            <w:pPr>
              <w:rPr>
                <w:rFonts w:ascii="宋体" w:hAnsi="宋体" w:cs="宋体"/>
                <w:color w:val="auto"/>
                <w:sz w:val="24"/>
              </w:rPr>
            </w:pPr>
            <w:r>
              <w:rPr>
                <w:rFonts w:hint="eastAsia" w:ascii="宋体" w:hAnsi="宋体" w:cs="宋体"/>
                <w:color w:val="auto"/>
                <w:sz w:val="24"/>
              </w:rPr>
              <w:t>▲16、发光显示组件有效面积不小于 0.04平方米。</w:t>
            </w:r>
          </w:p>
          <w:p w14:paraId="5C45EE46">
            <w:pPr>
              <w:rPr>
                <w:rFonts w:ascii="宋体" w:hAnsi="宋体" w:cs="宋体"/>
                <w:color w:val="auto"/>
                <w:sz w:val="24"/>
              </w:rPr>
            </w:pPr>
            <w:r>
              <w:rPr>
                <w:rFonts w:hint="eastAsia" w:ascii="宋体" w:hAnsi="宋体" w:cs="宋体"/>
                <w:color w:val="auto"/>
                <w:sz w:val="24"/>
              </w:rPr>
              <w:t>▲17、支持显示 GB2312.1980指定的全部汉字及简单图形 ,汉字点阵为 16×16。可以显示动态图形。</w:t>
            </w:r>
          </w:p>
          <w:p w14:paraId="7F06C58D">
            <w:pPr>
              <w:rPr>
                <w:rFonts w:ascii="宋体" w:hAnsi="宋体" w:cs="宋体"/>
                <w:color w:val="auto"/>
                <w:sz w:val="24"/>
              </w:rPr>
            </w:pPr>
            <w:r>
              <w:rPr>
                <w:rFonts w:hint="eastAsia" w:ascii="宋体" w:hAnsi="宋体" w:cs="宋体"/>
                <w:color w:val="auto"/>
                <w:sz w:val="24"/>
              </w:rPr>
              <w:t>17、支持无线通信方式 。</w:t>
            </w:r>
          </w:p>
        </w:tc>
        <w:tc>
          <w:tcPr>
            <w:tcW w:w="806" w:type="dxa"/>
            <w:shd w:val="clear" w:color="auto" w:fill="auto"/>
            <w:noWrap w:val="0"/>
            <w:vAlign w:val="center"/>
          </w:tcPr>
          <w:p w14:paraId="57E35045">
            <w:pPr>
              <w:widowControl/>
              <w:ind w:left="-2" w:firstLine="16"/>
              <w:jc w:val="center"/>
              <w:rPr>
                <w:rFonts w:ascii="宋体" w:hAnsi="宋体" w:cs="宋体"/>
                <w:color w:val="auto"/>
                <w:sz w:val="24"/>
              </w:rPr>
            </w:pPr>
            <w:r>
              <w:rPr>
                <w:rFonts w:hint="eastAsia" w:ascii="宋体" w:hAnsi="宋体" w:cs="宋体"/>
                <w:color w:val="auto"/>
                <w:sz w:val="24"/>
              </w:rPr>
              <w:t>160</w:t>
            </w:r>
          </w:p>
        </w:tc>
        <w:tc>
          <w:tcPr>
            <w:tcW w:w="713" w:type="dxa"/>
            <w:shd w:val="clear" w:color="auto" w:fill="auto"/>
            <w:noWrap w:val="0"/>
            <w:vAlign w:val="center"/>
          </w:tcPr>
          <w:p w14:paraId="4D95692B">
            <w:pPr>
              <w:widowControl/>
              <w:ind w:left="43" w:hanging="129"/>
              <w:jc w:val="center"/>
              <w:rPr>
                <w:rFonts w:ascii="宋体" w:hAnsi="宋体" w:cs="宋体"/>
                <w:color w:val="auto"/>
                <w:sz w:val="24"/>
              </w:rPr>
            </w:pPr>
            <w:r>
              <w:rPr>
                <w:rFonts w:hint="eastAsia" w:ascii="宋体" w:hAnsi="宋体" w:cs="宋体"/>
                <w:color w:val="auto"/>
                <w:sz w:val="24"/>
              </w:rPr>
              <w:t>个</w:t>
            </w:r>
          </w:p>
        </w:tc>
      </w:tr>
      <w:tr w14:paraId="3E9D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07" w:type="dxa"/>
            <w:shd w:val="clear" w:color="auto" w:fill="auto"/>
            <w:noWrap w:val="0"/>
            <w:vAlign w:val="center"/>
          </w:tcPr>
          <w:p w14:paraId="0F42D5BF">
            <w:pPr>
              <w:widowControl/>
              <w:ind w:left="47" w:hanging="141"/>
              <w:jc w:val="center"/>
              <w:rPr>
                <w:rFonts w:ascii="宋体" w:hAnsi="宋体" w:cs="宋体"/>
                <w:color w:val="auto"/>
                <w:sz w:val="24"/>
              </w:rPr>
            </w:pPr>
            <w:r>
              <w:rPr>
                <w:rFonts w:hint="eastAsia" w:ascii="宋体" w:hAnsi="宋体" w:cs="宋体"/>
                <w:color w:val="auto"/>
                <w:sz w:val="24"/>
              </w:rPr>
              <w:t>11</w:t>
            </w:r>
          </w:p>
        </w:tc>
        <w:tc>
          <w:tcPr>
            <w:tcW w:w="1497" w:type="dxa"/>
            <w:shd w:val="clear" w:color="auto" w:fill="auto"/>
            <w:noWrap w:val="0"/>
            <w:vAlign w:val="center"/>
          </w:tcPr>
          <w:p w14:paraId="43815364">
            <w:pPr>
              <w:widowControl/>
              <w:jc w:val="center"/>
              <w:rPr>
                <w:rFonts w:ascii="宋体" w:hAnsi="宋体" w:cs="宋体"/>
                <w:color w:val="auto"/>
                <w:sz w:val="24"/>
              </w:rPr>
            </w:pPr>
            <w:r>
              <w:rPr>
                <w:rFonts w:hint="eastAsia" w:ascii="宋体" w:hAnsi="宋体" w:cs="宋体"/>
                <w:color w:val="auto"/>
                <w:sz w:val="24"/>
              </w:rPr>
              <w:t>恶劣天气多功能警示灯结构件</w:t>
            </w:r>
          </w:p>
        </w:tc>
        <w:tc>
          <w:tcPr>
            <w:tcW w:w="5550" w:type="dxa"/>
            <w:shd w:val="clear" w:color="auto" w:fill="auto"/>
            <w:noWrap w:val="0"/>
            <w:vAlign w:val="center"/>
          </w:tcPr>
          <w:p w14:paraId="71B82483">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定制、适配恶劣天气多功能警示灯安装</w:t>
            </w:r>
            <w:r>
              <w:rPr>
                <w:rFonts w:hint="eastAsia" w:ascii="宋体" w:hAnsi="宋体" w:cs="宋体"/>
                <w:color w:val="auto"/>
                <w:sz w:val="24"/>
                <w:lang w:eastAsia="zh-CN"/>
              </w:rPr>
              <w:t>。</w:t>
            </w:r>
          </w:p>
        </w:tc>
        <w:tc>
          <w:tcPr>
            <w:tcW w:w="806" w:type="dxa"/>
            <w:shd w:val="clear" w:color="auto" w:fill="auto"/>
            <w:noWrap w:val="0"/>
            <w:vAlign w:val="center"/>
          </w:tcPr>
          <w:p w14:paraId="28FE2BC5">
            <w:pPr>
              <w:widowControl/>
              <w:ind w:left="-2" w:firstLine="16"/>
              <w:jc w:val="center"/>
              <w:rPr>
                <w:rFonts w:ascii="宋体" w:hAnsi="宋体" w:cs="宋体"/>
                <w:color w:val="auto"/>
                <w:sz w:val="24"/>
              </w:rPr>
            </w:pPr>
            <w:r>
              <w:rPr>
                <w:rFonts w:hint="eastAsia" w:ascii="宋体" w:hAnsi="宋体" w:cs="宋体"/>
                <w:color w:val="auto"/>
                <w:sz w:val="24"/>
              </w:rPr>
              <w:t>160</w:t>
            </w:r>
          </w:p>
        </w:tc>
        <w:tc>
          <w:tcPr>
            <w:tcW w:w="713" w:type="dxa"/>
            <w:shd w:val="clear" w:color="auto" w:fill="auto"/>
            <w:noWrap w:val="0"/>
            <w:vAlign w:val="center"/>
          </w:tcPr>
          <w:p w14:paraId="201F4085">
            <w:pPr>
              <w:widowControl/>
              <w:ind w:left="43" w:hanging="129"/>
              <w:jc w:val="center"/>
              <w:rPr>
                <w:rFonts w:ascii="宋体" w:hAnsi="宋体" w:cs="宋体"/>
                <w:color w:val="auto"/>
                <w:sz w:val="24"/>
              </w:rPr>
            </w:pPr>
            <w:r>
              <w:rPr>
                <w:rFonts w:hint="eastAsia" w:ascii="宋体" w:hAnsi="宋体" w:cs="宋体"/>
                <w:color w:val="auto"/>
                <w:sz w:val="24"/>
              </w:rPr>
              <w:t>个</w:t>
            </w:r>
          </w:p>
        </w:tc>
      </w:tr>
      <w:tr w14:paraId="49BA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07" w:type="dxa"/>
            <w:shd w:val="clear" w:color="auto" w:fill="auto"/>
            <w:noWrap w:val="0"/>
            <w:vAlign w:val="center"/>
          </w:tcPr>
          <w:p w14:paraId="77A61F80">
            <w:pPr>
              <w:widowControl/>
              <w:ind w:left="47" w:hanging="141"/>
              <w:jc w:val="center"/>
              <w:rPr>
                <w:rFonts w:ascii="宋体" w:hAnsi="宋体" w:cs="宋体"/>
                <w:color w:val="auto"/>
                <w:sz w:val="24"/>
              </w:rPr>
            </w:pPr>
            <w:r>
              <w:rPr>
                <w:rFonts w:hint="eastAsia" w:ascii="宋体" w:hAnsi="宋体" w:cs="宋体"/>
                <w:color w:val="auto"/>
                <w:sz w:val="24"/>
              </w:rPr>
              <w:t>12</w:t>
            </w:r>
          </w:p>
        </w:tc>
        <w:tc>
          <w:tcPr>
            <w:tcW w:w="1497" w:type="dxa"/>
            <w:shd w:val="clear" w:color="auto" w:fill="auto"/>
            <w:noWrap w:val="0"/>
            <w:vAlign w:val="center"/>
          </w:tcPr>
          <w:p w14:paraId="60842686">
            <w:pPr>
              <w:widowControl/>
              <w:jc w:val="center"/>
              <w:rPr>
                <w:rFonts w:ascii="宋体" w:hAnsi="宋体" w:cs="宋体"/>
                <w:color w:val="auto"/>
                <w:sz w:val="24"/>
              </w:rPr>
            </w:pPr>
            <w:r>
              <w:rPr>
                <w:rFonts w:hint="eastAsia" w:ascii="宋体" w:hAnsi="宋体" w:cs="宋体"/>
                <w:color w:val="auto"/>
                <w:sz w:val="24"/>
              </w:rPr>
              <w:t>恶劣天气多功能警示灯控制器</w:t>
            </w:r>
          </w:p>
        </w:tc>
        <w:tc>
          <w:tcPr>
            <w:tcW w:w="5550" w:type="dxa"/>
            <w:shd w:val="clear" w:color="auto" w:fill="auto"/>
            <w:noWrap w:val="0"/>
            <w:vAlign w:val="center"/>
          </w:tcPr>
          <w:p w14:paraId="6CDEADEB">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控制警示灯同步、颜色、字符显示等功能</w:t>
            </w:r>
            <w:r>
              <w:rPr>
                <w:rFonts w:hint="eastAsia" w:ascii="宋体" w:hAnsi="宋体" w:cs="宋体"/>
                <w:color w:val="auto"/>
                <w:sz w:val="24"/>
                <w:lang w:eastAsia="zh-CN"/>
              </w:rPr>
              <w:t>。</w:t>
            </w:r>
          </w:p>
          <w:p w14:paraId="6425A84D">
            <w:pPr>
              <w:widowControl/>
              <w:ind w:left="-2" w:firstLine="1"/>
              <w:rPr>
                <w:rFonts w:ascii="宋体" w:hAnsi="宋体" w:cs="宋体"/>
                <w:color w:val="auto"/>
                <w:sz w:val="24"/>
              </w:rPr>
            </w:pPr>
            <w:r>
              <w:rPr>
                <w:rFonts w:hint="eastAsia" w:ascii="宋体" w:hAnsi="宋体" w:cs="宋体"/>
                <w:color w:val="auto"/>
                <w:sz w:val="24"/>
              </w:rPr>
              <w:t xml:space="preserve">每台控制器的有效工作长度为1公里。 </w:t>
            </w:r>
          </w:p>
          <w:p w14:paraId="2A7FD07E">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含控制电路、通讯模块、电源模块，支持自适应网络</w:t>
            </w:r>
            <w:r>
              <w:rPr>
                <w:rFonts w:hint="eastAsia" w:ascii="宋体" w:hAnsi="宋体" w:cs="宋体"/>
                <w:color w:val="auto"/>
                <w:sz w:val="24"/>
                <w:lang w:eastAsia="zh-CN"/>
              </w:rPr>
              <w:t>。</w:t>
            </w:r>
          </w:p>
        </w:tc>
        <w:tc>
          <w:tcPr>
            <w:tcW w:w="806" w:type="dxa"/>
            <w:shd w:val="clear" w:color="auto" w:fill="auto"/>
            <w:noWrap w:val="0"/>
            <w:vAlign w:val="center"/>
          </w:tcPr>
          <w:p w14:paraId="0C408B59">
            <w:pPr>
              <w:widowControl/>
              <w:ind w:left="-2" w:firstLine="16"/>
              <w:jc w:val="center"/>
              <w:rPr>
                <w:rFonts w:ascii="宋体" w:hAnsi="宋体" w:cs="宋体"/>
                <w:color w:val="auto"/>
                <w:sz w:val="24"/>
              </w:rPr>
            </w:pPr>
            <w:r>
              <w:rPr>
                <w:rFonts w:hint="eastAsia" w:ascii="宋体" w:hAnsi="宋体" w:cs="宋体"/>
                <w:color w:val="auto"/>
                <w:sz w:val="24"/>
              </w:rPr>
              <w:t>4</w:t>
            </w:r>
          </w:p>
        </w:tc>
        <w:tc>
          <w:tcPr>
            <w:tcW w:w="713" w:type="dxa"/>
            <w:shd w:val="clear" w:color="auto" w:fill="auto"/>
            <w:noWrap w:val="0"/>
            <w:vAlign w:val="center"/>
          </w:tcPr>
          <w:p w14:paraId="4954770C">
            <w:pPr>
              <w:widowControl/>
              <w:ind w:left="43" w:hanging="129"/>
              <w:jc w:val="center"/>
              <w:rPr>
                <w:rFonts w:ascii="宋体" w:hAnsi="宋体" w:cs="宋体"/>
                <w:color w:val="auto"/>
                <w:sz w:val="24"/>
              </w:rPr>
            </w:pPr>
            <w:r>
              <w:rPr>
                <w:rFonts w:hint="eastAsia" w:ascii="宋体" w:hAnsi="宋体" w:cs="宋体"/>
                <w:color w:val="auto"/>
                <w:sz w:val="24"/>
              </w:rPr>
              <w:t>个</w:t>
            </w:r>
          </w:p>
        </w:tc>
      </w:tr>
      <w:tr w14:paraId="1FC0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7" w:type="dxa"/>
            <w:shd w:val="clear" w:color="auto" w:fill="auto"/>
            <w:noWrap w:val="0"/>
            <w:vAlign w:val="center"/>
          </w:tcPr>
          <w:p w14:paraId="52B8C45C">
            <w:pPr>
              <w:widowControl/>
              <w:ind w:left="47" w:hanging="141"/>
              <w:jc w:val="center"/>
              <w:rPr>
                <w:rFonts w:ascii="宋体" w:hAnsi="宋体" w:cs="宋体"/>
                <w:color w:val="auto"/>
                <w:sz w:val="24"/>
              </w:rPr>
            </w:pPr>
            <w:r>
              <w:rPr>
                <w:rFonts w:hint="eastAsia" w:ascii="宋体" w:hAnsi="宋体" w:cs="宋体"/>
                <w:color w:val="auto"/>
                <w:sz w:val="24"/>
              </w:rPr>
              <w:t>13</w:t>
            </w:r>
          </w:p>
        </w:tc>
        <w:tc>
          <w:tcPr>
            <w:tcW w:w="1497" w:type="dxa"/>
            <w:shd w:val="clear" w:color="auto" w:fill="auto"/>
            <w:noWrap w:val="0"/>
            <w:vAlign w:val="center"/>
          </w:tcPr>
          <w:p w14:paraId="0CDD21DA">
            <w:pPr>
              <w:widowControl/>
              <w:jc w:val="center"/>
              <w:rPr>
                <w:rFonts w:ascii="宋体" w:hAnsi="宋体" w:cs="宋体"/>
                <w:color w:val="auto"/>
                <w:sz w:val="24"/>
              </w:rPr>
            </w:pPr>
            <w:r>
              <w:rPr>
                <w:rFonts w:hint="eastAsia" w:ascii="宋体" w:hAnsi="宋体" w:cs="宋体"/>
                <w:color w:val="auto"/>
                <w:sz w:val="24"/>
              </w:rPr>
              <w:t>运行状态自动监测系统</w:t>
            </w:r>
          </w:p>
        </w:tc>
        <w:tc>
          <w:tcPr>
            <w:tcW w:w="5550" w:type="dxa"/>
            <w:shd w:val="clear" w:color="auto" w:fill="auto"/>
            <w:noWrap w:val="0"/>
            <w:vAlign w:val="center"/>
          </w:tcPr>
          <w:p w14:paraId="7FF5D684">
            <w:pPr>
              <w:widowControl/>
              <w:ind w:left="-2" w:firstLine="1"/>
              <w:rPr>
                <w:rFonts w:ascii="宋体" w:hAnsi="宋体" w:cs="宋体"/>
                <w:color w:val="auto"/>
                <w:sz w:val="24"/>
              </w:rPr>
            </w:pPr>
            <w:r>
              <w:rPr>
                <w:rFonts w:hint="eastAsia" w:ascii="宋体" w:hAnsi="宋体" w:cs="宋体"/>
                <w:color w:val="auto"/>
                <w:sz w:val="24"/>
              </w:rPr>
              <w:t xml:space="preserve">运行状态自动监测，控制区域内其他交通设备，存储、检测、分析、处理、上传交通信息， 包括图片、图像和数据；支持区间测速。 </w:t>
            </w:r>
          </w:p>
          <w:p w14:paraId="543CE93A">
            <w:pPr>
              <w:widowControl/>
              <w:ind w:left="-2" w:firstLine="1"/>
              <w:rPr>
                <w:rFonts w:ascii="宋体" w:hAnsi="宋体" w:cs="宋体"/>
                <w:color w:val="auto"/>
                <w:sz w:val="24"/>
              </w:rPr>
            </w:pPr>
            <w:r>
              <w:rPr>
                <w:rFonts w:hint="eastAsia" w:ascii="宋体" w:hAnsi="宋体" w:cs="宋体"/>
                <w:color w:val="auto"/>
                <w:sz w:val="24"/>
              </w:rPr>
              <w:t>要求：</w:t>
            </w:r>
          </w:p>
          <w:p w14:paraId="25DAAB1C">
            <w:pPr>
              <w:widowControl/>
              <w:ind w:left="-2" w:firstLine="1"/>
              <w:rPr>
                <w:rFonts w:ascii="宋体" w:hAnsi="宋体" w:cs="宋体"/>
                <w:color w:val="auto"/>
                <w:sz w:val="24"/>
              </w:rPr>
            </w:pPr>
            <w:r>
              <w:rPr>
                <w:rFonts w:hint="eastAsia" w:ascii="宋体" w:hAnsi="宋体" w:cs="宋体"/>
                <w:color w:val="auto"/>
                <w:sz w:val="24"/>
              </w:rPr>
              <w:t>1、应符合 GA/T 497 -2016 道路车辆智能监测记录系统通用技术条件道路交通安全违法行为图像取证技术规范的检测判定依据。</w:t>
            </w:r>
          </w:p>
          <w:p w14:paraId="4B8FF830">
            <w:pPr>
              <w:widowControl/>
              <w:ind w:left="-2" w:firstLine="1"/>
              <w:rPr>
                <w:rFonts w:ascii="宋体" w:hAnsi="宋体" w:cs="宋体"/>
                <w:color w:val="auto"/>
                <w:sz w:val="24"/>
              </w:rPr>
            </w:pPr>
            <w:r>
              <w:rPr>
                <w:rFonts w:hint="eastAsia" w:ascii="宋体" w:hAnsi="宋体" w:cs="宋体"/>
                <w:color w:val="auto"/>
                <w:sz w:val="24"/>
              </w:rPr>
              <w:t>2、应符合 GA/T 832 -2014 道路交通安全违法行为图像取证技术规范的检测判定依据。</w:t>
            </w:r>
          </w:p>
          <w:p w14:paraId="12C9FCEE">
            <w:pPr>
              <w:widowControl/>
              <w:ind w:left="-2" w:firstLine="1"/>
              <w:rPr>
                <w:rFonts w:ascii="宋体" w:hAnsi="宋体" w:cs="宋体"/>
                <w:color w:val="auto"/>
                <w:sz w:val="24"/>
              </w:rPr>
            </w:pPr>
            <w:r>
              <w:rPr>
                <w:rFonts w:hint="eastAsia" w:ascii="宋体" w:hAnsi="宋体" w:cs="宋体"/>
                <w:color w:val="auto"/>
                <w:sz w:val="24"/>
              </w:rPr>
              <w:t xml:space="preserve">3、实时获取北斗定位信息与主机配置的定位信息进行对比，定位信息异常则报警并上传。 </w:t>
            </w:r>
          </w:p>
          <w:p w14:paraId="1AFC400A">
            <w:pPr>
              <w:widowControl/>
              <w:ind w:left="-2" w:firstLine="1"/>
              <w:rPr>
                <w:rFonts w:ascii="宋体" w:hAnsi="宋体" w:cs="宋体"/>
                <w:color w:val="auto"/>
                <w:sz w:val="24"/>
              </w:rPr>
            </w:pPr>
            <w:r>
              <w:rPr>
                <w:rFonts w:hint="eastAsia" w:ascii="宋体" w:hAnsi="宋体" w:cs="宋体"/>
                <w:color w:val="auto"/>
                <w:sz w:val="24"/>
              </w:rPr>
              <w:t xml:space="preserve">4、检测到外部振动时 ,可记录异常信息并上传 。 </w:t>
            </w:r>
          </w:p>
          <w:p w14:paraId="12D0C73D">
            <w:pPr>
              <w:widowControl/>
              <w:ind w:left="-2" w:firstLine="1"/>
              <w:rPr>
                <w:rFonts w:ascii="宋体" w:hAnsi="宋体" w:cs="宋体"/>
                <w:color w:val="auto"/>
                <w:sz w:val="24"/>
              </w:rPr>
            </w:pPr>
            <w:r>
              <w:rPr>
                <w:rFonts w:hint="eastAsia" w:ascii="宋体" w:hAnsi="宋体" w:cs="宋体"/>
                <w:color w:val="auto"/>
                <w:sz w:val="24"/>
              </w:rPr>
              <w:t xml:space="preserve">5、定期扫描设备的网络状态，相连的设备等是否在线，异常则会生成记录并上传。 </w:t>
            </w:r>
          </w:p>
          <w:p w14:paraId="5456A21C">
            <w:pPr>
              <w:widowControl/>
              <w:ind w:left="-2" w:firstLine="1"/>
              <w:rPr>
                <w:rFonts w:ascii="宋体" w:hAnsi="宋体" w:cs="宋体"/>
                <w:color w:val="auto"/>
                <w:sz w:val="24"/>
              </w:rPr>
            </w:pPr>
            <w:r>
              <w:rPr>
                <w:rFonts w:hint="eastAsia" w:ascii="宋体" w:hAnsi="宋体" w:cs="宋体"/>
                <w:color w:val="auto"/>
                <w:sz w:val="24"/>
              </w:rPr>
              <w:t xml:space="preserve">6、可自动计算近期图片的平均数据量。 </w:t>
            </w:r>
          </w:p>
          <w:p w14:paraId="196729D4">
            <w:pPr>
              <w:widowControl/>
              <w:ind w:left="-2" w:firstLine="1"/>
              <w:rPr>
                <w:rFonts w:ascii="宋体" w:hAnsi="宋体" w:cs="宋体"/>
                <w:color w:val="auto"/>
                <w:sz w:val="24"/>
              </w:rPr>
            </w:pPr>
            <w:r>
              <w:rPr>
                <w:rFonts w:hint="eastAsia" w:ascii="宋体" w:hAnsi="宋体" w:cs="宋体"/>
                <w:color w:val="auto"/>
                <w:sz w:val="24"/>
              </w:rPr>
              <w:t xml:space="preserve">▲7、产生的数据可通过 FTP协议在30秒内上传到指定的服务器。 </w:t>
            </w:r>
          </w:p>
          <w:p w14:paraId="7E412161">
            <w:pPr>
              <w:widowControl/>
              <w:ind w:left="-2" w:firstLine="1"/>
              <w:rPr>
                <w:rFonts w:ascii="宋体" w:hAnsi="宋体" w:cs="宋体"/>
                <w:color w:val="auto"/>
                <w:sz w:val="24"/>
              </w:rPr>
            </w:pPr>
            <w:r>
              <w:rPr>
                <w:rFonts w:hint="eastAsia" w:ascii="宋体" w:hAnsi="宋体" w:cs="宋体"/>
                <w:color w:val="auto"/>
                <w:sz w:val="24"/>
              </w:rPr>
              <w:t>8、当设备断电或断网重新恢复之后, 之前未上传结束的数据会继续上传。</w:t>
            </w:r>
          </w:p>
          <w:p w14:paraId="2B07A749">
            <w:pPr>
              <w:widowControl/>
              <w:ind w:left="-2" w:firstLine="1"/>
              <w:rPr>
                <w:rFonts w:ascii="宋体" w:hAnsi="宋体" w:cs="宋体"/>
                <w:color w:val="auto"/>
                <w:sz w:val="24"/>
              </w:rPr>
            </w:pPr>
            <w:r>
              <w:rPr>
                <w:rFonts w:hint="eastAsia" w:ascii="宋体" w:hAnsi="宋体" w:cs="宋体"/>
                <w:color w:val="auto"/>
                <w:sz w:val="24"/>
              </w:rPr>
              <w:t>▲9、将多张违法原始图片和违法信息文件 ,合成为一张或两张照片</w:t>
            </w:r>
            <w:r>
              <w:rPr>
                <w:rFonts w:hint="eastAsia" w:ascii="宋体" w:hAnsi="宋体" w:cs="宋体"/>
                <w:color w:val="auto"/>
                <w:sz w:val="24"/>
                <w:lang w:eastAsia="zh-CN"/>
              </w:rPr>
              <w:t>，</w:t>
            </w:r>
            <w:r>
              <w:rPr>
                <w:rFonts w:hint="eastAsia" w:ascii="宋体" w:hAnsi="宋体" w:cs="宋体"/>
                <w:color w:val="auto"/>
                <w:sz w:val="24"/>
              </w:rPr>
              <w:t>支持二合一，四合一，六合一，六合二。</w:t>
            </w:r>
          </w:p>
          <w:p w14:paraId="402875F2">
            <w:pPr>
              <w:widowControl/>
              <w:numPr>
                <w:ilvl w:val="0"/>
                <w:numId w:val="1"/>
              </w:numPr>
              <w:ind w:left="-2" w:firstLine="1"/>
              <w:rPr>
                <w:rFonts w:hint="eastAsia" w:ascii="宋体" w:hAnsi="宋体" w:cs="宋体"/>
                <w:color w:val="auto"/>
                <w:sz w:val="24"/>
              </w:rPr>
            </w:pPr>
            <w:r>
              <w:rPr>
                <w:rFonts w:hint="eastAsia" w:ascii="宋体" w:hAnsi="宋体" w:cs="宋体"/>
                <w:color w:val="auto"/>
                <w:sz w:val="24"/>
              </w:rPr>
              <w:t xml:space="preserve">支持在设备中保存伴随违法录像视频和路口交通状态全景视频。 </w:t>
            </w:r>
          </w:p>
          <w:p w14:paraId="138161D1">
            <w:pPr>
              <w:widowControl/>
              <w:numPr>
                <w:ilvl w:val="0"/>
                <w:numId w:val="0"/>
              </w:numPr>
              <w:rPr>
                <w:rFonts w:ascii="宋体" w:hAnsi="宋体" w:cs="宋体"/>
                <w:color w:val="auto"/>
                <w:sz w:val="24"/>
              </w:rPr>
            </w:pPr>
            <w:r>
              <w:rPr>
                <w:rFonts w:hint="eastAsia" w:ascii="宋体" w:hAnsi="宋体" w:cs="宋体"/>
                <w:color w:val="auto"/>
                <w:sz w:val="24"/>
              </w:rPr>
              <w:t xml:space="preserve">11、通过语音口令唤醒，可以语音播报设备的当前工作状态、历史故障记录，语音控制设备进行重启。 </w:t>
            </w:r>
          </w:p>
        </w:tc>
        <w:tc>
          <w:tcPr>
            <w:tcW w:w="806" w:type="dxa"/>
            <w:shd w:val="clear" w:color="auto" w:fill="auto"/>
            <w:noWrap w:val="0"/>
            <w:vAlign w:val="center"/>
          </w:tcPr>
          <w:p w14:paraId="711745B9">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08359E34">
            <w:pPr>
              <w:widowControl/>
              <w:ind w:left="43" w:hanging="129"/>
              <w:jc w:val="center"/>
              <w:rPr>
                <w:rFonts w:ascii="宋体" w:hAnsi="宋体" w:cs="宋体"/>
                <w:color w:val="auto"/>
                <w:sz w:val="24"/>
              </w:rPr>
            </w:pPr>
            <w:r>
              <w:rPr>
                <w:rFonts w:hint="eastAsia" w:ascii="宋体" w:hAnsi="宋体" w:cs="宋体"/>
                <w:color w:val="auto"/>
                <w:sz w:val="24"/>
              </w:rPr>
              <w:t>套</w:t>
            </w:r>
          </w:p>
        </w:tc>
      </w:tr>
      <w:tr w14:paraId="13EC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07" w:type="dxa"/>
            <w:shd w:val="clear" w:color="auto" w:fill="auto"/>
            <w:noWrap w:val="0"/>
            <w:vAlign w:val="center"/>
          </w:tcPr>
          <w:p w14:paraId="55110661">
            <w:pPr>
              <w:widowControl/>
              <w:ind w:left="47" w:hanging="141"/>
              <w:jc w:val="center"/>
              <w:rPr>
                <w:rFonts w:ascii="宋体" w:hAnsi="宋体" w:cs="宋体"/>
                <w:color w:val="auto"/>
                <w:sz w:val="24"/>
              </w:rPr>
            </w:pPr>
            <w:r>
              <w:rPr>
                <w:rFonts w:hint="eastAsia" w:ascii="宋体" w:hAnsi="宋体" w:cs="宋体"/>
                <w:color w:val="auto"/>
                <w:sz w:val="24"/>
              </w:rPr>
              <w:t>14</w:t>
            </w:r>
          </w:p>
        </w:tc>
        <w:tc>
          <w:tcPr>
            <w:tcW w:w="1497" w:type="dxa"/>
            <w:shd w:val="clear" w:color="auto" w:fill="auto"/>
            <w:noWrap w:val="0"/>
            <w:vAlign w:val="center"/>
          </w:tcPr>
          <w:p w14:paraId="4988C5B9">
            <w:pPr>
              <w:widowControl/>
              <w:jc w:val="center"/>
              <w:rPr>
                <w:rFonts w:ascii="宋体" w:hAnsi="宋体" w:cs="宋体"/>
                <w:color w:val="auto"/>
                <w:sz w:val="24"/>
              </w:rPr>
            </w:pPr>
            <w:r>
              <w:rPr>
                <w:rFonts w:hint="eastAsia" w:ascii="宋体" w:hAnsi="宋体" w:cs="宋体"/>
                <w:color w:val="auto"/>
                <w:sz w:val="24"/>
              </w:rPr>
              <w:t>光纤收发器</w:t>
            </w:r>
          </w:p>
        </w:tc>
        <w:tc>
          <w:tcPr>
            <w:tcW w:w="5550" w:type="dxa"/>
            <w:shd w:val="clear" w:color="auto" w:fill="auto"/>
            <w:noWrap w:val="0"/>
            <w:vAlign w:val="center"/>
          </w:tcPr>
          <w:p w14:paraId="0299BD7C">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前端网络通信</w:t>
            </w:r>
            <w:r>
              <w:rPr>
                <w:rFonts w:hint="eastAsia" w:ascii="宋体" w:hAnsi="宋体" w:cs="宋体"/>
                <w:color w:val="auto"/>
                <w:sz w:val="24"/>
                <w:lang w:eastAsia="zh-CN"/>
              </w:rPr>
              <w:t>。</w:t>
            </w:r>
          </w:p>
          <w:p w14:paraId="38F08466">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单模单纤，独立式</w:t>
            </w:r>
            <w:r>
              <w:rPr>
                <w:rFonts w:hint="eastAsia" w:ascii="宋体" w:hAnsi="宋体" w:cs="宋体"/>
                <w:color w:val="auto"/>
                <w:sz w:val="24"/>
                <w:lang w:eastAsia="zh-CN"/>
              </w:rPr>
              <w:t>。</w:t>
            </w:r>
          </w:p>
          <w:p w14:paraId="7B7B4A99">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100Mbps</w:t>
            </w:r>
            <w:r>
              <w:rPr>
                <w:rFonts w:hint="eastAsia" w:ascii="宋体" w:hAnsi="宋体" w:cs="宋体"/>
                <w:color w:val="auto"/>
                <w:sz w:val="24"/>
                <w:lang w:eastAsia="zh-CN"/>
              </w:rPr>
              <w:t>，</w:t>
            </w:r>
            <w:r>
              <w:rPr>
                <w:rFonts w:hint="eastAsia" w:ascii="宋体" w:hAnsi="宋体" w:cs="宋体"/>
                <w:color w:val="auto"/>
                <w:sz w:val="24"/>
              </w:rPr>
              <w:t>1×RJ45+SC 20km</w:t>
            </w:r>
            <w:r>
              <w:rPr>
                <w:rFonts w:hint="eastAsia" w:ascii="宋体" w:hAnsi="宋体" w:cs="宋体"/>
                <w:color w:val="auto"/>
                <w:sz w:val="24"/>
                <w:lang w:eastAsia="zh-CN"/>
              </w:rPr>
              <w:t>。</w:t>
            </w:r>
          </w:p>
          <w:p w14:paraId="50B6EB13">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标配电源控制器、电源</w:t>
            </w:r>
            <w:r>
              <w:rPr>
                <w:rFonts w:hint="eastAsia" w:ascii="宋体" w:hAnsi="宋体" w:cs="宋体"/>
                <w:color w:val="auto"/>
                <w:sz w:val="24"/>
                <w:lang w:eastAsia="zh-CN"/>
              </w:rPr>
              <w:t>。</w:t>
            </w:r>
          </w:p>
        </w:tc>
        <w:tc>
          <w:tcPr>
            <w:tcW w:w="806" w:type="dxa"/>
            <w:shd w:val="clear" w:color="auto" w:fill="auto"/>
            <w:noWrap w:val="0"/>
            <w:vAlign w:val="center"/>
          </w:tcPr>
          <w:p w14:paraId="15646038">
            <w:pPr>
              <w:widowControl/>
              <w:ind w:left="-2" w:firstLine="16"/>
              <w:jc w:val="center"/>
              <w:rPr>
                <w:rFonts w:ascii="宋体" w:hAnsi="宋体" w:cs="宋体"/>
                <w:color w:val="auto"/>
                <w:sz w:val="24"/>
              </w:rPr>
            </w:pPr>
            <w:r>
              <w:rPr>
                <w:rFonts w:hint="eastAsia" w:ascii="宋体" w:hAnsi="宋体" w:cs="宋体"/>
                <w:color w:val="auto"/>
                <w:sz w:val="24"/>
              </w:rPr>
              <w:t>12</w:t>
            </w:r>
          </w:p>
        </w:tc>
        <w:tc>
          <w:tcPr>
            <w:tcW w:w="713" w:type="dxa"/>
            <w:shd w:val="clear" w:color="auto" w:fill="auto"/>
            <w:noWrap w:val="0"/>
            <w:vAlign w:val="center"/>
          </w:tcPr>
          <w:p w14:paraId="4CDA2FA8">
            <w:pPr>
              <w:widowControl/>
              <w:ind w:left="43" w:hanging="129"/>
              <w:jc w:val="center"/>
              <w:rPr>
                <w:rFonts w:ascii="宋体" w:hAnsi="宋体" w:cs="宋体"/>
                <w:color w:val="auto"/>
                <w:sz w:val="24"/>
              </w:rPr>
            </w:pPr>
            <w:r>
              <w:rPr>
                <w:rFonts w:hint="eastAsia" w:ascii="宋体" w:hAnsi="宋体" w:cs="宋体"/>
                <w:color w:val="auto"/>
                <w:sz w:val="24"/>
              </w:rPr>
              <w:t>对</w:t>
            </w:r>
          </w:p>
        </w:tc>
      </w:tr>
      <w:tr w14:paraId="7913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07" w:type="dxa"/>
            <w:shd w:val="clear" w:color="auto" w:fill="auto"/>
            <w:noWrap w:val="0"/>
            <w:vAlign w:val="center"/>
          </w:tcPr>
          <w:p w14:paraId="70E84FEE">
            <w:pPr>
              <w:widowControl/>
              <w:ind w:left="47" w:hanging="141"/>
              <w:jc w:val="center"/>
              <w:rPr>
                <w:rFonts w:ascii="宋体" w:hAnsi="宋体" w:cs="宋体"/>
                <w:color w:val="auto"/>
                <w:sz w:val="24"/>
              </w:rPr>
            </w:pPr>
            <w:r>
              <w:rPr>
                <w:rFonts w:hint="eastAsia" w:ascii="宋体" w:hAnsi="宋体" w:cs="宋体"/>
                <w:color w:val="auto"/>
                <w:sz w:val="24"/>
              </w:rPr>
              <w:t>15</w:t>
            </w:r>
          </w:p>
        </w:tc>
        <w:tc>
          <w:tcPr>
            <w:tcW w:w="1497" w:type="dxa"/>
            <w:shd w:val="clear" w:color="auto" w:fill="auto"/>
            <w:noWrap w:val="0"/>
            <w:vAlign w:val="center"/>
          </w:tcPr>
          <w:p w14:paraId="58652477">
            <w:pPr>
              <w:widowControl/>
              <w:jc w:val="center"/>
              <w:rPr>
                <w:rFonts w:ascii="宋体" w:hAnsi="宋体" w:cs="宋体"/>
                <w:color w:val="auto"/>
                <w:sz w:val="24"/>
              </w:rPr>
            </w:pPr>
            <w:r>
              <w:rPr>
                <w:rFonts w:hint="eastAsia" w:ascii="宋体" w:hAnsi="宋体" w:cs="宋体"/>
                <w:color w:val="auto"/>
                <w:sz w:val="24"/>
              </w:rPr>
              <w:t>户外机箱</w:t>
            </w:r>
          </w:p>
        </w:tc>
        <w:tc>
          <w:tcPr>
            <w:tcW w:w="5550" w:type="dxa"/>
            <w:shd w:val="clear" w:color="auto" w:fill="auto"/>
            <w:noWrap w:val="0"/>
            <w:vAlign w:val="center"/>
          </w:tcPr>
          <w:p w14:paraId="3623EB82">
            <w:pPr>
              <w:ind w:left="-2" w:firstLine="1"/>
              <w:rPr>
                <w:rFonts w:hint="eastAsia" w:ascii="宋体" w:hAnsi="宋体" w:eastAsia="宋体" w:cs="宋体"/>
                <w:color w:val="auto"/>
                <w:sz w:val="24"/>
                <w:lang w:eastAsia="zh-CN"/>
              </w:rPr>
            </w:pPr>
            <w:r>
              <w:rPr>
                <w:rFonts w:hint="eastAsia" w:ascii="宋体" w:hAnsi="宋体" w:cs="宋体"/>
                <w:color w:val="auto"/>
                <w:sz w:val="24"/>
              </w:rPr>
              <w:t>放置前端设备</w:t>
            </w:r>
            <w:r>
              <w:rPr>
                <w:rFonts w:hint="eastAsia" w:ascii="宋体" w:hAnsi="宋体" w:cs="宋体"/>
                <w:color w:val="auto"/>
                <w:sz w:val="24"/>
                <w:lang w:eastAsia="zh-CN"/>
              </w:rPr>
              <w:t>：</w:t>
            </w:r>
          </w:p>
          <w:p w14:paraId="6FAB2703">
            <w:pPr>
              <w:ind w:left="-2" w:firstLine="1"/>
              <w:rPr>
                <w:rFonts w:hint="eastAsia" w:ascii="宋体" w:hAnsi="宋体" w:eastAsia="宋体" w:cs="宋体"/>
                <w:color w:val="auto"/>
                <w:sz w:val="24"/>
                <w:lang w:eastAsia="zh-CN"/>
              </w:rPr>
            </w:pPr>
            <w:r>
              <w:rPr>
                <w:rFonts w:hint="eastAsia" w:ascii="宋体" w:hAnsi="宋体" w:cs="宋体"/>
                <w:color w:val="auto"/>
                <w:sz w:val="24"/>
              </w:rPr>
              <w:t>1、尺寸：不小于450</w:t>
            </w:r>
            <w:r>
              <w:rPr>
                <w:rFonts w:hint="eastAsia" w:ascii="宋体" w:hAnsi="宋体" w:cs="宋体"/>
                <w:color w:val="auto"/>
                <w:sz w:val="24"/>
                <w:lang w:val="en-US" w:eastAsia="zh-CN"/>
              </w:rPr>
              <w:t>mm</w:t>
            </w:r>
            <w:r>
              <w:rPr>
                <w:rFonts w:hint="eastAsia" w:ascii="宋体" w:hAnsi="宋体" w:cs="宋体"/>
                <w:color w:val="auto"/>
                <w:sz w:val="24"/>
              </w:rPr>
              <w:t>*600</w:t>
            </w:r>
            <w:r>
              <w:rPr>
                <w:rFonts w:hint="eastAsia" w:ascii="宋体" w:hAnsi="宋体" w:cs="宋体"/>
                <w:color w:val="auto"/>
                <w:sz w:val="24"/>
                <w:lang w:val="en-US" w:eastAsia="zh-CN"/>
              </w:rPr>
              <w:t>mm</w:t>
            </w:r>
            <w:r>
              <w:rPr>
                <w:rFonts w:hint="eastAsia" w:ascii="宋体" w:hAnsi="宋体" w:cs="宋体"/>
                <w:color w:val="auto"/>
                <w:sz w:val="24"/>
              </w:rPr>
              <w:t>*330mm</w:t>
            </w:r>
            <w:r>
              <w:rPr>
                <w:rFonts w:hint="eastAsia" w:ascii="宋体" w:hAnsi="宋体" w:cs="宋体"/>
                <w:color w:val="auto"/>
                <w:sz w:val="24"/>
                <w:lang w:eastAsia="zh-CN"/>
              </w:rPr>
              <w:t>。</w:t>
            </w:r>
          </w:p>
          <w:p w14:paraId="6633B7FD">
            <w:pPr>
              <w:ind w:left="-2" w:firstLine="1"/>
              <w:rPr>
                <w:rFonts w:hint="eastAsia" w:ascii="宋体" w:hAnsi="宋体" w:eastAsia="宋体" w:cs="宋体"/>
                <w:color w:val="auto"/>
                <w:sz w:val="24"/>
                <w:lang w:eastAsia="zh-CN"/>
              </w:rPr>
            </w:pPr>
            <w:r>
              <w:rPr>
                <w:rFonts w:hint="eastAsia" w:ascii="宋体" w:hAnsi="宋体" w:cs="宋体"/>
                <w:color w:val="auto"/>
                <w:sz w:val="24"/>
              </w:rPr>
              <w:t>2、IP65，含防雷等配电</w:t>
            </w:r>
            <w:r>
              <w:rPr>
                <w:rFonts w:hint="eastAsia" w:ascii="宋体" w:hAnsi="宋体" w:cs="宋体"/>
                <w:color w:val="auto"/>
                <w:sz w:val="24"/>
                <w:lang w:eastAsia="zh-CN"/>
              </w:rPr>
              <w:t>。</w:t>
            </w:r>
          </w:p>
          <w:p w14:paraId="625409A3">
            <w:pPr>
              <w:ind w:left="-2" w:firstLine="1"/>
              <w:rPr>
                <w:rFonts w:hint="eastAsia" w:ascii="宋体" w:hAnsi="宋体" w:eastAsia="宋体" w:cs="宋体"/>
                <w:color w:val="auto"/>
                <w:sz w:val="24"/>
                <w:lang w:eastAsia="zh-CN"/>
              </w:rPr>
            </w:pPr>
            <w:r>
              <w:rPr>
                <w:rFonts w:hint="eastAsia" w:ascii="宋体" w:hAnsi="宋体" w:cs="宋体"/>
                <w:color w:val="auto"/>
                <w:sz w:val="24"/>
              </w:rPr>
              <w:t>3、接地铜排、五眼插座4个、铜排及端子排各1套、16A2匹空开1套</w:t>
            </w:r>
            <w:r>
              <w:rPr>
                <w:rFonts w:hint="eastAsia" w:ascii="宋体" w:hAnsi="宋体" w:cs="宋体"/>
                <w:color w:val="auto"/>
                <w:sz w:val="24"/>
                <w:lang w:eastAsia="zh-CN"/>
              </w:rPr>
              <w:t>。</w:t>
            </w:r>
          </w:p>
        </w:tc>
        <w:tc>
          <w:tcPr>
            <w:tcW w:w="806" w:type="dxa"/>
            <w:shd w:val="clear" w:color="auto" w:fill="auto"/>
            <w:noWrap w:val="0"/>
            <w:vAlign w:val="center"/>
          </w:tcPr>
          <w:p w14:paraId="5A777D0E">
            <w:pPr>
              <w:widowControl/>
              <w:ind w:left="-2" w:firstLine="16"/>
              <w:jc w:val="center"/>
              <w:rPr>
                <w:rFonts w:ascii="宋体" w:hAnsi="宋体" w:cs="宋体"/>
                <w:color w:val="auto"/>
                <w:sz w:val="24"/>
              </w:rPr>
            </w:pPr>
            <w:r>
              <w:rPr>
                <w:rFonts w:hint="eastAsia" w:ascii="宋体" w:hAnsi="宋体" w:cs="宋体"/>
                <w:color w:val="auto"/>
                <w:sz w:val="24"/>
              </w:rPr>
              <w:t>4</w:t>
            </w:r>
          </w:p>
        </w:tc>
        <w:tc>
          <w:tcPr>
            <w:tcW w:w="713" w:type="dxa"/>
            <w:shd w:val="clear" w:color="auto" w:fill="auto"/>
            <w:noWrap w:val="0"/>
            <w:vAlign w:val="center"/>
          </w:tcPr>
          <w:p w14:paraId="3784E494">
            <w:pPr>
              <w:widowControl/>
              <w:ind w:left="43" w:hanging="129"/>
              <w:jc w:val="center"/>
              <w:rPr>
                <w:rFonts w:ascii="宋体" w:hAnsi="宋体" w:cs="宋体"/>
                <w:color w:val="auto"/>
                <w:sz w:val="24"/>
              </w:rPr>
            </w:pPr>
            <w:r>
              <w:rPr>
                <w:rFonts w:hint="eastAsia" w:ascii="宋体" w:hAnsi="宋体" w:cs="宋体"/>
                <w:color w:val="auto"/>
                <w:sz w:val="24"/>
              </w:rPr>
              <w:t>个</w:t>
            </w:r>
          </w:p>
        </w:tc>
      </w:tr>
      <w:tr w14:paraId="0C3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07" w:type="dxa"/>
            <w:shd w:val="clear" w:color="auto" w:fill="auto"/>
            <w:noWrap w:val="0"/>
            <w:vAlign w:val="center"/>
          </w:tcPr>
          <w:p w14:paraId="0063C3E2">
            <w:pPr>
              <w:widowControl/>
              <w:ind w:left="47" w:hanging="141"/>
              <w:jc w:val="center"/>
              <w:rPr>
                <w:rFonts w:ascii="宋体" w:hAnsi="宋体" w:cs="宋体"/>
                <w:color w:val="auto"/>
                <w:sz w:val="24"/>
              </w:rPr>
            </w:pPr>
            <w:r>
              <w:rPr>
                <w:rFonts w:hint="eastAsia" w:ascii="宋体" w:hAnsi="宋体" w:cs="宋体"/>
                <w:color w:val="auto"/>
                <w:sz w:val="24"/>
              </w:rPr>
              <w:t>16</w:t>
            </w:r>
          </w:p>
        </w:tc>
        <w:tc>
          <w:tcPr>
            <w:tcW w:w="1497" w:type="dxa"/>
            <w:shd w:val="clear" w:color="auto" w:fill="auto"/>
            <w:noWrap w:val="0"/>
            <w:vAlign w:val="center"/>
          </w:tcPr>
          <w:p w14:paraId="4FC3B0F1">
            <w:pPr>
              <w:widowControl/>
              <w:jc w:val="center"/>
              <w:rPr>
                <w:rFonts w:ascii="宋体" w:hAnsi="宋体" w:cs="宋体"/>
                <w:color w:val="auto"/>
                <w:sz w:val="24"/>
              </w:rPr>
            </w:pPr>
            <w:r>
              <w:rPr>
                <w:rFonts w:hint="eastAsia" w:ascii="宋体" w:hAnsi="宋体" w:cs="宋体"/>
                <w:color w:val="auto"/>
                <w:sz w:val="24"/>
              </w:rPr>
              <w:t>户外电源箱</w:t>
            </w:r>
          </w:p>
        </w:tc>
        <w:tc>
          <w:tcPr>
            <w:tcW w:w="5550" w:type="dxa"/>
            <w:shd w:val="clear" w:color="auto" w:fill="auto"/>
            <w:noWrap w:val="0"/>
            <w:vAlign w:val="center"/>
          </w:tcPr>
          <w:p w14:paraId="109470BB">
            <w:pPr>
              <w:widowControl/>
              <w:ind w:left="-2" w:firstLine="1"/>
              <w:rPr>
                <w:rFonts w:hint="eastAsia" w:ascii="宋体" w:hAnsi="宋体" w:cs="宋体"/>
                <w:color w:val="auto"/>
                <w:sz w:val="24"/>
              </w:rPr>
            </w:pPr>
            <w:r>
              <w:rPr>
                <w:rFonts w:hint="eastAsia" w:ascii="宋体" w:hAnsi="宋体" w:cs="宋体"/>
                <w:color w:val="auto"/>
                <w:sz w:val="24"/>
              </w:rPr>
              <w:t>不锈钢电源箱（尺寸：400</w:t>
            </w:r>
            <w:r>
              <w:rPr>
                <w:rFonts w:hint="eastAsia" w:ascii="宋体" w:hAnsi="宋体" w:cs="宋体"/>
                <w:color w:val="auto"/>
                <w:sz w:val="24"/>
                <w:lang w:val="en-US" w:eastAsia="zh-CN"/>
              </w:rPr>
              <w:t>mm</w:t>
            </w:r>
            <w:r>
              <w:rPr>
                <w:rFonts w:hint="eastAsia" w:ascii="宋体" w:hAnsi="宋体" w:cs="宋体"/>
                <w:color w:val="auto"/>
                <w:sz w:val="24"/>
              </w:rPr>
              <w:t>×300</w:t>
            </w:r>
            <w:r>
              <w:rPr>
                <w:rFonts w:hint="eastAsia" w:ascii="宋体" w:hAnsi="宋体" w:cs="宋体"/>
                <w:color w:val="auto"/>
                <w:sz w:val="24"/>
                <w:lang w:val="en-US" w:eastAsia="zh-CN"/>
              </w:rPr>
              <w:t>mm</w:t>
            </w:r>
            <w:r>
              <w:rPr>
                <w:rFonts w:hint="eastAsia" w:ascii="宋体" w:hAnsi="宋体" w:cs="宋体"/>
                <w:color w:val="auto"/>
                <w:sz w:val="24"/>
              </w:rPr>
              <w:t>×180mm），含箱体、配电装置：空开×1，电源防雷×1，五孔插座×3。</w:t>
            </w:r>
          </w:p>
          <w:p w14:paraId="71E2BB99">
            <w:pPr>
              <w:widowControl/>
              <w:ind w:left="-2" w:firstLine="1"/>
              <w:rPr>
                <w:rFonts w:ascii="宋体" w:hAnsi="宋体" w:cs="宋体"/>
                <w:color w:val="auto"/>
                <w:sz w:val="24"/>
              </w:rPr>
            </w:pPr>
            <w:r>
              <w:rPr>
                <w:rFonts w:hint="eastAsia" w:ascii="宋体" w:hAnsi="宋体" w:cs="宋体"/>
                <w:color w:val="auto"/>
                <w:sz w:val="24"/>
              </w:rPr>
              <w:t>警示灯开关电源×2（220V转36V警示灯电源）等。</w:t>
            </w:r>
          </w:p>
        </w:tc>
        <w:tc>
          <w:tcPr>
            <w:tcW w:w="806" w:type="dxa"/>
            <w:shd w:val="clear" w:color="auto" w:fill="auto"/>
            <w:noWrap w:val="0"/>
            <w:vAlign w:val="center"/>
          </w:tcPr>
          <w:p w14:paraId="2A537922">
            <w:pPr>
              <w:widowControl/>
              <w:ind w:left="-2" w:firstLine="16"/>
              <w:jc w:val="center"/>
              <w:rPr>
                <w:rFonts w:ascii="宋体" w:hAnsi="宋体" w:cs="宋体"/>
                <w:color w:val="auto"/>
                <w:sz w:val="24"/>
              </w:rPr>
            </w:pPr>
            <w:r>
              <w:rPr>
                <w:rFonts w:hint="eastAsia" w:ascii="宋体" w:hAnsi="宋体" w:cs="宋体"/>
                <w:color w:val="auto"/>
                <w:sz w:val="24"/>
              </w:rPr>
              <w:t>8</w:t>
            </w:r>
          </w:p>
        </w:tc>
        <w:tc>
          <w:tcPr>
            <w:tcW w:w="713" w:type="dxa"/>
            <w:shd w:val="clear" w:color="auto" w:fill="auto"/>
            <w:noWrap w:val="0"/>
            <w:vAlign w:val="center"/>
          </w:tcPr>
          <w:p w14:paraId="037DA86E">
            <w:pPr>
              <w:widowControl/>
              <w:ind w:left="43" w:hanging="129"/>
              <w:jc w:val="center"/>
              <w:rPr>
                <w:rFonts w:ascii="宋体" w:hAnsi="宋体" w:cs="宋体"/>
                <w:color w:val="auto"/>
                <w:sz w:val="24"/>
              </w:rPr>
            </w:pPr>
            <w:r>
              <w:rPr>
                <w:rFonts w:hint="eastAsia" w:ascii="宋体" w:hAnsi="宋体" w:cs="宋体"/>
                <w:color w:val="auto"/>
                <w:sz w:val="24"/>
              </w:rPr>
              <w:t>个</w:t>
            </w:r>
          </w:p>
        </w:tc>
      </w:tr>
      <w:tr w14:paraId="26FC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07" w:type="dxa"/>
            <w:shd w:val="clear" w:color="auto" w:fill="auto"/>
            <w:noWrap w:val="0"/>
            <w:vAlign w:val="center"/>
          </w:tcPr>
          <w:p w14:paraId="20C2D1E8">
            <w:pPr>
              <w:widowControl/>
              <w:ind w:left="47" w:hanging="141"/>
              <w:jc w:val="center"/>
              <w:rPr>
                <w:rFonts w:ascii="宋体" w:hAnsi="宋体" w:cs="宋体"/>
                <w:color w:val="auto"/>
                <w:sz w:val="24"/>
              </w:rPr>
            </w:pPr>
            <w:r>
              <w:rPr>
                <w:rFonts w:hint="eastAsia" w:ascii="宋体" w:hAnsi="宋体" w:cs="宋体"/>
                <w:color w:val="auto"/>
                <w:sz w:val="24"/>
              </w:rPr>
              <w:t>17</w:t>
            </w:r>
          </w:p>
        </w:tc>
        <w:tc>
          <w:tcPr>
            <w:tcW w:w="1497" w:type="dxa"/>
            <w:shd w:val="clear" w:color="auto" w:fill="auto"/>
            <w:noWrap w:val="0"/>
            <w:vAlign w:val="center"/>
          </w:tcPr>
          <w:p w14:paraId="4FAD1611">
            <w:pPr>
              <w:widowControl/>
              <w:jc w:val="center"/>
              <w:rPr>
                <w:rFonts w:ascii="宋体" w:hAnsi="宋体" w:cs="宋体"/>
                <w:color w:val="auto"/>
                <w:sz w:val="24"/>
              </w:rPr>
            </w:pPr>
            <w:r>
              <w:rPr>
                <w:rFonts w:hint="eastAsia" w:ascii="宋体" w:hAnsi="宋体" w:cs="宋体"/>
                <w:color w:val="auto"/>
                <w:sz w:val="24"/>
              </w:rPr>
              <w:t>管控区域及管控等级提示牌</w:t>
            </w:r>
          </w:p>
        </w:tc>
        <w:tc>
          <w:tcPr>
            <w:tcW w:w="5550" w:type="dxa"/>
            <w:shd w:val="clear" w:color="auto" w:fill="auto"/>
            <w:noWrap w:val="0"/>
            <w:vAlign w:val="center"/>
          </w:tcPr>
          <w:p w14:paraId="26100101">
            <w:pPr>
              <w:widowControl/>
              <w:ind w:left="-2" w:firstLine="1"/>
              <w:rPr>
                <w:rFonts w:ascii="宋体" w:hAnsi="宋体" w:cs="宋体"/>
                <w:color w:val="auto"/>
                <w:sz w:val="24"/>
              </w:rPr>
            </w:pPr>
            <w:r>
              <w:rPr>
                <w:rFonts w:hint="eastAsia" w:ascii="宋体" w:hAnsi="宋体" w:cs="宋体"/>
                <w:color w:val="auto"/>
                <w:sz w:val="24"/>
              </w:rPr>
              <w:t>附着于管控区域提示牌上，可变显示当前管控等级、当前气象状态。</w:t>
            </w:r>
          </w:p>
          <w:p w14:paraId="3CA68AFF">
            <w:pPr>
              <w:widowControl/>
              <w:ind w:left="-2" w:firstLine="1"/>
              <w:rPr>
                <w:rFonts w:ascii="宋体" w:hAnsi="宋体" w:cs="宋体"/>
                <w:color w:val="auto"/>
                <w:sz w:val="24"/>
              </w:rPr>
            </w:pPr>
            <w:r>
              <w:rPr>
                <w:rFonts w:hint="eastAsia" w:ascii="宋体" w:hAnsi="宋体" w:cs="宋体"/>
                <w:color w:val="auto"/>
                <w:sz w:val="24"/>
              </w:rPr>
              <w:t>字符样式及大小满足《道路交通标志和标线》GB5768标准。其中，字样应有：“您已进入恶劣气象管控路段，管控等级×级，天气情况××”，其中的“×”为可变显示内容。</w:t>
            </w:r>
          </w:p>
          <w:p w14:paraId="4F781597">
            <w:pPr>
              <w:widowControl/>
              <w:ind w:left="-2" w:firstLine="1"/>
              <w:rPr>
                <w:rFonts w:ascii="宋体" w:hAnsi="宋体" w:cs="宋体"/>
                <w:color w:val="auto"/>
                <w:sz w:val="24"/>
              </w:rPr>
            </w:pPr>
            <w:r>
              <w:rPr>
                <w:rFonts w:hint="eastAsia" w:ascii="宋体" w:hAnsi="宋体" w:cs="宋体"/>
                <w:color w:val="auto"/>
                <w:sz w:val="24"/>
                <w:lang w:val="en-US" w:eastAsia="zh-CN"/>
              </w:rPr>
              <w:t>技术</w:t>
            </w:r>
            <w:r>
              <w:rPr>
                <w:rFonts w:hint="eastAsia" w:ascii="宋体" w:hAnsi="宋体" w:cs="宋体"/>
                <w:color w:val="auto"/>
                <w:sz w:val="24"/>
              </w:rPr>
              <w:t>参数</w:t>
            </w:r>
            <w:r>
              <w:rPr>
                <w:rFonts w:hint="eastAsia" w:ascii="宋体" w:hAnsi="宋体" w:cs="宋体"/>
                <w:color w:val="auto"/>
                <w:sz w:val="24"/>
                <w:lang w:val="en-US" w:eastAsia="zh-CN"/>
              </w:rPr>
              <w:t>要求</w:t>
            </w:r>
            <w:r>
              <w:rPr>
                <w:rFonts w:hint="eastAsia" w:ascii="宋体" w:hAnsi="宋体" w:cs="宋体"/>
                <w:color w:val="auto"/>
                <w:sz w:val="24"/>
              </w:rPr>
              <w:t>：</w:t>
            </w:r>
          </w:p>
          <w:p w14:paraId="3B3530A5">
            <w:pPr>
              <w:widowControl/>
              <w:ind w:left="-2" w:firstLine="1"/>
              <w:rPr>
                <w:rFonts w:ascii="宋体" w:hAnsi="宋体" w:cs="宋体"/>
                <w:color w:val="auto"/>
                <w:sz w:val="24"/>
              </w:rPr>
            </w:pPr>
            <w:r>
              <w:rPr>
                <w:rFonts w:hint="eastAsia" w:ascii="宋体" w:hAnsi="宋体" w:cs="宋体"/>
                <w:color w:val="auto"/>
                <w:sz w:val="24"/>
              </w:rPr>
              <w:t>1、管控区域提示牌尺寸≥3700mm×2000mm（反光标志板：AL5052  3mm，超强级反光膜 4000）,LED屏2块，尺寸</w:t>
            </w:r>
            <w:r>
              <w:rPr>
                <w:rFonts w:hint="eastAsia" w:ascii="宋体" w:hAnsi="宋体" w:cs="宋体"/>
                <w:color w:val="auto"/>
                <w:sz w:val="24"/>
                <w:lang w:eastAsia="zh-CN"/>
              </w:rPr>
              <w:t>：</w:t>
            </w:r>
            <w:r>
              <w:rPr>
                <w:rFonts w:hint="eastAsia" w:ascii="宋体" w:hAnsi="宋体" w:cs="宋体"/>
                <w:color w:val="auto"/>
                <w:sz w:val="24"/>
              </w:rPr>
              <w:t>≥0.48m（高度）*0.96m（宽度）；双基色户外LED专业交通诱导屏；像素点间距(mm)20；</w:t>
            </w:r>
          </w:p>
          <w:p w14:paraId="72F03585">
            <w:pPr>
              <w:widowControl/>
              <w:ind w:left="-2" w:firstLine="1"/>
              <w:rPr>
                <w:rFonts w:ascii="宋体" w:hAnsi="宋体" w:cs="宋体"/>
                <w:color w:val="auto"/>
                <w:sz w:val="24"/>
              </w:rPr>
            </w:pPr>
            <w:r>
              <w:rPr>
                <w:rFonts w:hint="eastAsia" w:ascii="宋体" w:hAnsi="宋体" w:cs="宋体"/>
                <w:color w:val="auto"/>
                <w:sz w:val="24"/>
              </w:rPr>
              <w:t>2、字体</w:t>
            </w:r>
            <w:r>
              <w:rPr>
                <w:rFonts w:hint="eastAsia" w:ascii="宋体" w:hAnsi="宋体" w:cs="宋体"/>
                <w:color w:val="auto"/>
                <w:sz w:val="24"/>
                <w:lang w:eastAsia="zh-CN"/>
              </w:rPr>
              <w:t>：</w:t>
            </w:r>
            <w:r>
              <w:rPr>
                <w:rFonts w:hint="eastAsia" w:ascii="宋体" w:hAnsi="宋体" w:cs="宋体"/>
                <w:color w:val="auto"/>
                <w:sz w:val="24"/>
              </w:rPr>
              <w:t>36×36cm</w:t>
            </w:r>
          </w:p>
          <w:p w14:paraId="798A2DC8">
            <w:pPr>
              <w:widowControl/>
              <w:ind w:left="-2" w:firstLine="1"/>
              <w:rPr>
                <w:rFonts w:ascii="宋体" w:hAnsi="宋体" w:cs="宋体"/>
                <w:color w:val="auto"/>
                <w:sz w:val="24"/>
              </w:rPr>
            </w:pPr>
            <w:r>
              <w:rPr>
                <w:rFonts w:hint="eastAsia" w:ascii="宋体" w:hAnsi="宋体" w:cs="宋体"/>
                <w:color w:val="auto"/>
                <w:sz w:val="24"/>
              </w:rPr>
              <w:t>3、字间隔</w:t>
            </w:r>
            <w:r>
              <w:rPr>
                <w:rFonts w:hint="eastAsia" w:ascii="宋体" w:hAnsi="宋体" w:cs="宋体"/>
                <w:color w:val="auto"/>
                <w:sz w:val="24"/>
                <w:lang w:eastAsia="zh-CN"/>
              </w:rPr>
              <w:t>：</w:t>
            </w:r>
            <w:r>
              <w:rPr>
                <w:rFonts w:hint="eastAsia" w:ascii="宋体" w:hAnsi="宋体" w:cs="宋体"/>
                <w:color w:val="auto"/>
                <w:sz w:val="24"/>
              </w:rPr>
              <w:t>6cm</w:t>
            </w:r>
          </w:p>
          <w:p w14:paraId="19323647">
            <w:pPr>
              <w:widowControl/>
              <w:ind w:left="-2" w:firstLine="1"/>
              <w:rPr>
                <w:rFonts w:ascii="宋体" w:hAnsi="宋体" w:cs="宋体"/>
                <w:color w:val="auto"/>
                <w:sz w:val="24"/>
              </w:rPr>
            </w:pPr>
            <w:r>
              <w:rPr>
                <w:rFonts w:hint="eastAsia" w:ascii="宋体" w:hAnsi="宋体" w:cs="宋体"/>
                <w:color w:val="auto"/>
                <w:sz w:val="24"/>
              </w:rPr>
              <w:t>4、字行距</w:t>
            </w:r>
            <w:r>
              <w:rPr>
                <w:rFonts w:hint="eastAsia" w:ascii="宋体" w:hAnsi="宋体" w:cs="宋体"/>
                <w:color w:val="auto"/>
                <w:sz w:val="24"/>
                <w:lang w:eastAsia="zh-CN"/>
              </w:rPr>
              <w:t>：</w:t>
            </w:r>
            <w:r>
              <w:rPr>
                <w:rFonts w:hint="eastAsia" w:ascii="宋体" w:hAnsi="宋体" w:cs="宋体"/>
                <w:color w:val="auto"/>
                <w:sz w:val="24"/>
              </w:rPr>
              <w:t>12cm</w:t>
            </w:r>
          </w:p>
          <w:p w14:paraId="2343BB64">
            <w:pPr>
              <w:widowControl/>
              <w:ind w:left="-2" w:firstLine="1"/>
              <w:rPr>
                <w:rFonts w:ascii="宋体" w:hAnsi="宋体" w:cs="宋体"/>
                <w:color w:val="auto"/>
                <w:sz w:val="24"/>
              </w:rPr>
            </w:pPr>
            <w:r>
              <w:rPr>
                <w:rFonts w:hint="eastAsia" w:ascii="宋体" w:hAnsi="宋体" w:cs="宋体"/>
                <w:color w:val="auto"/>
                <w:sz w:val="24"/>
              </w:rPr>
              <w:t>5、边缘</w:t>
            </w:r>
            <w:r>
              <w:rPr>
                <w:rFonts w:hint="eastAsia" w:ascii="宋体" w:hAnsi="宋体" w:cs="宋体"/>
                <w:color w:val="auto"/>
                <w:sz w:val="24"/>
                <w:lang w:eastAsia="zh-CN"/>
              </w:rPr>
              <w:t>：</w:t>
            </w:r>
            <w:r>
              <w:rPr>
                <w:rFonts w:hint="eastAsia" w:ascii="宋体" w:hAnsi="宋体" w:cs="宋体"/>
                <w:color w:val="auto"/>
                <w:sz w:val="24"/>
              </w:rPr>
              <w:t>24cm</w:t>
            </w:r>
          </w:p>
          <w:p w14:paraId="0E75125D">
            <w:pPr>
              <w:widowControl/>
              <w:ind w:left="-2" w:firstLine="1"/>
              <w:rPr>
                <w:rFonts w:ascii="宋体" w:hAnsi="宋体" w:cs="宋体"/>
                <w:color w:val="auto"/>
                <w:sz w:val="24"/>
              </w:rPr>
            </w:pPr>
            <w:r>
              <w:rPr>
                <w:rFonts w:hint="eastAsia" w:ascii="宋体" w:hAnsi="宋体" w:cs="宋体"/>
                <w:color w:val="auto"/>
                <w:sz w:val="24"/>
              </w:rPr>
              <w:t>6、字粗</w:t>
            </w:r>
            <w:r>
              <w:rPr>
                <w:rFonts w:hint="eastAsia" w:ascii="宋体" w:hAnsi="宋体" w:cs="宋体"/>
                <w:color w:val="auto"/>
                <w:sz w:val="24"/>
                <w:lang w:eastAsia="zh-CN"/>
              </w:rPr>
              <w:t>：</w:t>
            </w:r>
            <w:r>
              <w:rPr>
                <w:rFonts w:hint="eastAsia" w:ascii="宋体" w:hAnsi="宋体" w:cs="宋体"/>
                <w:color w:val="auto"/>
                <w:sz w:val="24"/>
              </w:rPr>
              <w:t>4.28</w:t>
            </w:r>
          </w:p>
          <w:p w14:paraId="5C3A9ACB">
            <w:pPr>
              <w:ind w:left="-2" w:firstLine="1"/>
              <w:rPr>
                <w:rFonts w:hint="eastAsia" w:ascii="宋体" w:hAnsi="宋体" w:eastAsia="宋体" w:cs="宋体"/>
                <w:color w:val="auto"/>
                <w:sz w:val="24"/>
                <w:lang w:eastAsia="zh-CN"/>
              </w:rPr>
            </w:pPr>
            <w:r>
              <w:rPr>
                <w:rFonts w:hint="eastAsia" w:ascii="宋体" w:hAnsi="宋体" w:cs="宋体"/>
                <w:color w:val="auto"/>
                <w:sz w:val="24"/>
              </w:rPr>
              <w:t>7、双立柱结构，含预埋件（双立柱圆管，立柱规格直径219*4mm，杆件高度5500mm，法兰规格600×600×16mm，加安装件，Q235A 表面热镀锌后喷塑）</w:t>
            </w:r>
            <w:r>
              <w:rPr>
                <w:rFonts w:hint="eastAsia" w:ascii="宋体" w:hAnsi="宋体" w:cs="宋体"/>
                <w:color w:val="auto"/>
                <w:sz w:val="24"/>
                <w:lang w:eastAsia="zh-CN"/>
              </w:rPr>
              <w:t>。</w:t>
            </w:r>
          </w:p>
        </w:tc>
        <w:tc>
          <w:tcPr>
            <w:tcW w:w="806" w:type="dxa"/>
            <w:shd w:val="clear" w:color="auto" w:fill="auto"/>
            <w:noWrap w:val="0"/>
            <w:vAlign w:val="center"/>
          </w:tcPr>
          <w:p w14:paraId="1A19FF10">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51AB5919">
            <w:pPr>
              <w:widowControl/>
              <w:ind w:left="43" w:hanging="129"/>
              <w:jc w:val="center"/>
              <w:rPr>
                <w:rFonts w:ascii="宋体" w:hAnsi="宋体" w:cs="宋体"/>
                <w:color w:val="auto"/>
                <w:sz w:val="24"/>
              </w:rPr>
            </w:pPr>
            <w:r>
              <w:rPr>
                <w:rFonts w:hint="eastAsia" w:ascii="宋体" w:hAnsi="宋体" w:cs="宋体"/>
                <w:color w:val="auto"/>
                <w:sz w:val="24"/>
              </w:rPr>
              <w:t>套</w:t>
            </w:r>
          </w:p>
        </w:tc>
      </w:tr>
      <w:tr w14:paraId="0BD4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7" w:type="dxa"/>
            <w:shd w:val="clear" w:color="auto" w:fill="auto"/>
            <w:noWrap w:val="0"/>
            <w:vAlign w:val="center"/>
          </w:tcPr>
          <w:p w14:paraId="6BDA001C">
            <w:pPr>
              <w:widowControl/>
              <w:ind w:left="47" w:hanging="141"/>
              <w:jc w:val="center"/>
              <w:rPr>
                <w:rFonts w:ascii="宋体" w:hAnsi="宋体" w:cs="宋体"/>
                <w:color w:val="auto"/>
                <w:sz w:val="24"/>
              </w:rPr>
            </w:pPr>
            <w:r>
              <w:rPr>
                <w:rFonts w:hint="eastAsia" w:ascii="宋体" w:hAnsi="宋体" w:cs="宋体"/>
                <w:color w:val="auto"/>
                <w:sz w:val="24"/>
              </w:rPr>
              <w:t>20</w:t>
            </w:r>
          </w:p>
        </w:tc>
        <w:tc>
          <w:tcPr>
            <w:tcW w:w="1497" w:type="dxa"/>
            <w:shd w:val="clear" w:color="auto" w:fill="auto"/>
            <w:noWrap w:val="0"/>
            <w:vAlign w:val="center"/>
          </w:tcPr>
          <w:p w14:paraId="73ED86D2">
            <w:pPr>
              <w:widowControl/>
              <w:jc w:val="center"/>
              <w:rPr>
                <w:rFonts w:ascii="宋体" w:hAnsi="宋体" w:cs="宋体"/>
                <w:color w:val="auto"/>
                <w:sz w:val="24"/>
              </w:rPr>
            </w:pPr>
            <w:r>
              <w:rPr>
                <w:rFonts w:hint="eastAsia" w:ascii="宋体" w:hAnsi="宋体" w:cs="宋体"/>
                <w:color w:val="auto"/>
                <w:sz w:val="24"/>
              </w:rPr>
              <w:t>电缆敷设</w:t>
            </w:r>
          </w:p>
        </w:tc>
        <w:tc>
          <w:tcPr>
            <w:tcW w:w="5550" w:type="dxa"/>
            <w:shd w:val="clear" w:color="auto" w:fill="auto"/>
            <w:noWrap w:val="0"/>
            <w:vAlign w:val="center"/>
          </w:tcPr>
          <w:p w14:paraId="2ACE14B9">
            <w:pPr>
              <w:widowControl/>
              <w:ind w:left="-2" w:firstLine="1"/>
              <w:rPr>
                <w:rFonts w:ascii="宋体" w:hAnsi="宋体" w:cs="宋体"/>
                <w:color w:val="auto"/>
                <w:sz w:val="24"/>
              </w:rPr>
            </w:pPr>
            <w:r>
              <w:rPr>
                <w:rFonts w:hint="eastAsia" w:ascii="宋体" w:hAnsi="宋体" w:cs="宋体"/>
                <w:color w:val="auto"/>
                <w:sz w:val="24"/>
              </w:rPr>
              <w:t>电源线RVV2*6 包含材料、线缆穿管敷设及两头接驳。</w:t>
            </w:r>
          </w:p>
        </w:tc>
        <w:tc>
          <w:tcPr>
            <w:tcW w:w="806" w:type="dxa"/>
            <w:shd w:val="clear" w:color="auto" w:fill="auto"/>
            <w:noWrap w:val="0"/>
            <w:vAlign w:val="center"/>
          </w:tcPr>
          <w:p w14:paraId="4DC67654">
            <w:pPr>
              <w:widowControl/>
              <w:ind w:left="-2" w:firstLine="16"/>
              <w:jc w:val="center"/>
              <w:rPr>
                <w:rFonts w:ascii="宋体" w:hAnsi="宋体" w:cs="宋体"/>
                <w:color w:val="auto"/>
                <w:sz w:val="24"/>
              </w:rPr>
            </w:pPr>
            <w:r>
              <w:rPr>
                <w:rFonts w:hint="eastAsia" w:ascii="宋体" w:hAnsi="宋体" w:cs="宋体"/>
                <w:color w:val="auto"/>
                <w:sz w:val="24"/>
              </w:rPr>
              <w:t>800</w:t>
            </w:r>
          </w:p>
        </w:tc>
        <w:tc>
          <w:tcPr>
            <w:tcW w:w="713" w:type="dxa"/>
            <w:shd w:val="clear" w:color="auto" w:fill="auto"/>
            <w:noWrap w:val="0"/>
            <w:vAlign w:val="center"/>
          </w:tcPr>
          <w:p w14:paraId="39A20921">
            <w:pPr>
              <w:widowControl/>
              <w:ind w:left="43" w:hanging="129"/>
              <w:jc w:val="center"/>
              <w:rPr>
                <w:rFonts w:ascii="宋体" w:hAnsi="宋体" w:cs="宋体"/>
                <w:color w:val="auto"/>
                <w:sz w:val="24"/>
              </w:rPr>
            </w:pPr>
            <w:r>
              <w:rPr>
                <w:rFonts w:hint="eastAsia" w:ascii="宋体" w:hAnsi="宋体" w:cs="宋体"/>
                <w:color w:val="auto"/>
                <w:sz w:val="24"/>
              </w:rPr>
              <w:t>米</w:t>
            </w:r>
          </w:p>
        </w:tc>
      </w:tr>
      <w:tr w14:paraId="6528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7" w:type="dxa"/>
            <w:shd w:val="clear" w:color="auto" w:fill="auto"/>
            <w:noWrap w:val="0"/>
            <w:vAlign w:val="center"/>
          </w:tcPr>
          <w:p w14:paraId="10896EA4">
            <w:pPr>
              <w:widowControl/>
              <w:ind w:left="47" w:hanging="141"/>
              <w:jc w:val="center"/>
              <w:rPr>
                <w:rFonts w:ascii="宋体" w:hAnsi="宋体" w:cs="宋体"/>
                <w:color w:val="auto"/>
                <w:sz w:val="24"/>
              </w:rPr>
            </w:pPr>
            <w:r>
              <w:rPr>
                <w:rFonts w:hint="eastAsia" w:ascii="宋体" w:hAnsi="宋体" w:cs="宋体"/>
                <w:color w:val="auto"/>
                <w:sz w:val="24"/>
              </w:rPr>
              <w:t>21</w:t>
            </w:r>
          </w:p>
        </w:tc>
        <w:tc>
          <w:tcPr>
            <w:tcW w:w="1497" w:type="dxa"/>
            <w:shd w:val="clear" w:color="auto" w:fill="auto"/>
            <w:noWrap w:val="0"/>
            <w:vAlign w:val="center"/>
          </w:tcPr>
          <w:p w14:paraId="0D5FD5CE">
            <w:pPr>
              <w:widowControl/>
              <w:jc w:val="center"/>
              <w:rPr>
                <w:rFonts w:ascii="宋体" w:hAnsi="宋体" w:cs="宋体"/>
                <w:color w:val="auto"/>
                <w:sz w:val="24"/>
              </w:rPr>
            </w:pPr>
            <w:r>
              <w:rPr>
                <w:rFonts w:hint="eastAsia" w:ascii="宋体" w:hAnsi="宋体" w:cs="宋体"/>
                <w:color w:val="auto"/>
                <w:sz w:val="24"/>
              </w:rPr>
              <w:t>电缆敷设</w:t>
            </w:r>
          </w:p>
        </w:tc>
        <w:tc>
          <w:tcPr>
            <w:tcW w:w="5550" w:type="dxa"/>
            <w:shd w:val="clear" w:color="auto" w:fill="auto"/>
            <w:noWrap w:val="0"/>
            <w:vAlign w:val="center"/>
          </w:tcPr>
          <w:p w14:paraId="1AAE3F75">
            <w:pPr>
              <w:widowControl/>
              <w:ind w:left="-2" w:firstLine="1"/>
              <w:rPr>
                <w:rFonts w:ascii="宋体" w:hAnsi="宋体" w:cs="宋体"/>
                <w:color w:val="auto"/>
                <w:sz w:val="24"/>
              </w:rPr>
            </w:pPr>
            <w:r>
              <w:rPr>
                <w:rFonts w:hint="eastAsia" w:ascii="宋体" w:hAnsi="宋体" w:cs="宋体"/>
                <w:color w:val="auto"/>
                <w:sz w:val="24"/>
              </w:rPr>
              <w:t>电源线RVV2*4 包含材料、线缆穿管敷设及两头接驳。</w:t>
            </w:r>
          </w:p>
        </w:tc>
        <w:tc>
          <w:tcPr>
            <w:tcW w:w="806" w:type="dxa"/>
            <w:shd w:val="clear" w:color="auto" w:fill="auto"/>
            <w:noWrap w:val="0"/>
            <w:vAlign w:val="center"/>
          </w:tcPr>
          <w:p w14:paraId="0D01C550">
            <w:pPr>
              <w:widowControl/>
              <w:ind w:left="-2" w:firstLine="16"/>
              <w:jc w:val="center"/>
              <w:rPr>
                <w:rFonts w:ascii="宋体" w:hAnsi="宋体" w:cs="宋体"/>
                <w:color w:val="auto"/>
                <w:sz w:val="24"/>
              </w:rPr>
            </w:pPr>
            <w:r>
              <w:rPr>
                <w:rFonts w:hint="eastAsia" w:ascii="宋体" w:hAnsi="宋体" w:cs="宋体"/>
                <w:color w:val="auto"/>
                <w:sz w:val="24"/>
              </w:rPr>
              <w:t>1400</w:t>
            </w:r>
          </w:p>
        </w:tc>
        <w:tc>
          <w:tcPr>
            <w:tcW w:w="713" w:type="dxa"/>
            <w:shd w:val="clear" w:color="auto" w:fill="auto"/>
            <w:noWrap w:val="0"/>
            <w:vAlign w:val="center"/>
          </w:tcPr>
          <w:p w14:paraId="6E84520C">
            <w:pPr>
              <w:widowControl/>
              <w:ind w:left="43" w:hanging="129"/>
              <w:jc w:val="center"/>
              <w:rPr>
                <w:rFonts w:ascii="宋体" w:hAnsi="宋体" w:cs="宋体"/>
                <w:color w:val="auto"/>
                <w:sz w:val="24"/>
              </w:rPr>
            </w:pPr>
            <w:r>
              <w:rPr>
                <w:rFonts w:hint="eastAsia" w:ascii="宋体" w:hAnsi="宋体" w:cs="宋体"/>
                <w:color w:val="auto"/>
                <w:sz w:val="24"/>
              </w:rPr>
              <w:t>米</w:t>
            </w:r>
          </w:p>
        </w:tc>
      </w:tr>
      <w:tr w14:paraId="075B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7" w:type="dxa"/>
            <w:shd w:val="clear" w:color="auto" w:fill="auto"/>
            <w:noWrap w:val="0"/>
            <w:vAlign w:val="center"/>
          </w:tcPr>
          <w:p w14:paraId="5D6ED421">
            <w:pPr>
              <w:widowControl/>
              <w:ind w:left="47" w:hanging="141"/>
              <w:jc w:val="center"/>
              <w:rPr>
                <w:rFonts w:ascii="宋体" w:hAnsi="宋体" w:cs="宋体"/>
                <w:color w:val="auto"/>
                <w:sz w:val="24"/>
              </w:rPr>
            </w:pPr>
            <w:r>
              <w:rPr>
                <w:rFonts w:hint="eastAsia" w:ascii="宋体" w:hAnsi="宋体" w:cs="宋体"/>
                <w:color w:val="auto"/>
                <w:sz w:val="24"/>
              </w:rPr>
              <w:t>22</w:t>
            </w:r>
          </w:p>
        </w:tc>
        <w:tc>
          <w:tcPr>
            <w:tcW w:w="1497" w:type="dxa"/>
            <w:shd w:val="clear" w:color="auto" w:fill="auto"/>
            <w:noWrap w:val="0"/>
            <w:vAlign w:val="center"/>
          </w:tcPr>
          <w:p w14:paraId="1512B908">
            <w:pPr>
              <w:widowControl/>
              <w:jc w:val="center"/>
              <w:rPr>
                <w:rFonts w:ascii="宋体" w:hAnsi="宋体" w:cs="宋体"/>
                <w:color w:val="auto"/>
                <w:sz w:val="24"/>
              </w:rPr>
            </w:pPr>
            <w:r>
              <w:rPr>
                <w:rFonts w:hint="eastAsia" w:ascii="宋体" w:hAnsi="宋体" w:cs="宋体"/>
                <w:color w:val="auto"/>
                <w:sz w:val="24"/>
              </w:rPr>
              <w:t>电缆敷设</w:t>
            </w:r>
          </w:p>
        </w:tc>
        <w:tc>
          <w:tcPr>
            <w:tcW w:w="5550" w:type="dxa"/>
            <w:shd w:val="clear" w:color="auto" w:fill="auto"/>
            <w:noWrap w:val="0"/>
            <w:vAlign w:val="center"/>
          </w:tcPr>
          <w:p w14:paraId="69E4F8E2">
            <w:pPr>
              <w:widowControl/>
              <w:ind w:left="-2" w:firstLine="1"/>
              <w:rPr>
                <w:rFonts w:ascii="宋体" w:hAnsi="宋体" w:cs="宋体"/>
                <w:color w:val="auto"/>
                <w:sz w:val="24"/>
              </w:rPr>
            </w:pPr>
            <w:r>
              <w:rPr>
                <w:rFonts w:hint="eastAsia" w:ascii="宋体" w:hAnsi="宋体" w:cs="宋体"/>
                <w:color w:val="auto"/>
                <w:sz w:val="24"/>
              </w:rPr>
              <w:t>电源线RVV2*2.5 包含材料、线缆穿管敷设及两头接驳。</w:t>
            </w:r>
          </w:p>
        </w:tc>
        <w:tc>
          <w:tcPr>
            <w:tcW w:w="806" w:type="dxa"/>
            <w:shd w:val="clear" w:color="auto" w:fill="auto"/>
            <w:noWrap w:val="0"/>
            <w:vAlign w:val="center"/>
          </w:tcPr>
          <w:p w14:paraId="004912A6">
            <w:pPr>
              <w:widowControl/>
              <w:ind w:left="-2" w:firstLine="16"/>
              <w:jc w:val="center"/>
              <w:rPr>
                <w:rFonts w:ascii="宋体" w:hAnsi="宋体" w:cs="宋体"/>
                <w:color w:val="auto"/>
                <w:sz w:val="24"/>
              </w:rPr>
            </w:pPr>
            <w:r>
              <w:rPr>
                <w:rFonts w:hint="eastAsia" w:ascii="宋体" w:hAnsi="宋体" w:cs="宋体"/>
                <w:color w:val="auto"/>
                <w:sz w:val="24"/>
              </w:rPr>
              <w:t>5600</w:t>
            </w:r>
          </w:p>
        </w:tc>
        <w:tc>
          <w:tcPr>
            <w:tcW w:w="713" w:type="dxa"/>
            <w:shd w:val="clear" w:color="auto" w:fill="auto"/>
            <w:noWrap w:val="0"/>
            <w:vAlign w:val="center"/>
          </w:tcPr>
          <w:p w14:paraId="221150FA">
            <w:pPr>
              <w:widowControl/>
              <w:ind w:left="43" w:hanging="129"/>
              <w:jc w:val="center"/>
              <w:rPr>
                <w:rFonts w:ascii="宋体" w:hAnsi="宋体" w:cs="宋体"/>
                <w:color w:val="auto"/>
                <w:sz w:val="24"/>
              </w:rPr>
            </w:pPr>
            <w:r>
              <w:rPr>
                <w:rFonts w:hint="eastAsia" w:ascii="宋体" w:hAnsi="宋体" w:cs="宋体"/>
                <w:color w:val="auto"/>
                <w:sz w:val="24"/>
              </w:rPr>
              <w:t>米</w:t>
            </w:r>
          </w:p>
        </w:tc>
      </w:tr>
      <w:tr w14:paraId="14F7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7" w:type="dxa"/>
            <w:shd w:val="clear" w:color="auto" w:fill="auto"/>
            <w:noWrap w:val="0"/>
            <w:vAlign w:val="center"/>
          </w:tcPr>
          <w:p w14:paraId="24BFE62E">
            <w:pPr>
              <w:widowControl/>
              <w:ind w:left="47" w:hanging="141"/>
              <w:jc w:val="center"/>
              <w:rPr>
                <w:rFonts w:ascii="宋体" w:hAnsi="宋体" w:cs="宋体"/>
                <w:color w:val="auto"/>
                <w:sz w:val="24"/>
              </w:rPr>
            </w:pPr>
            <w:r>
              <w:rPr>
                <w:rFonts w:hint="eastAsia" w:ascii="宋体" w:hAnsi="宋体" w:cs="宋体"/>
                <w:color w:val="auto"/>
                <w:sz w:val="24"/>
              </w:rPr>
              <w:t>23</w:t>
            </w:r>
          </w:p>
        </w:tc>
        <w:tc>
          <w:tcPr>
            <w:tcW w:w="1497" w:type="dxa"/>
            <w:shd w:val="clear" w:color="auto" w:fill="auto"/>
            <w:noWrap w:val="0"/>
            <w:vAlign w:val="center"/>
          </w:tcPr>
          <w:p w14:paraId="34EE17C0">
            <w:pPr>
              <w:widowControl/>
              <w:jc w:val="center"/>
              <w:rPr>
                <w:rFonts w:ascii="宋体" w:hAnsi="宋体" w:cs="宋体"/>
                <w:color w:val="auto"/>
                <w:sz w:val="24"/>
              </w:rPr>
            </w:pPr>
            <w:r>
              <w:rPr>
                <w:rFonts w:hint="eastAsia" w:ascii="宋体" w:hAnsi="宋体" w:cs="宋体"/>
                <w:color w:val="auto"/>
                <w:sz w:val="24"/>
              </w:rPr>
              <w:t>光缆敷设</w:t>
            </w:r>
          </w:p>
        </w:tc>
        <w:tc>
          <w:tcPr>
            <w:tcW w:w="5550" w:type="dxa"/>
            <w:shd w:val="clear" w:color="auto" w:fill="auto"/>
            <w:noWrap w:val="0"/>
            <w:vAlign w:val="center"/>
          </w:tcPr>
          <w:p w14:paraId="4DDB4EB3">
            <w:pPr>
              <w:widowControl/>
              <w:ind w:left="-2" w:firstLine="1"/>
              <w:rPr>
                <w:rFonts w:ascii="宋体" w:hAnsi="宋体" w:cs="宋体"/>
                <w:color w:val="auto"/>
                <w:sz w:val="24"/>
              </w:rPr>
            </w:pPr>
            <w:r>
              <w:rPr>
                <w:rFonts w:hint="eastAsia" w:ascii="宋体" w:hAnsi="宋体" w:cs="宋体"/>
                <w:color w:val="auto"/>
                <w:sz w:val="24"/>
              </w:rPr>
              <w:t>四芯单模光缆包含材料、敷设及熔接。</w:t>
            </w:r>
          </w:p>
        </w:tc>
        <w:tc>
          <w:tcPr>
            <w:tcW w:w="806" w:type="dxa"/>
            <w:shd w:val="clear" w:color="auto" w:fill="auto"/>
            <w:noWrap w:val="0"/>
            <w:vAlign w:val="center"/>
          </w:tcPr>
          <w:p w14:paraId="296945F3">
            <w:pPr>
              <w:widowControl/>
              <w:ind w:left="-2" w:firstLine="16"/>
              <w:jc w:val="center"/>
              <w:rPr>
                <w:rFonts w:ascii="宋体" w:hAnsi="宋体" w:cs="宋体"/>
                <w:color w:val="auto"/>
                <w:sz w:val="24"/>
              </w:rPr>
            </w:pPr>
            <w:r>
              <w:rPr>
                <w:rFonts w:hint="eastAsia" w:ascii="宋体" w:hAnsi="宋体" w:cs="宋体"/>
                <w:color w:val="auto"/>
                <w:sz w:val="24"/>
              </w:rPr>
              <w:t>4500</w:t>
            </w:r>
          </w:p>
        </w:tc>
        <w:tc>
          <w:tcPr>
            <w:tcW w:w="713" w:type="dxa"/>
            <w:shd w:val="clear" w:color="auto" w:fill="auto"/>
            <w:noWrap w:val="0"/>
            <w:vAlign w:val="center"/>
          </w:tcPr>
          <w:p w14:paraId="2C09A3F7">
            <w:pPr>
              <w:widowControl/>
              <w:ind w:left="43" w:hanging="129"/>
              <w:jc w:val="center"/>
              <w:rPr>
                <w:rFonts w:ascii="宋体" w:hAnsi="宋体" w:cs="宋体"/>
                <w:color w:val="auto"/>
                <w:sz w:val="24"/>
              </w:rPr>
            </w:pPr>
            <w:r>
              <w:rPr>
                <w:rFonts w:hint="eastAsia" w:ascii="宋体" w:hAnsi="宋体" w:cs="宋体"/>
                <w:color w:val="auto"/>
                <w:sz w:val="24"/>
              </w:rPr>
              <w:t>米</w:t>
            </w:r>
          </w:p>
        </w:tc>
      </w:tr>
      <w:tr w14:paraId="0DF5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7" w:type="dxa"/>
            <w:shd w:val="clear" w:color="auto" w:fill="auto"/>
            <w:noWrap w:val="0"/>
            <w:vAlign w:val="center"/>
          </w:tcPr>
          <w:p w14:paraId="5068FFD3">
            <w:pPr>
              <w:widowControl/>
              <w:ind w:left="47" w:hanging="141"/>
              <w:jc w:val="center"/>
              <w:rPr>
                <w:rFonts w:ascii="宋体" w:hAnsi="宋体" w:cs="宋体"/>
                <w:color w:val="auto"/>
                <w:sz w:val="24"/>
              </w:rPr>
            </w:pPr>
            <w:r>
              <w:rPr>
                <w:rFonts w:hint="eastAsia" w:ascii="宋体" w:hAnsi="宋体" w:cs="宋体"/>
                <w:color w:val="auto"/>
                <w:sz w:val="24"/>
              </w:rPr>
              <w:t>24</w:t>
            </w:r>
          </w:p>
        </w:tc>
        <w:tc>
          <w:tcPr>
            <w:tcW w:w="1497" w:type="dxa"/>
            <w:shd w:val="clear" w:color="auto" w:fill="auto"/>
            <w:noWrap w:val="0"/>
            <w:vAlign w:val="center"/>
          </w:tcPr>
          <w:p w14:paraId="3681C8CB">
            <w:pPr>
              <w:widowControl/>
              <w:jc w:val="center"/>
              <w:rPr>
                <w:rFonts w:ascii="宋体" w:hAnsi="宋体" w:cs="宋体"/>
                <w:color w:val="auto"/>
                <w:sz w:val="24"/>
              </w:rPr>
            </w:pPr>
            <w:r>
              <w:rPr>
                <w:rFonts w:hint="eastAsia" w:ascii="宋体" w:hAnsi="宋体" w:cs="宋体"/>
                <w:color w:val="auto"/>
                <w:sz w:val="24"/>
              </w:rPr>
              <w:t>多功能警示灯管道敷设</w:t>
            </w:r>
          </w:p>
        </w:tc>
        <w:tc>
          <w:tcPr>
            <w:tcW w:w="5550" w:type="dxa"/>
            <w:shd w:val="clear" w:color="auto" w:fill="auto"/>
            <w:noWrap w:val="0"/>
            <w:vAlign w:val="center"/>
          </w:tcPr>
          <w:p w14:paraId="7514EE58">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Φ25KBG管道敷设（含金属软管、燕尾丝、骑马卡等安装辅材）</w:t>
            </w:r>
            <w:r>
              <w:rPr>
                <w:rFonts w:hint="eastAsia" w:ascii="宋体" w:hAnsi="宋体" w:cs="宋体"/>
                <w:color w:val="auto"/>
                <w:sz w:val="24"/>
                <w:lang w:eastAsia="zh-CN"/>
              </w:rPr>
              <w:t>。</w:t>
            </w:r>
          </w:p>
        </w:tc>
        <w:tc>
          <w:tcPr>
            <w:tcW w:w="806" w:type="dxa"/>
            <w:shd w:val="clear" w:color="auto" w:fill="auto"/>
            <w:noWrap w:val="0"/>
            <w:vAlign w:val="center"/>
          </w:tcPr>
          <w:p w14:paraId="784F0163">
            <w:pPr>
              <w:widowControl/>
              <w:ind w:left="-2" w:firstLine="16"/>
              <w:jc w:val="center"/>
              <w:rPr>
                <w:rFonts w:ascii="宋体" w:hAnsi="宋体" w:cs="宋体"/>
                <w:color w:val="auto"/>
                <w:sz w:val="24"/>
              </w:rPr>
            </w:pPr>
            <w:r>
              <w:rPr>
                <w:rFonts w:hint="eastAsia" w:ascii="宋体" w:hAnsi="宋体" w:cs="宋体"/>
                <w:color w:val="auto"/>
                <w:sz w:val="24"/>
              </w:rPr>
              <w:t>3800</w:t>
            </w:r>
          </w:p>
        </w:tc>
        <w:tc>
          <w:tcPr>
            <w:tcW w:w="713" w:type="dxa"/>
            <w:shd w:val="clear" w:color="auto" w:fill="auto"/>
            <w:noWrap w:val="0"/>
            <w:vAlign w:val="center"/>
          </w:tcPr>
          <w:p w14:paraId="756F91A0">
            <w:pPr>
              <w:widowControl/>
              <w:ind w:left="43" w:hanging="129"/>
              <w:jc w:val="center"/>
              <w:rPr>
                <w:rFonts w:ascii="宋体" w:hAnsi="宋体" w:cs="宋体"/>
                <w:color w:val="auto"/>
                <w:sz w:val="24"/>
              </w:rPr>
            </w:pPr>
            <w:r>
              <w:rPr>
                <w:rFonts w:hint="eastAsia" w:ascii="宋体" w:hAnsi="宋体" w:cs="宋体"/>
                <w:color w:val="auto"/>
                <w:sz w:val="24"/>
              </w:rPr>
              <w:t>米</w:t>
            </w:r>
          </w:p>
        </w:tc>
      </w:tr>
      <w:tr w14:paraId="3744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07" w:type="dxa"/>
            <w:shd w:val="clear" w:color="auto" w:fill="auto"/>
            <w:noWrap w:val="0"/>
            <w:vAlign w:val="center"/>
          </w:tcPr>
          <w:p w14:paraId="582101C2">
            <w:pPr>
              <w:widowControl/>
              <w:ind w:left="47" w:hanging="141"/>
              <w:jc w:val="center"/>
              <w:rPr>
                <w:rFonts w:ascii="宋体" w:hAnsi="宋体" w:cs="宋体"/>
                <w:color w:val="auto"/>
                <w:sz w:val="24"/>
              </w:rPr>
            </w:pPr>
            <w:r>
              <w:rPr>
                <w:rFonts w:hint="eastAsia" w:ascii="宋体" w:hAnsi="宋体" w:cs="宋体"/>
                <w:color w:val="auto"/>
                <w:sz w:val="24"/>
              </w:rPr>
              <w:t>25</w:t>
            </w:r>
          </w:p>
        </w:tc>
        <w:tc>
          <w:tcPr>
            <w:tcW w:w="1497" w:type="dxa"/>
            <w:shd w:val="clear" w:color="auto" w:fill="auto"/>
            <w:noWrap w:val="0"/>
            <w:vAlign w:val="center"/>
          </w:tcPr>
          <w:p w14:paraId="077984BD">
            <w:pPr>
              <w:widowControl/>
              <w:jc w:val="center"/>
              <w:rPr>
                <w:rFonts w:ascii="宋体" w:hAnsi="宋体" w:cs="宋体"/>
                <w:color w:val="auto"/>
                <w:sz w:val="24"/>
              </w:rPr>
            </w:pPr>
            <w:r>
              <w:rPr>
                <w:rFonts w:hint="eastAsia" w:ascii="宋体" w:hAnsi="宋体" w:cs="宋体"/>
                <w:color w:val="auto"/>
                <w:sz w:val="24"/>
              </w:rPr>
              <w:t>人工挖基坑三类土方</w:t>
            </w:r>
          </w:p>
        </w:tc>
        <w:tc>
          <w:tcPr>
            <w:tcW w:w="5550" w:type="dxa"/>
            <w:shd w:val="clear" w:color="auto" w:fill="auto"/>
            <w:noWrap w:val="0"/>
            <w:vAlign w:val="center"/>
          </w:tcPr>
          <w:p w14:paraId="404FCC8C">
            <w:pPr>
              <w:widowControl/>
              <w:ind w:left="-2" w:firstLine="1"/>
              <w:rPr>
                <w:rFonts w:ascii="宋体" w:hAnsi="宋体" w:cs="宋体"/>
                <w:color w:val="auto"/>
                <w:sz w:val="24"/>
              </w:rPr>
            </w:pPr>
            <w:r>
              <w:rPr>
                <w:rFonts w:hint="eastAsia" w:ascii="宋体" w:hAnsi="宋体" w:cs="宋体"/>
                <w:color w:val="auto"/>
                <w:sz w:val="24"/>
              </w:rPr>
              <w:t>可变限速标志、交通管制告知组合屏、安全警示桩等设施配套土建；含拆除路面挖坑装土运土、支模立模。</w:t>
            </w:r>
          </w:p>
        </w:tc>
        <w:tc>
          <w:tcPr>
            <w:tcW w:w="806" w:type="dxa"/>
            <w:shd w:val="clear" w:color="auto" w:fill="auto"/>
            <w:noWrap w:val="0"/>
            <w:vAlign w:val="center"/>
          </w:tcPr>
          <w:p w14:paraId="10BF5138">
            <w:pPr>
              <w:widowControl/>
              <w:ind w:left="-2" w:firstLine="16"/>
              <w:jc w:val="center"/>
              <w:rPr>
                <w:rFonts w:ascii="宋体" w:hAnsi="宋体" w:cs="宋体"/>
                <w:color w:val="auto"/>
                <w:sz w:val="24"/>
              </w:rPr>
            </w:pPr>
            <w:r>
              <w:rPr>
                <w:rFonts w:hint="eastAsia" w:ascii="宋体" w:hAnsi="宋体" w:cs="宋体"/>
                <w:color w:val="auto"/>
                <w:sz w:val="24"/>
              </w:rPr>
              <w:t>20</w:t>
            </w:r>
          </w:p>
        </w:tc>
        <w:tc>
          <w:tcPr>
            <w:tcW w:w="713" w:type="dxa"/>
            <w:shd w:val="clear" w:color="auto" w:fill="auto"/>
            <w:noWrap w:val="0"/>
            <w:vAlign w:val="center"/>
          </w:tcPr>
          <w:p w14:paraId="0A0CC72B">
            <w:pPr>
              <w:widowControl/>
              <w:ind w:left="43" w:hanging="129"/>
              <w:jc w:val="center"/>
              <w:rPr>
                <w:rFonts w:ascii="宋体" w:hAnsi="宋体" w:cs="宋体"/>
                <w:color w:val="auto"/>
                <w:sz w:val="24"/>
              </w:rPr>
            </w:pPr>
            <w:r>
              <w:rPr>
                <w:rFonts w:hint="eastAsia" w:ascii="宋体" w:hAnsi="宋体" w:cs="宋体"/>
                <w:color w:val="auto"/>
                <w:sz w:val="24"/>
              </w:rPr>
              <w:t>m³</w:t>
            </w:r>
          </w:p>
        </w:tc>
      </w:tr>
      <w:tr w14:paraId="3BBB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7" w:type="dxa"/>
            <w:shd w:val="clear" w:color="auto" w:fill="auto"/>
            <w:noWrap w:val="0"/>
            <w:vAlign w:val="center"/>
          </w:tcPr>
          <w:p w14:paraId="6A110B7C">
            <w:pPr>
              <w:widowControl/>
              <w:ind w:left="47" w:hanging="141"/>
              <w:jc w:val="center"/>
              <w:rPr>
                <w:rFonts w:ascii="宋体" w:hAnsi="宋体" w:cs="宋体"/>
                <w:color w:val="auto"/>
                <w:sz w:val="24"/>
              </w:rPr>
            </w:pPr>
            <w:r>
              <w:rPr>
                <w:rFonts w:hint="eastAsia" w:ascii="宋体" w:hAnsi="宋体" w:cs="宋体"/>
                <w:color w:val="auto"/>
                <w:sz w:val="24"/>
              </w:rPr>
              <w:t>26</w:t>
            </w:r>
          </w:p>
        </w:tc>
        <w:tc>
          <w:tcPr>
            <w:tcW w:w="1497" w:type="dxa"/>
            <w:shd w:val="clear" w:color="auto" w:fill="auto"/>
            <w:noWrap w:val="0"/>
            <w:vAlign w:val="center"/>
          </w:tcPr>
          <w:p w14:paraId="40397955">
            <w:pPr>
              <w:widowControl/>
              <w:jc w:val="center"/>
              <w:rPr>
                <w:rFonts w:ascii="宋体" w:hAnsi="宋体" w:cs="宋体"/>
                <w:color w:val="auto"/>
                <w:sz w:val="24"/>
              </w:rPr>
            </w:pPr>
            <w:r>
              <w:rPr>
                <w:rFonts w:hint="eastAsia" w:ascii="宋体" w:hAnsi="宋体" w:cs="宋体"/>
                <w:color w:val="auto"/>
                <w:sz w:val="24"/>
              </w:rPr>
              <w:t>现浇砼基础</w:t>
            </w:r>
          </w:p>
        </w:tc>
        <w:tc>
          <w:tcPr>
            <w:tcW w:w="5550" w:type="dxa"/>
            <w:shd w:val="clear" w:color="auto" w:fill="auto"/>
            <w:noWrap w:val="0"/>
            <w:vAlign w:val="center"/>
          </w:tcPr>
          <w:p w14:paraId="36DEACA0">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混凝土强度等级：C25</w:t>
            </w:r>
            <w:r>
              <w:rPr>
                <w:rFonts w:hint="eastAsia" w:ascii="宋体" w:hAnsi="宋体" w:cs="宋体"/>
                <w:color w:val="auto"/>
                <w:sz w:val="24"/>
                <w:lang w:eastAsia="zh-CN"/>
              </w:rPr>
              <w:t>。</w:t>
            </w:r>
          </w:p>
        </w:tc>
        <w:tc>
          <w:tcPr>
            <w:tcW w:w="806" w:type="dxa"/>
            <w:shd w:val="clear" w:color="auto" w:fill="auto"/>
            <w:noWrap w:val="0"/>
            <w:vAlign w:val="center"/>
          </w:tcPr>
          <w:p w14:paraId="7316FB6A">
            <w:pPr>
              <w:widowControl/>
              <w:ind w:left="-2" w:firstLine="16"/>
              <w:jc w:val="center"/>
              <w:rPr>
                <w:rFonts w:ascii="宋体" w:hAnsi="宋体" w:cs="宋体"/>
                <w:color w:val="auto"/>
                <w:sz w:val="24"/>
              </w:rPr>
            </w:pPr>
            <w:r>
              <w:rPr>
                <w:rFonts w:hint="eastAsia" w:ascii="宋体" w:hAnsi="宋体" w:cs="宋体"/>
                <w:color w:val="auto"/>
                <w:sz w:val="24"/>
              </w:rPr>
              <w:t>20</w:t>
            </w:r>
          </w:p>
        </w:tc>
        <w:tc>
          <w:tcPr>
            <w:tcW w:w="713" w:type="dxa"/>
            <w:shd w:val="clear" w:color="auto" w:fill="auto"/>
            <w:noWrap w:val="0"/>
            <w:vAlign w:val="center"/>
          </w:tcPr>
          <w:p w14:paraId="741F95E9">
            <w:pPr>
              <w:widowControl/>
              <w:ind w:left="43" w:hanging="129"/>
              <w:jc w:val="center"/>
              <w:rPr>
                <w:rFonts w:ascii="宋体" w:hAnsi="宋体" w:cs="宋体"/>
                <w:color w:val="auto"/>
                <w:sz w:val="24"/>
              </w:rPr>
            </w:pPr>
            <w:r>
              <w:rPr>
                <w:rFonts w:hint="eastAsia" w:ascii="宋体" w:hAnsi="宋体" w:cs="宋体"/>
                <w:color w:val="auto"/>
                <w:sz w:val="24"/>
              </w:rPr>
              <w:t>m³</w:t>
            </w:r>
          </w:p>
        </w:tc>
      </w:tr>
      <w:tr w14:paraId="369F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07" w:type="dxa"/>
            <w:shd w:val="clear" w:color="auto" w:fill="auto"/>
            <w:noWrap w:val="0"/>
            <w:vAlign w:val="center"/>
          </w:tcPr>
          <w:p w14:paraId="46CD0CD5">
            <w:pPr>
              <w:widowControl/>
              <w:ind w:left="47" w:hanging="141"/>
              <w:jc w:val="center"/>
              <w:rPr>
                <w:rFonts w:ascii="宋体" w:hAnsi="宋体" w:cs="宋体"/>
                <w:color w:val="auto"/>
                <w:sz w:val="24"/>
              </w:rPr>
            </w:pPr>
            <w:r>
              <w:rPr>
                <w:rFonts w:hint="eastAsia" w:ascii="宋体" w:hAnsi="宋体" w:cs="宋体"/>
                <w:color w:val="auto"/>
                <w:sz w:val="24"/>
              </w:rPr>
              <w:t>27</w:t>
            </w:r>
          </w:p>
        </w:tc>
        <w:tc>
          <w:tcPr>
            <w:tcW w:w="1497" w:type="dxa"/>
            <w:shd w:val="clear" w:color="auto" w:fill="auto"/>
            <w:noWrap w:val="0"/>
            <w:vAlign w:val="center"/>
          </w:tcPr>
          <w:p w14:paraId="1799298E">
            <w:pPr>
              <w:widowControl/>
              <w:jc w:val="center"/>
              <w:rPr>
                <w:rFonts w:ascii="宋体" w:hAnsi="宋体" w:cs="宋体"/>
                <w:color w:val="auto"/>
                <w:sz w:val="24"/>
              </w:rPr>
            </w:pPr>
            <w:r>
              <w:rPr>
                <w:rFonts w:hint="eastAsia" w:ascii="宋体" w:hAnsi="宋体" w:cs="宋体"/>
                <w:color w:val="auto"/>
                <w:sz w:val="24"/>
              </w:rPr>
              <w:t>人工挖沟、槽三类土方</w:t>
            </w:r>
          </w:p>
        </w:tc>
        <w:tc>
          <w:tcPr>
            <w:tcW w:w="5550" w:type="dxa"/>
            <w:shd w:val="clear" w:color="auto" w:fill="auto"/>
            <w:noWrap w:val="0"/>
            <w:vAlign w:val="center"/>
          </w:tcPr>
          <w:p w14:paraId="144F4287">
            <w:pPr>
              <w:widowControl/>
              <w:ind w:left="-2" w:firstLine="1"/>
              <w:rPr>
                <w:rFonts w:ascii="宋体" w:hAnsi="宋体" w:cs="宋体"/>
                <w:color w:val="auto"/>
                <w:sz w:val="24"/>
              </w:rPr>
            </w:pPr>
            <w:r>
              <w:rPr>
                <w:rFonts w:hint="eastAsia" w:ascii="宋体" w:hAnsi="宋体" w:cs="宋体"/>
                <w:color w:val="auto"/>
                <w:sz w:val="24"/>
              </w:rPr>
              <w:t>一侧弃土，宽度40cm，深度40cm，严禁机械开挖。</w:t>
            </w:r>
          </w:p>
        </w:tc>
        <w:tc>
          <w:tcPr>
            <w:tcW w:w="806" w:type="dxa"/>
            <w:shd w:val="clear" w:color="auto" w:fill="auto"/>
            <w:noWrap w:val="0"/>
            <w:vAlign w:val="center"/>
          </w:tcPr>
          <w:p w14:paraId="4F015D68">
            <w:pPr>
              <w:widowControl/>
              <w:ind w:left="-2" w:firstLine="16"/>
              <w:jc w:val="center"/>
              <w:rPr>
                <w:rFonts w:ascii="宋体" w:hAnsi="宋体" w:cs="宋体"/>
                <w:color w:val="auto"/>
                <w:sz w:val="24"/>
              </w:rPr>
            </w:pPr>
            <w:r>
              <w:rPr>
                <w:rFonts w:hint="eastAsia" w:ascii="宋体" w:hAnsi="宋体" w:cs="宋体"/>
                <w:color w:val="auto"/>
                <w:sz w:val="24"/>
              </w:rPr>
              <w:t>620</w:t>
            </w:r>
          </w:p>
        </w:tc>
        <w:tc>
          <w:tcPr>
            <w:tcW w:w="713" w:type="dxa"/>
            <w:shd w:val="clear" w:color="auto" w:fill="auto"/>
            <w:noWrap w:val="0"/>
            <w:vAlign w:val="center"/>
          </w:tcPr>
          <w:p w14:paraId="670416FF">
            <w:pPr>
              <w:widowControl/>
              <w:ind w:left="43" w:hanging="129"/>
              <w:jc w:val="center"/>
              <w:rPr>
                <w:rFonts w:ascii="宋体" w:hAnsi="宋体" w:cs="宋体"/>
                <w:color w:val="auto"/>
                <w:sz w:val="24"/>
              </w:rPr>
            </w:pPr>
            <w:r>
              <w:rPr>
                <w:rFonts w:hint="eastAsia" w:ascii="宋体" w:hAnsi="宋体" w:cs="宋体"/>
                <w:color w:val="auto"/>
                <w:sz w:val="24"/>
              </w:rPr>
              <w:t>m³</w:t>
            </w:r>
          </w:p>
        </w:tc>
      </w:tr>
      <w:tr w14:paraId="67D8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7" w:type="dxa"/>
            <w:shd w:val="clear" w:color="auto" w:fill="auto"/>
            <w:noWrap w:val="0"/>
            <w:vAlign w:val="center"/>
          </w:tcPr>
          <w:p w14:paraId="26E5B876">
            <w:pPr>
              <w:widowControl/>
              <w:ind w:left="47" w:hanging="141"/>
              <w:jc w:val="center"/>
              <w:rPr>
                <w:rFonts w:ascii="宋体" w:hAnsi="宋体" w:cs="宋体"/>
                <w:color w:val="auto"/>
                <w:sz w:val="24"/>
              </w:rPr>
            </w:pPr>
            <w:r>
              <w:rPr>
                <w:rFonts w:hint="eastAsia" w:ascii="宋体" w:hAnsi="宋体" w:cs="宋体"/>
                <w:color w:val="auto"/>
                <w:sz w:val="24"/>
              </w:rPr>
              <w:t>28</w:t>
            </w:r>
          </w:p>
        </w:tc>
        <w:tc>
          <w:tcPr>
            <w:tcW w:w="1497" w:type="dxa"/>
            <w:shd w:val="clear" w:color="auto" w:fill="auto"/>
            <w:noWrap w:val="0"/>
            <w:vAlign w:val="center"/>
          </w:tcPr>
          <w:p w14:paraId="5AAE5B44">
            <w:pPr>
              <w:widowControl/>
              <w:jc w:val="center"/>
              <w:rPr>
                <w:rFonts w:ascii="宋体" w:hAnsi="宋体" w:cs="宋体"/>
                <w:color w:val="auto"/>
                <w:sz w:val="24"/>
              </w:rPr>
            </w:pPr>
            <w:r>
              <w:rPr>
                <w:rFonts w:hint="eastAsia" w:ascii="宋体" w:hAnsi="宋体" w:cs="宋体"/>
                <w:color w:val="auto"/>
                <w:sz w:val="24"/>
              </w:rPr>
              <w:t>沟槽回填土方</w:t>
            </w:r>
          </w:p>
        </w:tc>
        <w:tc>
          <w:tcPr>
            <w:tcW w:w="5550" w:type="dxa"/>
            <w:shd w:val="clear" w:color="auto" w:fill="auto"/>
            <w:noWrap w:val="0"/>
            <w:vAlign w:val="center"/>
          </w:tcPr>
          <w:p w14:paraId="5C3EBC13">
            <w:pPr>
              <w:widowControl/>
              <w:ind w:left="-2" w:firstLine="1"/>
              <w:rPr>
                <w:rFonts w:ascii="宋体" w:hAnsi="宋体" w:cs="宋体"/>
                <w:color w:val="auto"/>
                <w:sz w:val="24"/>
              </w:rPr>
            </w:pPr>
            <w:r>
              <w:rPr>
                <w:rFonts w:hint="eastAsia" w:ascii="宋体" w:hAnsi="宋体" w:cs="宋体"/>
                <w:color w:val="auto"/>
                <w:sz w:val="24"/>
              </w:rPr>
              <w:t>原土利用，当日进行人工回填夯实，同时要求对堆放弃土处进行清理。</w:t>
            </w:r>
          </w:p>
        </w:tc>
        <w:tc>
          <w:tcPr>
            <w:tcW w:w="806" w:type="dxa"/>
            <w:shd w:val="clear" w:color="auto" w:fill="auto"/>
            <w:noWrap w:val="0"/>
            <w:vAlign w:val="center"/>
          </w:tcPr>
          <w:p w14:paraId="7E5026E1">
            <w:pPr>
              <w:widowControl/>
              <w:ind w:left="-2" w:firstLine="16"/>
              <w:jc w:val="center"/>
              <w:rPr>
                <w:rFonts w:ascii="宋体" w:hAnsi="宋体" w:cs="宋体"/>
                <w:color w:val="auto"/>
                <w:sz w:val="24"/>
              </w:rPr>
            </w:pPr>
            <w:r>
              <w:rPr>
                <w:rFonts w:hint="eastAsia" w:ascii="宋体" w:hAnsi="宋体" w:cs="宋体"/>
                <w:color w:val="auto"/>
                <w:sz w:val="24"/>
              </w:rPr>
              <w:t>480</w:t>
            </w:r>
          </w:p>
        </w:tc>
        <w:tc>
          <w:tcPr>
            <w:tcW w:w="713" w:type="dxa"/>
            <w:shd w:val="clear" w:color="auto" w:fill="auto"/>
            <w:noWrap w:val="0"/>
            <w:vAlign w:val="center"/>
          </w:tcPr>
          <w:p w14:paraId="3FFC9AFA">
            <w:pPr>
              <w:widowControl/>
              <w:ind w:left="43" w:hanging="129"/>
              <w:jc w:val="center"/>
              <w:rPr>
                <w:rFonts w:ascii="宋体" w:hAnsi="宋体" w:cs="宋体"/>
                <w:color w:val="auto"/>
                <w:sz w:val="24"/>
              </w:rPr>
            </w:pPr>
            <w:r>
              <w:rPr>
                <w:rFonts w:hint="eastAsia" w:ascii="宋体" w:hAnsi="宋体" w:cs="宋体"/>
                <w:color w:val="auto"/>
                <w:sz w:val="24"/>
              </w:rPr>
              <w:t>m³</w:t>
            </w:r>
          </w:p>
        </w:tc>
      </w:tr>
      <w:tr w14:paraId="5E0E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07" w:type="dxa"/>
            <w:shd w:val="clear" w:color="auto" w:fill="auto"/>
            <w:noWrap w:val="0"/>
            <w:vAlign w:val="center"/>
          </w:tcPr>
          <w:p w14:paraId="18D9614F">
            <w:pPr>
              <w:widowControl/>
              <w:ind w:left="47" w:hanging="141"/>
              <w:jc w:val="center"/>
              <w:rPr>
                <w:rFonts w:ascii="宋体" w:hAnsi="宋体" w:cs="宋体"/>
                <w:color w:val="auto"/>
                <w:sz w:val="24"/>
              </w:rPr>
            </w:pPr>
            <w:r>
              <w:rPr>
                <w:rFonts w:hint="eastAsia" w:ascii="宋体" w:hAnsi="宋体" w:cs="宋体"/>
                <w:color w:val="auto"/>
                <w:sz w:val="24"/>
              </w:rPr>
              <w:t>29</w:t>
            </w:r>
          </w:p>
        </w:tc>
        <w:tc>
          <w:tcPr>
            <w:tcW w:w="1497" w:type="dxa"/>
            <w:shd w:val="clear" w:color="auto" w:fill="auto"/>
            <w:noWrap w:val="0"/>
            <w:vAlign w:val="center"/>
          </w:tcPr>
          <w:p w14:paraId="19926AAA">
            <w:pPr>
              <w:widowControl/>
              <w:jc w:val="center"/>
              <w:rPr>
                <w:rFonts w:ascii="宋体" w:hAnsi="宋体" w:cs="宋体"/>
                <w:color w:val="auto"/>
                <w:sz w:val="24"/>
              </w:rPr>
            </w:pPr>
            <w:r>
              <w:rPr>
                <w:rFonts w:hint="eastAsia" w:ascii="宋体" w:hAnsi="宋体" w:cs="宋体"/>
                <w:color w:val="auto"/>
                <w:sz w:val="24"/>
              </w:rPr>
              <w:t>人工装汽车土</w:t>
            </w:r>
          </w:p>
        </w:tc>
        <w:tc>
          <w:tcPr>
            <w:tcW w:w="5550" w:type="dxa"/>
            <w:shd w:val="clear" w:color="auto" w:fill="auto"/>
            <w:noWrap w:val="0"/>
            <w:vAlign w:val="center"/>
          </w:tcPr>
          <w:p w14:paraId="5D2C0C1C">
            <w:pPr>
              <w:widowControl/>
              <w:ind w:left="-2" w:firstLine="1"/>
              <w:rPr>
                <w:rFonts w:ascii="宋体" w:hAnsi="宋体" w:cs="宋体"/>
                <w:color w:val="auto"/>
                <w:sz w:val="24"/>
              </w:rPr>
            </w:pPr>
            <w:r>
              <w:rPr>
                <w:rFonts w:hint="eastAsia" w:ascii="宋体" w:hAnsi="宋体" w:cs="宋体"/>
                <w:color w:val="auto"/>
                <w:sz w:val="24"/>
              </w:rPr>
              <w:t>对无需使用的弃土进行人工装车，不得抛洒，装运后对场地进行清洗。</w:t>
            </w:r>
          </w:p>
        </w:tc>
        <w:tc>
          <w:tcPr>
            <w:tcW w:w="806" w:type="dxa"/>
            <w:shd w:val="clear" w:color="auto" w:fill="auto"/>
            <w:noWrap w:val="0"/>
            <w:vAlign w:val="center"/>
          </w:tcPr>
          <w:p w14:paraId="3373608C">
            <w:pPr>
              <w:widowControl/>
              <w:ind w:left="-2" w:firstLine="16"/>
              <w:jc w:val="center"/>
              <w:rPr>
                <w:rFonts w:ascii="宋体" w:hAnsi="宋体" w:cs="宋体"/>
                <w:color w:val="auto"/>
                <w:sz w:val="24"/>
              </w:rPr>
            </w:pPr>
            <w:r>
              <w:rPr>
                <w:rFonts w:hint="eastAsia" w:ascii="宋体" w:hAnsi="宋体" w:cs="宋体"/>
                <w:color w:val="auto"/>
                <w:sz w:val="24"/>
              </w:rPr>
              <w:t>14</w:t>
            </w:r>
          </w:p>
        </w:tc>
        <w:tc>
          <w:tcPr>
            <w:tcW w:w="713" w:type="dxa"/>
            <w:shd w:val="clear" w:color="auto" w:fill="auto"/>
            <w:noWrap w:val="0"/>
            <w:vAlign w:val="center"/>
          </w:tcPr>
          <w:p w14:paraId="421E3524">
            <w:pPr>
              <w:widowControl/>
              <w:ind w:left="43" w:hanging="129"/>
              <w:jc w:val="center"/>
              <w:rPr>
                <w:rFonts w:ascii="宋体" w:hAnsi="宋体" w:cs="宋体"/>
                <w:color w:val="auto"/>
                <w:sz w:val="24"/>
              </w:rPr>
            </w:pPr>
            <w:r>
              <w:rPr>
                <w:rFonts w:hint="eastAsia" w:ascii="宋体" w:hAnsi="宋体" w:cs="宋体"/>
                <w:color w:val="auto"/>
                <w:sz w:val="24"/>
              </w:rPr>
              <w:t>m³</w:t>
            </w:r>
          </w:p>
        </w:tc>
      </w:tr>
      <w:tr w14:paraId="1B9E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7" w:type="dxa"/>
            <w:shd w:val="clear" w:color="auto" w:fill="auto"/>
            <w:noWrap w:val="0"/>
            <w:vAlign w:val="center"/>
          </w:tcPr>
          <w:p w14:paraId="1AA4C3C2">
            <w:pPr>
              <w:widowControl/>
              <w:ind w:left="47" w:hanging="141"/>
              <w:jc w:val="center"/>
              <w:rPr>
                <w:rFonts w:ascii="宋体" w:hAnsi="宋体" w:cs="宋体"/>
                <w:color w:val="auto"/>
                <w:sz w:val="24"/>
              </w:rPr>
            </w:pPr>
            <w:r>
              <w:rPr>
                <w:rFonts w:hint="eastAsia" w:ascii="宋体" w:hAnsi="宋体" w:cs="宋体"/>
                <w:color w:val="auto"/>
                <w:sz w:val="24"/>
              </w:rPr>
              <w:t>30</w:t>
            </w:r>
          </w:p>
        </w:tc>
        <w:tc>
          <w:tcPr>
            <w:tcW w:w="1497" w:type="dxa"/>
            <w:shd w:val="clear" w:color="auto" w:fill="auto"/>
            <w:noWrap w:val="0"/>
            <w:vAlign w:val="center"/>
          </w:tcPr>
          <w:p w14:paraId="0505598E">
            <w:pPr>
              <w:widowControl/>
              <w:jc w:val="center"/>
              <w:rPr>
                <w:rFonts w:ascii="宋体" w:hAnsi="宋体" w:cs="宋体"/>
                <w:color w:val="auto"/>
                <w:sz w:val="24"/>
              </w:rPr>
            </w:pPr>
            <w:r>
              <w:rPr>
                <w:rFonts w:hint="eastAsia" w:ascii="宋体" w:hAnsi="宋体" w:cs="宋体"/>
                <w:color w:val="auto"/>
                <w:sz w:val="24"/>
              </w:rPr>
              <w:t>自卸汽车运土</w:t>
            </w:r>
          </w:p>
        </w:tc>
        <w:tc>
          <w:tcPr>
            <w:tcW w:w="5550" w:type="dxa"/>
            <w:shd w:val="clear" w:color="auto" w:fill="auto"/>
            <w:noWrap w:val="0"/>
            <w:vAlign w:val="center"/>
          </w:tcPr>
          <w:p w14:paraId="1C8CE680">
            <w:pPr>
              <w:widowControl/>
              <w:ind w:left="-2" w:firstLine="1"/>
              <w:rPr>
                <w:rFonts w:ascii="宋体" w:hAnsi="宋体" w:cs="宋体"/>
                <w:color w:val="auto"/>
                <w:sz w:val="24"/>
              </w:rPr>
            </w:pPr>
            <w:r>
              <w:rPr>
                <w:rFonts w:hint="eastAsia" w:ascii="宋体" w:hAnsi="宋体" w:cs="宋体"/>
                <w:color w:val="auto"/>
                <w:sz w:val="24"/>
              </w:rPr>
              <w:t>使用自卸汽车进行运土，弃土运输至指定地点，费用中包含渣土处理费。</w:t>
            </w:r>
          </w:p>
        </w:tc>
        <w:tc>
          <w:tcPr>
            <w:tcW w:w="806" w:type="dxa"/>
            <w:shd w:val="clear" w:color="auto" w:fill="auto"/>
            <w:noWrap w:val="0"/>
            <w:vAlign w:val="center"/>
          </w:tcPr>
          <w:p w14:paraId="53F46FF4">
            <w:pPr>
              <w:widowControl/>
              <w:ind w:left="-2" w:firstLine="16"/>
              <w:jc w:val="center"/>
              <w:rPr>
                <w:rFonts w:ascii="宋体" w:hAnsi="宋体" w:cs="宋体"/>
                <w:color w:val="auto"/>
                <w:sz w:val="24"/>
              </w:rPr>
            </w:pPr>
            <w:r>
              <w:rPr>
                <w:rFonts w:hint="eastAsia" w:ascii="宋体" w:hAnsi="宋体" w:cs="宋体"/>
                <w:color w:val="auto"/>
                <w:sz w:val="24"/>
              </w:rPr>
              <w:t>14</w:t>
            </w:r>
          </w:p>
        </w:tc>
        <w:tc>
          <w:tcPr>
            <w:tcW w:w="713" w:type="dxa"/>
            <w:shd w:val="clear" w:color="auto" w:fill="auto"/>
            <w:noWrap w:val="0"/>
            <w:vAlign w:val="center"/>
          </w:tcPr>
          <w:p w14:paraId="7CFD6CF7">
            <w:pPr>
              <w:widowControl/>
              <w:ind w:left="43" w:hanging="129"/>
              <w:jc w:val="center"/>
              <w:rPr>
                <w:rFonts w:ascii="宋体" w:hAnsi="宋体" w:cs="宋体"/>
                <w:color w:val="auto"/>
                <w:sz w:val="24"/>
              </w:rPr>
            </w:pPr>
            <w:r>
              <w:rPr>
                <w:rFonts w:hint="eastAsia" w:ascii="宋体" w:hAnsi="宋体" w:cs="宋体"/>
                <w:color w:val="auto"/>
                <w:sz w:val="24"/>
              </w:rPr>
              <w:t>m³</w:t>
            </w:r>
          </w:p>
        </w:tc>
      </w:tr>
      <w:tr w14:paraId="2C6C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7" w:type="dxa"/>
            <w:shd w:val="clear" w:color="auto" w:fill="auto"/>
            <w:noWrap w:val="0"/>
            <w:vAlign w:val="center"/>
          </w:tcPr>
          <w:p w14:paraId="343A7A8E">
            <w:pPr>
              <w:widowControl/>
              <w:ind w:left="47" w:hanging="141"/>
              <w:jc w:val="center"/>
              <w:rPr>
                <w:rFonts w:ascii="宋体" w:hAnsi="宋体" w:cs="宋体"/>
                <w:color w:val="auto"/>
                <w:sz w:val="24"/>
              </w:rPr>
            </w:pPr>
            <w:r>
              <w:rPr>
                <w:rFonts w:hint="eastAsia" w:ascii="宋体" w:hAnsi="宋体" w:cs="宋体"/>
                <w:color w:val="auto"/>
                <w:sz w:val="24"/>
              </w:rPr>
              <w:t>31</w:t>
            </w:r>
          </w:p>
        </w:tc>
        <w:tc>
          <w:tcPr>
            <w:tcW w:w="1497" w:type="dxa"/>
            <w:shd w:val="clear" w:color="auto" w:fill="auto"/>
            <w:noWrap w:val="0"/>
            <w:vAlign w:val="center"/>
          </w:tcPr>
          <w:p w14:paraId="11AE0DA4">
            <w:pPr>
              <w:widowControl/>
              <w:jc w:val="center"/>
              <w:rPr>
                <w:rFonts w:ascii="宋体" w:hAnsi="宋体" w:cs="宋体"/>
                <w:color w:val="auto"/>
                <w:sz w:val="24"/>
              </w:rPr>
            </w:pPr>
            <w:r>
              <w:rPr>
                <w:rFonts w:hint="eastAsia" w:ascii="宋体" w:hAnsi="宋体" w:cs="宋体"/>
                <w:color w:val="auto"/>
                <w:sz w:val="24"/>
              </w:rPr>
              <w:t>硬塑料管地埋敷设（含管件）</w:t>
            </w:r>
          </w:p>
        </w:tc>
        <w:tc>
          <w:tcPr>
            <w:tcW w:w="5550" w:type="dxa"/>
            <w:shd w:val="clear" w:color="auto" w:fill="auto"/>
            <w:noWrap w:val="0"/>
            <w:vAlign w:val="center"/>
          </w:tcPr>
          <w:p w14:paraId="0E70B682">
            <w:pPr>
              <w:widowControl/>
              <w:ind w:left="-2" w:firstLine="1"/>
              <w:rPr>
                <w:rFonts w:ascii="宋体" w:hAnsi="宋体" w:cs="宋体"/>
                <w:color w:val="auto"/>
                <w:sz w:val="24"/>
              </w:rPr>
            </w:pPr>
            <w:r>
              <w:rPr>
                <w:rFonts w:hint="eastAsia" w:ascii="宋体" w:hAnsi="宋体" w:cs="宋体"/>
                <w:color w:val="auto"/>
                <w:sz w:val="24"/>
              </w:rPr>
              <w:t>材质及规格</w:t>
            </w:r>
            <w:r>
              <w:rPr>
                <w:rFonts w:hint="eastAsia" w:ascii="宋体" w:hAnsi="宋体" w:cs="宋体"/>
                <w:color w:val="auto"/>
                <w:sz w:val="24"/>
                <w:lang w:eastAsia="zh-CN"/>
              </w:rPr>
              <w:t>：</w:t>
            </w:r>
            <w:r>
              <w:rPr>
                <w:rFonts w:hint="eastAsia" w:ascii="宋体" w:hAnsi="宋体" w:cs="宋体"/>
                <w:color w:val="auto"/>
                <w:sz w:val="24"/>
              </w:rPr>
              <w:t>50PE管；配置形式：埋地暗敷。</w:t>
            </w:r>
          </w:p>
        </w:tc>
        <w:tc>
          <w:tcPr>
            <w:tcW w:w="806" w:type="dxa"/>
            <w:shd w:val="clear" w:color="auto" w:fill="auto"/>
            <w:noWrap w:val="0"/>
            <w:vAlign w:val="center"/>
          </w:tcPr>
          <w:p w14:paraId="2B846F2A">
            <w:pPr>
              <w:widowControl/>
              <w:ind w:left="-2" w:firstLine="16"/>
              <w:jc w:val="center"/>
              <w:rPr>
                <w:rFonts w:ascii="宋体" w:hAnsi="宋体" w:cs="宋体"/>
                <w:color w:val="auto"/>
                <w:sz w:val="24"/>
              </w:rPr>
            </w:pPr>
            <w:r>
              <w:rPr>
                <w:rFonts w:hint="eastAsia" w:ascii="宋体" w:hAnsi="宋体" w:cs="宋体"/>
                <w:color w:val="auto"/>
                <w:sz w:val="24"/>
              </w:rPr>
              <w:t>3600</w:t>
            </w:r>
          </w:p>
        </w:tc>
        <w:tc>
          <w:tcPr>
            <w:tcW w:w="713" w:type="dxa"/>
            <w:shd w:val="clear" w:color="auto" w:fill="auto"/>
            <w:noWrap w:val="0"/>
            <w:vAlign w:val="center"/>
          </w:tcPr>
          <w:p w14:paraId="0C0EC8EF">
            <w:pPr>
              <w:widowControl/>
              <w:ind w:left="43" w:hanging="129"/>
              <w:jc w:val="center"/>
              <w:rPr>
                <w:rFonts w:ascii="宋体" w:hAnsi="宋体" w:cs="宋体"/>
                <w:color w:val="auto"/>
                <w:sz w:val="24"/>
              </w:rPr>
            </w:pPr>
            <w:r>
              <w:rPr>
                <w:rFonts w:hint="eastAsia" w:ascii="宋体" w:hAnsi="宋体" w:cs="宋体"/>
                <w:color w:val="auto"/>
                <w:sz w:val="24"/>
              </w:rPr>
              <w:t>米</w:t>
            </w:r>
          </w:p>
        </w:tc>
      </w:tr>
      <w:tr w14:paraId="31BB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7" w:type="dxa"/>
            <w:shd w:val="clear" w:color="auto" w:fill="auto"/>
            <w:noWrap w:val="0"/>
            <w:vAlign w:val="center"/>
          </w:tcPr>
          <w:p w14:paraId="76A092DC">
            <w:pPr>
              <w:widowControl/>
              <w:ind w:left="47" w:hanging="141"/>
              <w:jc w:val="center"/>
              <w:rPr>
                <w:rFonts w:ascii="宋体" w:hAnsi="宋体" w:cs="宋体"/>
                <w:color w:val="auto"/>
                <w:sz w:val="24"/>
              </w:rPr>
            </w:pPr>
            <w:r>
              <w:rPr>
                <w:rFonts w:hint="eastAsia" w:ascii="宋体" w:hAnsi="宋体" w:cs="宋体"/>
                <w:color w:val="auto"/>
                <w:sz w:val="24"/>
              </w:rPr>
              <w:t>32</w:t>
            </w:r>
          </w:p>
        </w:tc>
        <w:tc>
          <w:tcPr>
            <w:tcW w:w="1497" w:type="dxa"/>
            <w:shd w:val="clear" w:color="auto" w:fill="auto"/>
            <w:noWrap w:val="0"/>
            <w:vAlign w:val="center"/>
          </w:tcPr>
          <w:p w14:paraId="4E09A789">
            <w:pPr>
              <w:widowControl/>
              <w:jc w:val="center"/>
              <w:rPr>
                <w:rFonts w:ascii="宋体" w:hAnsi="宋体" w:cs="宋体"/>
                <w:color w:val="auto"/>
                <w:sz w:val="24"/>
              </w:rPr>
            </w:pPr>
            <w:r>
              <w:rPr>
                <w:rFonts w:hint="eastAsia" w:ascii="宋体" w:hAnsi="宋体" w:cs="宋体"/>
                <w:color w:val="auto"/>
                <w:sz w:val="24"/>
              </w:rPr>
              <w:t>手井砌筑（含主材）</w:t>
            </w:r>
          </w:p>
        </w:tc>
        <w:tc>
          <w:tcPr>
            <w:tcW w:w="5550" w:type="dxa"/>
            <w:shd w:val="clear" w:color="auto" w:fill="auto"/>
            <w:noWrap w:val="0"/>
            <w:vAlign w:val="center"/>
          </w:tcPr>
          <w:p w14:paraId="1C7059BB">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400mm×400mm（深400mm）；含开挖、一侧弃土</w:t>
            </w:r>
            <w:r>
              <w:rPr>
                <w:rFonts w:hint="eastAsia" w:ascii="宋体" w:hAnsi="宋体" w:cs="宋体"/>
                <w:color w:val="auto"/>
                <w:sz w:val="24"/>
                <w:lang w:eastAsia="zh-CN"/>
              </w:rPr>
              <w:t>。</w:t>
            </w:r>
          </w:p>
        </w:tc>
        <w:tc>
          <w:tcPr>
            <w:tcW w:w="806" w:type="dxa"/>
            <w:shd w:val="clear" w:color="auto" w:fill="auto"/>
            <w:noWrap w:val="0"/>
            <w:vAlign w:val="center"/>
          </w:tcPr>
          <w:p w14:paraId="2F517686">
            <w:pPr>
              <w:widowControl/>
              <w:ind w:left="-2" w:firstLine="16"/>
              <w:jc w:val="center"/>
              <w:rPr>
                <w:rFonts w:ascii="宋体" w:hAnsi="宋体" w:cs="宋体"/>
                <w:color w:val="auto"/>
                <w:sz w:val="24"/>
              </w:rPr>
            </w:pPr>
            <w:r>
              <w:rPr>
                <w:rFonts w:hint="eastAsia" w:ascii="宋体" w:hAnsi="宋体" w:cs="宋体"/>
                <w:color w:val="auto"/>
                <w:sz w:val="24"/>
              </w:rPr>
              <w:t>20</w:t>
            </w:r>
          </w:p>
        </w:tc>
        <w:tc>
          <w:tcPr>
            <w:tcW w:w="713" w:type="dxa"/>
            <w:shd w:val="clear" w:color="auto" w:fill="auto"/>
            <w:noWrap w:val="0"/>
            <w:vAlign w:val="center"/>
          </w:tcPr>
          <w:p w14:paraId="5B0260AE">
            <w:pPr>
              <w:widowControl/>
              <w:ind w:left="43" w:hanging="129"/>
              <w:jc w:val="center"/>
              <w:rPr>
                <w:rFonts w:ascii="宋体" w:hAnsi="宋体" w:cs="宋体"/>
                <w:color w:val="auto"/>
                <w:sz w:val="24"/>
              </w:rPr>
            </w:pPr>
            <w:r>
              <w:rPr>
                <w:rFonts w:hint="eastAsia" w:ascii="宋体" w:hAnsi="宋体" w:cs="宋体"/>
                <w:color w:val="auto"/>
                <w:sz w:val="24"/>
              </w:rPr>
              <w:t>套</w:t>
            </w:r>
          </w:p>
        </w:tc>
      </w:tr>
      <w:tr w14:paraId="605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07" w:type="dxa"/>
            <w:shd w:val="clear" w:color="auto" w:fill="auto"/>
            <w:noWrap w:val="0"/>
            <w:vAlign w:val="center"/>
          </w:tcPr>
          <w:p w14:paraId="07482391">
            <w:pPr>
              <w:widowControl/>
              <w:ind w:left="47" w:hanging="141"/>
              <w:jc w:val="center"/>
              <w:rPr>
                <w:rFonts w:ascii="宋体" w:hAnsi="宋体" w:cs="宋体"/>
                <w:color w:val="auto"/>
                <w:sz w:val="24"/>
              </w:rPr>
            </w:pPr>
            <w:r>
              <w:rPr>
                <w:rFonts w:hint="eastAsia" w:ascii="宋体" w:hAnsi="宋体" w:cs="宋体"/>
                <w:color w:val="auto"/>
                <w:sz w:val="24"/>
              </w:rPr>
              <w:t>33</w:t>
            </w:r>
          </w:p>
        </w:tc>
        <w:tc>
          <w:tcPr>
            <w:tcW w:w="1497" w:type="dxa"/>
            <w:shd w:val="clear" w:color="auto" w:fill="auto"/>
            <w:noWrap w:val="0"/>
            <w:vAlign w:val="center"/>
          </w:tcPr>
          <w:p w14:paraId="0D77AEA8">
            <w:pPr>
              <w:widowControl/>
              <w:jc w:val="center"/>
              <w:rPr>
                <w:rFonts w:ascii="宋体" w:hAnsi="宋体" w:cs="宋体"/>
                <w:color w:val="auto"/>
                <w:sz w:val="24"/>
              </w:rPr>
            </w:pPr>
            <w:r>
              <w:rPr>
                <w:rFonts w:hint="eastAsia" w:ascii="宋体" w:hAnsi="宋体" w:cs="宋体"/>
                <w:color w:val="auto"/>
                <w:sz w:val="24"/>
              </w:rPr>
              <w:t>杆件吊装</w:t>
            </w:r>
          </w:p>
        </w:tc>
        <w:tc>
          <w:tcPr>
            <w:tcW w:w="5550" w:type="dxa"/>
            <w:shd w:val="clear" w:color="auto" w:fill="auto"/>
            <w:noWrap w:val="0"/>
            <w:vAlign w:val="center"/>
          </w:tcPr>
          <w:p w14:paraId="2CE7C54A">
            <w:pPr>
              <w:widowControl/>
              <w:ind w:left="-2" w:firstLine="1"/>
              <w:rPr>
                <w:rFonts w:ascii="宋体" w:hAnsi="宋体" w:cs="宋体"/>
                <w:color w:val="auto"/>
                <w:sz w:val="24"/>
              </w:rPr>
            </w:pPr>
            <w:r>
              <w:rPr>
                <w:rFonts w:hint="eastAsia" w:ascii="宋体" w:hAnsi="宋体" w:cs="宋体"/>
                <w:color w:val="auto"/>
                <w:sz w:val="24"/>
              </w:rPr>
              <w:t>包含运输、二次转运、临时堆放、吊装、二次调平、调平后地笼包封。</w:t>
            </w:r>
          </w:p>
        </w:tc>
        <w:tc>
          <w:tcPr>
            <w:tcW w:w="806" w:type="dxa"/>
            <w:shd w:val="clear" w:color="auto" w:fill="auto"/>
            <w:noWrap w:val="0"/>
            <w:vAlign w:val="center"/>
          </w:tcPr>
          <w:p w14:paraId="4F86815A">
            <w:pPr>
              <w:widowControl/>
              <w:ind w:left="-2" w:firstLine="16"/>
              <w:jc w:val="center"/>
              <w:rPr>
                <w:rFonts w:ascii="宋体" w:hAnsi="宋体" w:cs="宋体"/>
                <w:color w:val="auto"/>
                <w:sz w:val="24"/>
              </w:rPr>
            </w:pPr>
            <w:r>
              <w:rPr>
                <w:rFonts w:hint="eastAsia" w:ascii="宋体" w:hAnsi="宋体" w:cs="宋体"/>
                <w:color w:val="auto"/>
                <w:sz w:val="24"/>
              </w:rPr>
              <w:t>3</w:t>
            </w:r>
          </w:p>
        </w:tc>
        <w:tc>
          <w:tcPr>
            <w:tcW w:w="713" w:type="dxa"/>
            <w:shd w:val="clear" w:color="auto" w:fill="auto"/>
            <w:noWrap w:val="0"/>
            <w:vAlign w:val="center"/>
          </w:tcPr>
          <w:p w14:paraId="50F287C1">
            <w:pPr>
              <w:widowControl/>
              <w:ind w:left="43" w:hanging="129"/>
              <w:jc w:val="center"/>
              <w:rPr>
                <w:rFonts w:ascii="宋体" w:hAnsi="宋体" w:cs="宋体"/>
                <w:color w:val="auto"/>
                <w:sz w:val="24"/>
              </w:rPr>
            </w:pPr>
            <w:r>
              <w:rPr>
                <w:rFonts w:hint="eastAsia" w:ascii="宋体" w:hAnsi="宋体" w:cs="宋体"/>
                <w:color w:val="auto"/>
                <w:sz w:val="24"/>
              </w:rPr>
              <w:t>套</w:t>
            </w:r>
          </w:p>
        </w:tc>
      </w:tr>
      <w:tr w14:paraId="5038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7" w:type="dxa"/>
            <w:shd w:val="clear" w:color="auto" w:fill="auto"/>
            <w:noWrap w:val="0"/>
            <w:vAlign w:val="center"/>
          </w:tcPr>
          <w:p w14:paraId="3C949C43">
            <w:pPr>
              <w:widowControl/>
              <w:ind w:left="47" w:hanging="141"/>
              <w:jc w:val="center"/>
              <w:rPr>
                <w:rFonts w:ascii="宋体" w:hAnsi="宋体" w:cs="宋体"/>
                <w:color w:val="auto"/>
                <w:sz w:val="24"/>
              </w:rPr>
            </w:pPr>
            <w:r>
              <w:rPr>
                <w:rFonts w:hint="eastAsia" w:ascii="宋体" w:hAnsi="宋体" w:cs="宋体"/>
                <w:color w:val="auto"/>
                <w:sz w:val="24"/>
              </w:rPr>
              <w:t>34</w:t>
            </w:r>
          </w:p>
        </w:tc>
        <w:tc>
          <w:tcPr>
            <w:tcW w:w="1497" w:type="dxa"/>
            <w:shd w:val="clear" w:color="auto" w:fill="auto"/>
            <w:noWrap w:val="0"/>
            <w:vAlign w:val="center"/>
          </w:tcPr>
          <w:p w14:paraId="32DAA8EE">
            <w:pPr>
              <w:widowControl/>
              <w:jc w:val="center"/>
              <w:rPr>
                <w:rFonts w:ascii="宋体" w:hAnsi="宋体" w:cs="宋体"/>
                <w:color w:val="auto"/>
                <w:sz w:val="24"/>
              </w:rPr>
            </w:pPr>
            <w:r>
              <w:rPr>
                <w:rFonts w:hint="eastAsia" w:ascii="宋体" w:hAnsi="宋体" w:cs="宋体"/>
                <w:color w:val="auto"/>
                <w:sz w:val="24"/>
              </w:rPr>
              <w:t>接地极制安</w:t>
            </w:r>
          </w:p>
        </w:tc>
        <w:tc>
          <w:tcPr>
            <w:tcW w:w="5550" w:type="dxa"/>
            <w:shd w:val="clear" w:color="auto" w:fill="auto"/>
            <w:noWrap w:val="0"/>
            <w:vAlign w:val="center"/>
          </w:tcPr>
          <w:p w14:paraId="51BD7392">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长臂</w:t>
            </w:r>
            <w:r>
              <w:rPr>
                <w:rFonts w:hint="eastAsia" w:ascii="宋体" w:hAnsi="宋体" w:cs="宋体"/>
                <w:color w:val="auto"/>
                <w:sz w:val="24"/>
                <w:lang w:val="en-US" w:eastAsia="zh-CN"/>
              </w:rPr>
              <w:t>≥</w:t>
            </w:r>
            <w:r>
              <w:rPr>
                <w:rFonts w:hint="eastAsia" w:ascii="宋体" w:hAnsi="宋体" w:cs="宋体"/>
                <w:color w:val="auto"/>
                <w:sz w:val="24"/>
              </w:rPr>
              <w:t>2.5米（规格为40mm×4mm以上镀锌扁钢）</w:t>
            </w:r>
            <w:r>
              <w:rPr>
                <w:rFonts w:hint="eastAsia" w:ascii="宋体" w:hAnsi="宋体" w:cs="宋体"/>
                <w:color w:val="auto"/>
                <w:sz w:val="24"/>
                <w:lang w:eastAsia="zh-CN"/>
              </w:rPr>
              <w:t>。</w:t>
            </w:r>
          </w:p>
        </w:tc>
        <w:tc>
          <w:tcPr>
            <w:tcW w:w="806" w:type="dxa"/>
            <w:shd w:val="clear" w:color="auto" w:fill="auto"/>
            <w:noWrap w:val="0"/>
            <w:vAlign w:val="center"/>
          </w:tcPr>
          <w:p w14:paraId="7F95A7BA">
            <w:pPr>
              <w:widowControl/>
              <w:ind w:left="-2" w:firstLine="16"/>
              <w:jc w:val="center"/>
              <w:rPr>
                <w:rFonts w:ascii="宋体" w:hAnsi="宋体" w:cs="宋体"/>
                <w:color w:val="auto"/>
                <w:sz w:val="24"/>
              </w:rPr>
            </w:pPr>
            <w:r>
              <w:rPr>
                <w:rFonts w:hint="eastAsia" w:ascii="宋体" w:hAnsi="宋体" w:cs="宋体"/>
                <w:color w:val="auto"/>
                <w:sz w:val="24"/>
              </w:rPr>
              <w:t>12</w:t>
            </w:r>
          </w:p>
        </w:tc>
        <w:tc>
          <w:tcPr>
            <w:tcW w:w="713" w:type="dxa"/>
            <w:shd w:val="clear" w:color="auto" w:fill="auto"/>
            <w:noWrap w:val="0"/>
            <w:vAlign w:val="center"/>
          </w:tcPr>
          <w:p w14:paraId="3BAE545A">
            <w:pPr>
              <w:widowControl/>
              <w:ind w:left="43" w:hanging="129"/>
              <w:jc w:val="center"/>
              <w:rPr>
                <w:rFonts w:ascii="宋体" w:hAnsi="宋体" w:cs="宋体"/>
                <w:color w:val="auto"/>
                <w:sz w:val="24"/>
              </w:rPr>
            </w:pPr>
            <w:r>
              <w:rPr>
                <w:rFonts w:hint="eastAsia" w:ascii="宋体" w:hAnsi="宋体" w:cs="宋体"/>
                <w:color w:val="auto"/>
                <w:sz w:val="24"/>
              </w:rPr>
              <w:t>根</w:t>
            </w:r>
          </w:p>
        </w:tc>
      </w:tr>
      <w:tr w14:paraId="737F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7" w:type="dxa"/>
            <w:shd w:val="clear" w:color="auto" w:fill="auto"/>
            <w:noWrap w:val="0"/>
            <w:vAlign w:val="center"/>
          </w:tcPr>
          <w:p w14:paraId="0AF456B6">
            <w:pPr>
              <w:widowControl/>
              <w:ind w:left="47" w:hanging="141"/>
              <w:jc w:val="center"/>
              <w:rPr>
                <w:rFonts w:ascii="宋体" w:hAnsi="宋体" w:cs="宋体"/>
                <w:color w:val="auto"/>
                <w:sz w:val="24"/>
              </w:rPr>
            </w:pPr>
            <w:r>
              <w:rPr>
                <w:rFonts w:hint="eastAsia" w:ascii="宋体" w:hAnsi="宋体" w:cs="宋体"/>
                <w:color w:val="auto"/>
                <w:sz w:val="24"/>
              </w:rPr>
              <w:t>35</w:t>
            </w:r>
          </w:p>
        </w:tc>
        <w:tc>
          <w:tcPr>
            <w:tcW w:w="1497" w:type="dxa"/>
            <w:shd w:val="clear" w:color="auto" w:fill="auto"/>
            <w:noWrap w:val="0"/>
            <w:vAlign w:val="center"/>
          </w:tcPr>
          <w:p w14:paraId="15887228">
            <w:pPr>
              <w:widowControl/>
              <w:jc w:val="center"/>
              <w:rPr>
                <w:rFonts w:ascii="宋体" w:hAnsi="宋体" w:cs="宋体"/>
                <w:color w:val="auto"/>
                <w:sz w:val="24"/>
              </w:rPr>
            </w:pPr>
            <w:r>
              <w:rPr>
                <w:rFonts w:hint="eastAsia" w:ascii="宋体" w:hAnsi="宋体" w:cs="宋体"/>
                <w:color w:val="auto"/>
                <w:sz w:val="24"/>
              </w:rPr>
              <w:t>接地母线</w:t>
            </w:r>
          </w:p>
        </w:tc>
        <w:tc>
          <w:tcPr>
            <w:tcW w:w="5550" w:type="dxa"/>
            <w:shd w:val="clear" w:color="auto" w:fill="auto"/>
            <w:noWrap w:val="0"/>
            <w:vAlign w:val="center"/>
          </w:tcPr>
          <w:p w14:paraId="77AF2FD6">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软铜铰线，截面积≥10mm</w:t>
            </w:r>
            <w:r>
              <w:rPr>
                <w:rFonts w:hint="eastAsia" w:ascii="宋体" w:hAnsi="宋体" w:cs="宋体"/>
                <w:color w:val="auto"/>
                <w:sz w:val="24"/>
                <w:vertAlign w:val="superscript"/>
              </w:rPr>
              <w:t>2</w:t>
            </w:r>
            <w:r>
              <w:rPr>
                <w:rFonts w:hint="eastAsia" w:ascii="宋体" w:hAnsi="宋体" w:cs="宋体"/>
                <w:color w:val="auto"/>
                <w:sz w:val="24"/>
                <w:vertAlign w:val="baseline"/>
                <w:lang w:eastAsia="zh-CN"/>
              </w:rPr>
              <w:t>。</w:t>
            </w:r>
          </w:p>
        </w:tc>
        <w:tc>
          <w:tcPr>
            <w:tcW w:w="806" w:type="dxa"/>
            <w:shd w:val="clear" w:color="auto" w:fill="auto"/>
            <w:noWrap w:val="0"/>
            <w:vAlign w:val="center"/>
          </w:tcPr>
          <w:p w14:paraId="45D93E4E">
            <w:pPr>
              <w:widowControl/>
              <w:ind w:left="-2" w:firstLine="16"/>
              <w:jc w:val="center"/>
              <w:rPr>
                <w:rFonts w:ascii="宋体" w:hAnsi="宋体" w:cs="宋体"/>
                <w:color w:val="auto"/>
                <w:sz w:val="24"/>
              </w:rPr>
            </w:pPr>
            <w:r>
              <w:rPr>
                <w:rFonts w:hint="eastAsia" w:ascii="宋体" w:hAnsi="宋体" w:cs="宋体"/>
                <w:color w:val="auto"/>
                <w:sz w:val="24"/>
              </w:rPr>
              <w:t>60</w:t>
            </w:r>
          </w:p>
        </w:tc>
        <w:tc>
          <w:tcPr>
            <w:tcW w:w="713" w:type="dxa"/>
            <w:shd w:val="clear" w:color="auto" w:fill="auto"/>
            <w:noWrap w:val="0"/>
            <w:vAlign w:val="center"/>
          </w:tcPr>
          <w:p w14:paraId="714E7B57">
            <w:pPr>
              <w:widowControl/>
              <w:ind w:left="43" w:hanging="129"/>
              <w:jc w:val="center"/>
              <w:rPr>
                <w:rFonts w:ascii="宋体" w:hAnsi="宋体" w:cs="宋体"/>
                <w:color w:val="auto"/>
                <w:sz w:val="24"/>
              </w:rPr>
            </w:pPr>
            <w:r>
              <w:rPr>
                <w:rFonts w:hint="eastAsia" w:ascii="宋体" w:hAnsi="宋体" w:cs="宋体"/>
                <w:color w:val="auto"/>
                <w:sz w:val="24"/>
              </w:rPr>
              <w:t>米</w:t>
            </w:r>
          </w:p>
        </w:tc>
      </w:tr>
      <w:tr w14:paraId="746C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7" w:type="dxa"/>
            <w:shd w:val="clear" w:color="auto" w:fill="auto"/>
            <w:noWrap w:val="0"/>
            <w:vAlign w:val="center"/>
          </w:tcPr>
          <w:p w14:paraId="2B566C64">
            <w:pPr>
              <w:widowControl/>
              <w:ind w:left="47" w:hanging="141"/>
              <w:jc w:val="center"/>
              <w:rPr>
                <w:rFonts w:ascii="宋体" w:hAnsi="宋体" w:cs="宋体"/>
                <w:color w:val="auto"/>
                <w:sz w:val="24"/>
              </w:rPr>
            </w:pPr>
            <w:r>
              <w:rPr>
                <w:rFonts w:hint="eastAsia" w:ascii="宋体" w:hAnsi="宋体" w:cs="宋体"/>
                <w:color w:val="auto"/>
                <w:sz w:val="24"/>
              </w:rPr>
              <w:t>36</w:t>
            </w:r>
          </w:p>
        </w:tc>
        <w:tc>
          <w:tcPr>
            <w:tcW w:w="1497" w:type="dxa"/>
            <w:shd w:val="clear" w:color="auto" w:fill="auto"/>
            <w:noWrap w:val="0"/>
            <w:vAlign w:val="center"/>
          </w:tcPr>
          <w:p w14:paraId="3CA27A8F">
            <w:pPr>
              <w:widowControl/>
              <w:jc w:val="center"/>
              <w:rPr>
                <w:rFonts w:ascii="宋体" w:hAnsi="宋体" w:cs="宋体"/>
                <w:color w:val="auto"/>
                <w:sz w:val="24"/>
              </w:rPr>
            </w:pPr>
            <w:r>
              <w:rPr>
                <w:rFonts w:hint="eastAsia" w:ascii="宋体" w:hAnsi="宋体" w:cs="宋体"/>
                <w:color w:val="auto"/>
                <w:sz w:val="24"/>
              </w:rPr>
              <w:t>接地调试</w:t>
            </w:r>
          </w:p>
        </w:tc>
        <w:tc>
          <w:tcPr>
            <w:tcW w:w="5550" w:type="dxa"/>
            <w:shd w:val="clear" w:color="auto" w:fill="auto"/>
            <w:noWrap w:val="0"/>
            <w:vAlign w:val="center"/>
          </w:tcPr>
          <w:p w14:paraId="7A0D1B33">
            <w:pPr>
              <w:widowControl/>
              <w:ind w:left="-2" w:firstLine="1"/>
              <w:rPr>
                <w:rFonts w:hint="eastAsia" w:ascii="宋体" w:hAnsi="宋体" w:eastAsia="宋体" w:cs="宋体"/>
                <w:color w:val="auto"/>
                <w:sz w:val="24"/>
                <w:lang w:eastAsia="zh-CN"/>
              </w:rPr>
            </w:pPr>
            <w:r>
              <w:rPr>
                <w:rFonts w:hint="eastAsia" w:ascii="宋体" w:hAnsi="宋体" w:cs="宋体"/>
                <w:color w:val="auto"/>
                <w:sz w:val="24"/>
              </w:rPr>
              <w:t>接地电阻</w:t>
            </w:r>
            <w:r>
              <w:rPr>
                <w:rFonts w:hint="eastAsia" w:ascii="宋体" w:hAnsi="宋体" w:cs="宋体"/>
                <w:color w:val="auto"/>
                <w:sz w:val="24"/>
                <w:lang w:eastAsia="zh-CN"/>
              </w:rPr>
              <w:t>：</w:t>
            </w:r>
            <w:r>
              <w:rPr>
                <w:rFonts w:hint="eastAsia" w:ascii="宋体" w:hAnsi="宋体" w:cs="宋体"/>
                <w:color w:val="auto"/>
                <w:sz w:val="24"/>
              </w:rPr>
              <w:t>≤4Ω</w:t>
            </w:r>
            <w:r>
              <w:rPr>
                <w:rFonts w:hint="eastAsia" w:ascii="宋体" w:hAnsi="宋体" w:cs="宋体"/>
                <w:color w:val="auto"/>
                <w:sz w:val="24"/>
                <w:lang w:eastAsia="zh-CN"/>
              </w:rPr>
              <w:t>。</w:t>
            </w:r>
          </w:p>
        </w:tc>
        <w:tc>
          <w:tcPr>
            <w:tcW w:w="806" w:type="dxa"/>
            <w:shd w:val="clear" w:color="auto" w:fill="auto"/>
            <w:noWrap w:val="0"/>
            <w:vAlign w:val="center"/>
          </w:tcPr>
          <w:p w14:paraId="6F742AEF">
            <w:pPr>
              <w:widowControl/>
              <w:ind w:left="-2" w:firstLine="16"/>
              <w:jc w:val="center"/>
              <w:rPr>
                <w:rFonts w:ascii="宋体" w:hAnsi="宋体" w:cs="宋体"/>
                <w:color w:val="auto"/>
                <w:sz w:val="24"/>
              </w:rPr>
            </w:pPr>
            <w:r>
              <w:rPr>
                <w:rFonts w:hint="eastAsia" w:ascii="宋体" w:hAnsi="宋体" w:cs="宋体"/>
                <w:color w:val="auto"/>
                <w:sz w:val="24"/>
              </w:rPr>
              <w:t>3</w:t>
            </w:r>
          </w:p>
        </w:tc>
        <w:tc>
          <w:tcPr>
            <w:tcW w:w="713" w:type="dxa"/>
            <w:shd w:val="clear" w:color="auto" w:fill="auto"/>
            <w:noWrap w:val="0"/>
            <w:vAlign w:val="center"/>
          </w:tcPr>
          <w:p w14:paraId="5ED92012">
            <w:pPr>
              <w:widowControl/>
              <w:ind w:left="43" w:hanging="129"/>
              <w:jc w:val="center"/>
              <w:rPr>
                <w:rFonts w:ascii="宋体" w:hAnsi="宋体" w:cs="宋体"/>
                <w:color w:val="auto"/>
                <w:sz w:val="24"/>
              </w:rPr>
            </w:pPr>
            <w:r>
              <w:rPr>
                <w:rFonts w:hint="eastAsia" w:ascii="宋体" w:hAnsi="宋体" w:cs="宋体"/>
                <w:color w:val="auto"/>
                <w:sz w:val="24"/>
              </w:rPr>
              <w:t>项</w:t>
            </w:r>
          </w:p>
        </w:tc>
      </w:tr>
      <w:tr w14:paraId="427E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07" w:type="dxa"/>
            <w:shd w:val="clear" w:color="auto" w:fill="auto"/>
            <w:noWrap w:val="0"/>
            <w:vAlign w:val="center"/>
          </w:tcPr>
          <w:p w14:paraId="6A9F2FFC">
            <w:pPr>
              <w:widowControl/>
              <w:ind w:left="47" w:hanging="141"/>
              <w:jc w:val="center"/>
              <w:rPr>
                <w:rFonts w:ascii="宋体" w:hAnsi="宋体" w:cs="宋体"/>
                <w:color w:val="auto"/>
                <w:sz w:val="24"/>
              </w:rPr>
            </w:pPr>
            <w:r>
              <w:rPr>
                <w:rFonts w:hint="eastAsia" w:ascii="宋体" w:hAnsi="宋体" w:cs="宋体"/>
                <w:color w:val="auto"/>
                <w:sz w:val="24"/>
              </w:rPr>
              <w:t>37</w:t>
            </w:r>
          </w:p>
        </w:tc>
        <w:tc>
          <w:tcPr>
            <w:tcW w:w="1497" w:type="dxa"/>
            <w:shd w:val="clear" w:color="auto" w:fill="auto"/>
            <w:noWrap w:val="0"/>
            <w:vAlign w:val="center"/>
          </w:tcPr>
          <w:p w14:paraId="041FDF17">
            <w:pPr>
              <w:widowControl/>
              <w:jc w:val="center"/>
              <w:rPr>
                <w:rFonts w:ascii="宋体" w:hAnsi="宋体" w:cs="宋体"/>
                <w:color w:val="auto"/>
                <w:sz w:val="24"/>
              </w:rPr>
            </w:pPr>
            <w:r>
              <w:rPr>
                <w:rFonts w:hint="eastAsia" w:ascii="宋体" w:hAnsi="宋体" w:cs="宋体"/>
                <w:color w:val="auto"/>
                <w:sz w:val="24"/>
              </w:rPr>
              <w:t>安全生产管理</w:t>
            </w:r>
          </w:p>
        </w:tc>
        <w:tc>
          <w:tcPr>
            <w:tcW w:w="5550" w:type="dxa"/>
            <w:shd w:val="clear" w:color="auto" w:fill="auto"/>
            <w:noWrap w:val="0"/>
            <w:vAlign w:val="center"/>
          </w:tcPr>
          <w:p w14:paraId="7A520BD6">
            <w:pPr>
              <w:widowControl/>
              <w:ind w:left="-2" w:firstLine="1"/>
              <w:rPr>
                <w:rFonts w:ascii="宋体" w:hAnsi="宋体" w:cs="宋体"/>
                <w:color w:val="auto"/>
                <w:sz w:val="24"/>
              </w:rPr>
            </w:pPr>
            <w:r>
              <w:rPr>
                <w:rFonts w:hint="eastAsia" w:ascii="宋体" w:hAnsi="宋体" w:cs="宋体"/>
                <w:color w:val="auto"/>
                <w:sz w:val="24"/>
              </w:rPr>
              <w:t>安全施工配套设施（含专项作业车、反光锥桶、反光背心、安全帽、安全带、警示灯、安全标牌等）。</w:t>
            </w:r>
          </w:p>
        </w:tc>
        <w:tc>
          <w:tcPr>
            <w:tcW w:w="806" w:type="dxa"/>
            <w:shd w:val="clear" w:color="auto" w:fill="auto"/>
            <w:noWrap w:val="0"/>
            <w:vAlign w:val="center"/>
          </w:tcPr>
          <w:p w14:paraId="14491D49">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1580A5A0">
            <w:pPr>
              <w:widowControl/>
              <w:ind w:left="43" w:hanging="129"/>
              <w:jc w:val="center"/>
              <w:rPr>
                <w:rFonts w:ascii="宋体" w:hAnsi="宋体" w:cs="宋体"/>
                <w:color w:val="auto"/>
                <w:sz w:val="24"/>
              </w:rPr>
            </w:pPr>
            <w:r>
              <w:rPr>
                <w:rFonts w:hint="eastAsia" w:ascii="宋体" w:hAnsi="宋体" w:cs="宋体"/>
                <w:color w:val="auto"/>
                <w:sz w:val="24"/>
              </w:rPr>
              <w:t>项</w:t>
            </w:r>
          </w:p>
        </w:tc>
      </w:tr>
      <w:tr w14:paraId="3DCC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07" w:type="dxa"/>
            <w:shd w:val="clear" w:color="auto" w:fill="auto"/>
            <w:noWrap w:val="0"/>
            <w:vAlign w:val="center"/>
          </w:tcPr>
          <w:p w14:paraId="19DE3CE6">
            <w:pPr>
              <w:widowControl/>
              <w:ind w:left="47" w:hanging="141"/>
              <w:jc w:val="center"/>
              <w:rPr>
                <w:rFonts w:ascii="宋体" w:hAnsi="宋体" w:cs="宋体"/>
                <w:color w:val="auto"/>
                <w:sz w:val="24"/>
              </w:rPr>
            </w:pPr>
            <w:r>
              <w:rPr>
                <w:rFonts w:hint="eastAsia" w:ascii="宋体" w:hAnsi="宋体" w:cs="宋体"/>
                <w:color w:val="auto"/>
                <w:sz w:val="24"/>
              </w:rPr>
              <w:t>38</w:t>
            </w:r>
          </w:p>
        </w:tc>
        <w:tc>
          <w:tcPr>
            <w:tcW w:w="1497" w:type="dxa"/>
            <w:shd w:val="clear" w:color="auto" w:fill="auto"/>
            <w:noWrap w:val="0"/>
            <w:vAlign w:val="center"/>
          </w:tcPr>
          <w:p w14:paraId="7E183402">
            <w:pPr>
              <w:widowControl/>
              <w:jc w:val="center"/>
              <w:rPr>
                <w:rFonts w:ascii="宋体" w:hAnsi="宋体" w:cs="宋体"/>
                <w:color w:val="auto"/>
                <w:sz w:val="24"/>
              </w:rPr>
            </w:pPr>
            <w:r>
              <w:rPr>
                <w:rFonts w:hint="eastAsia" w:ascii="宋体" w:hAnsi="宋体" w:cs="宋体"/>
                <w:color w:val="auto"/>
                <w:sz w:val="24"/>
              </w:rPr>
              <w:t>恶劣天气数据采集分析服务软件</w:t>
            </w:r>
          </w:p>
        </w:tc>
        <w:tc>
          <w:tcPr>
            <w:tcW w:w="5550" w:type="dxa"/>
            <w:shd w:val="clear" w:color="auto" w:fill="auto"/>
            <w:noWrap w:val="0"/>
            <w:vAlign w:val="center"/>
          </w:tcPr>
          <w:p w14:paraId="2555575C">
            <w:pPr>
              <w:widowControl/>
              <w:ind w:left="-2" w:firstLine="1"/>
              <w:rPr>
                <w:rFonts w:ascii="宋体" w:hAnsi="宋体" w:cs="宋体"/>
                <w:color w:val="auto"/>
                <w:sz w:val="24"/>
              </w:rPr>
            </w:pPr>
            <w:r>
              <w:rPr>
                <w:rFonts w:hint="eastAsia" w:ascii="宋体" w:hAnsi="宋体" w:cs="宋体"/>
                <w:color w:val="auto"/>
                <w:sz w:val="24"/>
              </w:rPr>
              <w:t>恶劣天气数据采集分析服务软件集数据采集、处理、分析及预警发布于一体，能够从多种气象监测设备实时获取关键天气数据，通过高效算法进行处理与深度分析，提供精准的恶劣天气预警信息，并支持可视化展示，提升对极端天气的应对能力和决策效率。</w:t>
            </w:r>
          </w:p>
          <w:p w14:paraId="3AD87A7E">
            <w:pPr>
              <w:widowControl/>
              <w:ind w:left="-2" w:firstLine="1"/>
              <w:rPr>
                <w:rFonts w:ascii="宋体" w:hAnsi="宋体" w:cs="宋体"/>
                <w:color w:val="auto"/>
                <w:sz w:val="24"/>
              </w:rPr>
            </w:pPr>
            <w:r>
              <w:rPr>
                <w:rFonts w:hint="eastAsia" w:ascii="宋体" w:hAnsi="宋体" w:cs="宋体"/>
                <w:color w:val="auto"/>
                <w:sz w:val="24"/>
              </w:rPr>
              <w:t>▲投标人所提供的软件是成品软件，具有软件著作权登记证书，</w:t>
            </w:r>
            <w:r>
              <w:rPr>
                <w:rFonts w:hint="eastAsia" w:ascii="宋体" w:hAnsi="宋体" w:cs="宋体"/>
                <w:color w:val="auto"/>
                <w:sz w:val="24"/>
                <w:lang w:val="en-US" w:eastAsia="zh-CN"/>
              </w:rPr>
              <w:t>并</w:t>
            </w:r>
            <w:r>
              <w:rPr>
                <w:rFonts w:hint="eastAsia" w:ascii="宋体" w:hAnsi="宋体" w:cs="宋体"/>
                <w:color w:val="auto"/>
                <w:sz w:val="24"/>
              </w:rPr>
              <w:t>完成国产化软硬件适配的兼容性测试。</w:t>
            </w:r>
          </w:p>
        </w:tc>
        <w:tc>
          <w:tcPr>
            <w:tcW w:w="806" w:type="dxa"/>
            <w:shd w:val="clear" w:color="auto" w:fill="auto"/>
            <w:noWrap w:val="0"/>
            <w:vAlign w:val="center"/>
          </w:tcPr>
          <w:p w14:paraId="79308F64">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717CD528">
            <w:pPr>
              <w:widowControl/>
              <w:ind w:left="43" w:hanging="129"/>
              <w:jc w:val="center"/>
              <w:rPr>
                <w:rFonts w:ascii="宋体" w:hAnsi="宋体" w:cs="宋体"/>
                <w:color w:val="auto"/>
                <w:sz w:val="24"/>
              </w:rPr>
            </w:pPr>
            <w:r>
              <w:rPr>
                <w:rFonts w:hint="eastAsia" w:ascii="宋体" w:hAnsi="宋体" w:cs="宋体"/>
                <w:color w:val="auto"/>
                <w:sz w:val="24"/>
              </w:rPr>
              <w:t>套</w:t>
            </w:r>
          </w:p>
        </w:tc>
      </w:tr>
      <w:tr w14:paraId="31D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807" w:type="dxa"/>
            <w:shd w:val="clear" w:color="auto" w:fill="auto"/>
            <w:noWrap w:val="0"/>
            <w:vAlign w:val="center"/>
          </w:tcPr>
          <w:p w14:paraId="467B6112">
            <w:pPr>
              <w:widowControl/>
              <w:ind w:left="47" w:hanging="141"/>
              <w:jc w:val="center"/>
              <w:rPr>
                <w:rFonts w:ascii="宋体" w:hAnsi="宋体" w:cs="宋体"/>
                <w:color w:val="auto"/>
                <w:sz w:val="24"/>
              </w:rPr>
            </w:pPr>
            <w:r>
              <w:rPr>
                <w:rFonts w:hint="eastAsia" w:ascii="宋体" w:hAnsi="宋体" w:cs="宋体"/>
                <w:color w:val="auto"/>
                <w:sz w:val="24"/>
              </w:rPr>
              <w:t>39</w:t>
            </w:r>
          </w:p>
        </w:tc>
        <w:tc>
          <w:tcPr>
            <w:tcW w:w="1497" w:type="dxa"/>
            <w:shd w:val="clear" w:color="auto" w:fill="auto"/>
            <w:noWrap w:val="0"/>
            <w:vAlign w:val="center"/>
          </w:tcPr>
          <w:p w14:paraId="44459BE2">
            <w:pPr>
              <w:widowControl/>
              <w:jc w:val="center"/>
              <w:rPr>
                <w:rFonts w:ascii="宋体" w:hAnsi="宋体" w:cs="宋体"/>
                <w:color w:val="auto"/>
                <w:sz w:val="24"/>
              </w:rPr>
            </w:pPr>
            <w:r>
              <w:rPr>
                <w:rFonts w:hint="eastAsia" w:ascii="宋体" w:hAnsi="宋体" w:cs="宋体"/>
                <w:color w:val="auto"/>
                <w:sz w:val="24"/>
              </w:rPr>
              <w:t>恶劣气象速度管控综合执法系统软件</w:t>
            </w:r>
          </w:p>
        </w:tc>
        <w:tc>
          <w:tcPr>
            <w:tcW w:w="5550" w:type="dxa"/>
            <w:shd w:val="clear" w:color="auto" w:fill="auto"/>
            <w:noWrap w:val="0"/>
            <w:vAlign w:val="center"/>
          </w:tcPr>
          <w:p w14:paraId="0C24FAD3">
            <w:pPr>
              <w:widowControl/>
              <w:ind w:left="-2" w:firstLine="1"/>
              <w:rPr>
                <w:rFonts w:ascii="宋体" w:hAnsi="宋体" w:cs="宋体"/>
                <w:color w:val="auto"/>
                <w:sz w:val="24"/>
              </w:rPr>
            </w:pPr>
            <w:r>
              <w:rPr>
                <w:rFonts w:hint="eastAsia" w:ascii="宋体" w:hAnsi="宋体" w:cs="宋体"/>
                <w:color w:val="auto"/>
                <w:sz w:val="24"/>
              </w:rPr>
              <w:t xml:space="preserve">高速公路恶劣气象速度管控综合执法系统软件通过集成气象监测、数据分析与智能执法功能，实现对高速公路在恶劣天气下的车速智能管控。实时获取并分析气象数据，根据天气状况自动调整限速标准，并通过路面监控、车辆追踪及违章抓拍等手段，确保驾驶者遵守限速规定，提升恶劣天气下的道路安全及执法效率。 </w:t>
            </w:r>
          </w:p>
          <w:p w14:paraId="0C87796B">
            <w:pPr>
              <w:widowControl/>
              <w:ind w:left="-2" w:firstLine="1"/>
              <w:rPr>
                <w:rFonts w:ascii="宋体" w:hAnsi="宋体" w:cs="宋体"/>
                <w:color w:val="auto"/>
                <w:sz w:val="24"/>
              </w:rPr>
            </w:pPr>
            <w:r>
              <w:rPr>
                <w:rFonts w:hint="eastAsia" w:ascii="宋体" w:hAnsi="宋体" w:cs="宋体"/>
                <w:color w:val="auto"/>
                <w:sz w:val="24"/>
              </w:rPr>
              <w:t>▲投标人所提供的软件是成品软件，具有软件著作权登记证书，</w:t>
            </w:r>
            <w:r>
              <w:rPr>
                <w:rFonts w:hint="eastAsia" w:ascii="宋体" w:hAnsi="宋体" w:cs="宋体"/>
                <w:color w:val="auto"/>
                <w:sz w:val="24"/>
                <w:lang w:val="en-US" w:eastAsia="zh-CN"/>
              </w:rPr>
              <w:t>并</w:t>
            </w:r>
            <w:r>
              <w:rPr>
                <w:rFonts w:hint="eastAsia" w:ascii="宋体" w:hAnsi="宋体" w:cs="宋体"/>
                <w:color w:val="auto"/>
                <w:sz w:val="24"/>
              </w:rPr>
              <w:t>完成国产化软硬件适配的兼容性测试。</w:t>
            </w:r>
          </w:p>
        </w:tc>
        <w:tc>
          <w:tcPr>
            <w:tcW w:w="806" w:type="dxa"/>
            <w:shd w:val="clear" w:color="auto" w:fill="auto"/>
            <w:noWrap w:val="0"/>
            <w:vAlign w:val="center"/>
          </w:tcPr>
          <w:p w14:paraId="57135DD5">
            <w:pPr>
              <w:widowControl/>
              <w:ind w:left="-2" w:firstLine="16"/>
              <w:jc w:val="center"/>
              <w:rPr>
                <w:rFonts w:ascii="宋体" w:hAnsi="宋体" w:cs="宋体"/>
                <w:color w:val="auto"/>
                <w:sz w:val="24"/>
              </w:rPr>
            </w:pPr>
            <w:r>
              <w:rPr>
                <w:rFonts w:hint="eastAsia" w:ascii="宋体" w:hAnsi="宋体" w:cs="宋体"/>
                <w:color w:val="auto"/>
                <w:sz w:val="24"/>
              </w:rPr>
              <w:t>1</w:t>
            </w:r>
          </w:p>
        </w:tc>
        <w:tc>
          <w:tcPr>
            <w:tcW w:w="713" w:type="dxa"/>
            <w:shd w:val="clear" w:color="auto" w:fill="auto"/>
            <w:noWrap w:val="0"/>
            <w:vAlign w:val="center"/>
          </w:tcPr>
          <w:p w14:paraId="4E58491C">
            <w:pPr>
              <w:widowControl/>
              <w:ind w:left="43" w:hanging="129"/>
              <w:jc w:val="center"/>
              <w:rPr>
                <w:rFonts w:ascii="宋体" w:hAnsi="宋体" w:cs="宋体"/>
                <w:color w:val="auto"/>
                <w:sz w:val="24"/>
              </w:rPr>
            </w:pPr>
            <w:r>
              <w:rPr>
                <w:rFonts w:hint="eastAsia" w:ascii="宋体" w:hAnsi="宋体" w:cs="宋体"/>
                <w:color w:val="auto"/>
                <w:sz w:val="24"/>
              </w:rPr>
              <w:t>套</w:t>
            </w:r>
          </w:p>
        </w:tc>
      </w:tr>
    </w:tbl>
    <w:p w14:paraId="5DF04880">
      <w:pPr>
        <w:spacing w:line="360" w:lineRule="auto"/>
        <w:rPr>
          <w:rFonts w:ascii="宋体" w:hAnsi="宋体" w:cs="宋体"/>
          <w:b/>
          <w:color w:val="auto"/>
          <w:sz w:val="24"/>
        </w:rPr>
      </w:pPr>
      <w:r>
        <w:rPr>
          <w:rFonts w:hint="eastAsia" w:ascii="宋体" w:hAnsi="宋体" w:cs="宋体"/>
          <w:b/>
          <w:color w:val="auto"/>
          <w:sz w:val="24"/>
        </w:rPr>
        <w:t>说明：</w:t>
      </w:r>
    </w:p>
    <w:p w14:paraId="203421D9">
      <w:pPr>
        <w:spacing w:line="360" w:lineRule="auto"/>
        <w:rPr>
          <w:rFonts w:ascii="宋体" w:hAnsi="宋体" w:cs="宋体"/>
          <w:bCs/>
          <w:color w:val="auto"/>
          <w:sz w:val="24"/>
        </w:rPr>
      </w:pPr>
      <w:r>
        <w:rPr>
          <w:rFonts w:hint="eastAsia" w:ascii="宋体" w:hAnsi="宋体" w:cs="宋体"/>
          <w:bCs/>
          <w:color w:val="auto"/>
          <w:sz w:val="24"/>
        </w:rPr>
        <w:t>★1、投标人应结合自身投标产品技术特性，提交拟投标的主要产品（至少包括：LED 可变限速标志、管控区域及管控等级提示牌、恶劣天气多功能警示灯、汇车梯度显示、交通安全警示桩）的</w:t>
      </w:r>
      <w:r>
        <w:rPr>
          <w:rFonts w:hint="eastAsia" w:ascii="宋体" w:hAnsi="宋体" w:cs="宋体"/>
          <w:b/>
          <w:bCs/>
          <w:color w:val="auto"/>
          <w:sz w:val="24"/>
        </w:rPr>
        <w:t>功能和数据格式说明书</w:t>
      </w:r>
      <w:r>
        <w:rPr>
          <w:rFonts w:hint="eastAsia" w:ascii="宋体" w:hAnsi="宋体" w:cs="宋体"/>
          <w:bCs/>
          <w:color w:val="auto"/>
          <w:sz w:val="24"/>
        </w:rPr>
        <w:t>，阐述气象数据、管控数据、违法数据处理流程，接入现有高速公路恶劣天气应急管控智慧系统后，各项管理功能均能确保实现。</w:t>
      </w:r>
      <w:r>
        <w:rPr>
          <w:rFonts w:hint="eastAsia" w:ascii="宋体" w:hAnsi="宋体" w:cs="宋体"/>
          <w:b/>
          <w:bCs w:val="0"/>
          <w:color w:val="auto"/>
          <w:sz w:val="24"/>
        </w:rPr>
        <w:t>未提供本内容的投标文件将视为未实质性响应招标文件要求，</w:t>
      </w:r>
      <w:r>
        <w:rPr>
          <w:rFonts w:hint="eastAsia" w:ascii="宋体" w:hAnsi="宋体" w:cs="宋体"/>
          <w:b/>
          <w:bCs w:val="0"/>
          <w:color w:val="auto"/>
          <w:sz w:val="24"/>
          <w:lang w:val="en-US" w:eastAsia="zh-CN"/>
        </w:rPr>
        <w:t>按无效投标文件处理，</w:t>
      </w:r>
      <w:r>
        <w:rPr>
          <w:rFonts w:hint="eastAsia" w:ascii="宋体" w:hAnsi="宋体" w:cs="宋体"/>
          <w:b/>
          <w:bCs w:val="0"/>
          <w:color w:val="auto"/>
          <w:sz w:val="24"/>
        </w:rPr>
        <w:t>投标人现有恶劣天气管控系统相关功能说明如下：</w:t>
      </w:r>
    </w:p>
    <w:p w14:paraId="58E8F66E">
      <w:pPr>
        <w:spacing w:line="360" w:lineRule="auto"/>
        <w:rPr>
          <w:rFonts w:ascii="宋体" w:hAnsi="宋体" w:cs="宋体"/>
          <w:bCs/>
          <w:color w:val="auto"/>
          <w:sz w:val="24"/>
        </w:rPr>
      </w:pPr>
      <w:r>
        <w:rPr>
          <w:rFonts w:hint="eastAsia" w:ascii="宋体" w:hAnsi="宋体" w:cs="宋体"/>
          <w:bCs/>
          <w:color w:val="auto"/>
          <w:sz w:val="24"/>
        </w:rPr>
        <w:t>系统融合物联网感知技术，实时、高效、精准、全方位、多维度对高速公路全要素进行感知，通过监测、预警、决策、管控、发布、处置、反馈、评估”八大业务流程，实现了高速公路恶劣天气条件下特定路段精准防控。系统主要包括：“信息感知、道路管控、指挥调度、违法处置、统计分析、反馈评估”六大模块，并与公安交通集成指挥平台进行系统对接，形成一套联动的智能化闭环管控系统。</w:t>
      </w:r>
    </w:p>
    <w:p w14:paraId="5E3725C5">
      <w:pPr>
        <w:spacing w:line="360" w:lineRule="auto"/>
        <w:rPr>
          <w:rFonts w:ascii="宋体" w:hAnsi="宋体" w:cs="宋体"/>
          <w:bCs/>
          <w:color w:val="auto"/>
          <w:sz w:val="24"/>
        </w:rPr>
      </w:pPr>
      <w:r>
        <w:rPr>
          <w:rFonts w:hint="eastAsia" w:ascii="宋体" w:hAnsi="宋体" w:cs="宋体"/>
          <w:bCs/>
          <w:color w:val="auto"/>
          <w:sz w:val="24"/>
        </w:rPr>
        <w:t>★2、投标人应提供其投标选用的上述主要装备（至少包括：LED 可变限速标志、管控区域及管控等级提示牌、恶劣天气多功能警示灯、汇车梯度显示、交通安全警示桩）在真实工作状态下的截图或照片，作为技术支持材料以论证其投标产品具备所要求的应用场景下的实战能力。投标人应优先提供相同恶劣气象条件下及相同道路条件下的实战应用技术支持材料，客观条件不具备的，也可以以模拟气象和模拟道路条件的方式提供系统、设备和软件的演练性技术支持材料，但软件工作界面、设备正常运行工作状态及显示图文内容等均应为真实截图或照片，而不应是概念图、示意图和虚拟图，更不得提供伪造、篡改、剽窃的虚假证明材料，否则投标文件将被拒绝。</w:t>
      </w:r>
    </w:p>
    <w:p w14:paraId="1A69153B">
      <w:pPr>
        <w:spacing w:line="360" w:lineRule="auto"/>
        <w:rPr>
          <w:rFonts w:ascii="宋体" w:hAnsi="宋体" w:cs="宋体"/>
          <w:bCs/>
          <w:color w:val="auto"/>
          <w:sz w:val="24"/>
        </w:rPr>
      </w:pPr>
      <w:r>
        <w:rPr>
          <w:rFonts w:hint="eastAsia" w:ascii="宋体" w:hAnsi="宋体" w:cs="宋体"/>
          <w:bCs/>
          <w:color w:val="auto"/>
          <w:sz w:val="24"/>
        </w:rPr>
        <w:t>本项目所采购的装备和软件，须可接入采购人现有高速公路恶劣天气应急管控智慧系统并网运行，能在采购人部署下实现多部门信息联动交通管控，实现道研中心、集指平台的数据对接，实现多部门、多系统的数据共享，最终形成实施路段恶劣天气管控应急处置闭环。投标人应承诺本项目采购的所有装备和第三方有关接口开发、联合调试、测试费用均包含在投标总价中，</w:t>
      </w:r>
      <w:r>
        <w:rPr>
          <w:rFonts w:hint="eastAsia" w:ascii="宋体" w:hAnsi="宋体" w:cs="宋体"/>
          <w:bCs/>
          <w:color w:val="auto"/>
          <w:sz w:val="24"/>
          <w:lang w:val="en-US" w:eastAsia="zh-CN"/>
        </w:rPr>
        <w:t>投标文件中</w:t>
      </w:r>
      <w:r>
        <w:rPr>
          <w:rFonts w:hint="eastAsia" w:ascii="宋体" w:hAnsi="宋体" w:cs="宋体"/>
          <w:bCs/>
          <w:color w:val="auto"/>
          <w:sz w:val="24"/>
        </w:rPr>
        <w:t>提供承诺函</w:t>
      </w:r>
      <w:r>
        <w:rPr>
          <w:rFonts w:hint="eastAsia" w:ascii="宋体" w:hAnsi="宋体" w:cs="宋体"/>
          <w:bCs/>
          <w:color w:val="auto"/>
          <w:sz w:val="24"/>
          <w:lang w:eastAsia="zh-CN"/>
        </w:rPr>
        <w:t>（</w:t>
      </w:r>
      <w:r>
        <w:rPr>
          <w:rFonts w:hint="eastAsia" w:ascii="宋体" w:hAnsi="宋体" w:cs="宋体"/>
          <w:bCs/>
          <w:color w:val="auto"/>
          <w:sz w:val="24"/>
          <w:lang w:val="en-US" w:eastAsia="zh-CN"/>
        </w:rPr>
        <w:t>承诺函格式自拟</w:t>
      </w:r>
      <w:r>
        <w:rPr>
          <w:rFonts w:hint="eastAsia" w:ascii="宋体" w:hAnsi="宋体" w:cs="宋体"/>
          <w:bCs/>
          <w:color w:val="auto"/>
          <w:sz w:val="24"/>
          <w:lang w:eastAsia="zh-CN"/>
        </w:rPr>
        <w:t>）</w:t>
      </w:r>
      <w:r>
        <w:rPr>
          <w:rFonts w:hint="eastAsia" w:ascii="宋体" w:hAnsi="宋体" w:cs="宋体"/>
          <w:bCs/>
          <w:color w:val="auto"/>
          <w:sz w:val="24"/>
        </w:rPr>
        <w:t>。</w:t>
      </w:r>
      <w:r>
        <w:rPr>
          <w:rFonts w:hint="eastAsia" w:ascii="宋体" w:hAnsi="宋体" w:cs="宋体"/>
          <w:b/>
          <w:bCs w:val="0"/>
          <w:color w:val="auto"/>
          <w:sz w:val="24"/>
        </w:rPr>
        <w:t>未提供本内容的投标文件将视为未实质性响应招标文件要求</w:t>
      </w:r>
      <w:r>
        <w:rPr>
          <w:rFonts w:hint="eastAsia" w:ascii="宋体" w:hAnsi="宋体" w:cs="宋体"/>
          <w:b/>
          <w:bCs w:val="0"/>
          <w:color w:val="auto"/>
          <w:sz w:val="24"/>
          <w:lang w:eastAsia="zh-CN"/>
        </w:rPr>
        <w:t>，</w:t>
      </w:r>
      <w:r>
        <w:rPr>
          <w:rFonts w:hint="eastAsia" w:ascii="宋体" w:hAnsi="宋体" w:cs="宋体"/>
          <w:b/>
          <w:bCs w:val="0"/>
          <w:color w:val="auto"/>
          <w:sz w:val="24"/>
          <w:lang w:val="en-US" w:eastAsia="zh-CN"/>
        </w:rPr>
        <w:t>按无效投标文件处理</w:t>
      </w:r>
      <w:r>
        <w:rPr>
          <w:rFonts w:hint="eastAsia" w:ascii="宋体" w:hAnsi="宋体" w:cs="宋体"/>
          <w:b/>
          <w:bCs w:val="0"/>
          <w:color w:val="auto"/>
          <w:sz w:val="24"/>
        </w:rPr>
        <w:t>。</w:t>
      </w:r>
    </w:p>
    <w:p w14:paraId="2D77230C">
      <w:pPr>
        <w:spacing w:line="360" w:lineRule="auto"/>
        <w:rPr>
          <w:b/>
          <w:bCs w:val="0"/>
          <w:color w:val="auto"/>
        </w:rPr>
      </w:pPr>
      <w:r>
        <w:rPr>
          <w:rFonts w:hint="eastAsia" w:ascii="宋体" w:hAnsi="宋体" w:cs="宋体"/>
          <w:b/>
          <w:bCs w:val="0"/>
          <w:color w:val="auto"/>
          <w:sz w:val="24"/>
        </w:rPr>
        <w:t>★3、本项目涉及到高速道路上施工作业，所以投标人应具有《安全生产许可证》</w:t>
      </w:r>
      <w:r>
        <w:rPr>
          <w:rFonts w:hint="eastAsia" w:ascii="宋体" w:hAnsi="宋体" w:cs="宋体"/>
          <w:b/>
          <w:bCs w:val="0"/>
          <w:color w:val="auto"/>
          <w:sz w:val="24"/>
          <w:lang w:eastAsia="zh-CN"/>
        </w:rPr>
        <w:t>，</w:t>
      </w:r>
      <w:r>
        <w:rPr>
          <w:rFonts w:hint="eastAsia" w:ascii="宋体" w:hAnsi="宋体" w:cs="宋体"/>
          <w:b/>
          <w:bCs w:val="0"/>
          <w:color w:val="auto"/>
          <w:sz w:val="24"/>
          <w:lang w:val="en-US" w:eastAsia="zh-CN"/>
        </w:rPr>
        <w:t>投标文件中提供安全生产许可证扫描件</w:t>
      </w:r>
      <w:r>
        <w:rPr>
          <w:rFonts w:hint="eastAsia" w:ascii="宋体" w:hAnsi="宋体" w:cs="宋体"/>
          <w:b/>
          <w:bCs w:val="0"/>
          <w:color w:val="auto"/>
          <w:sz w:val="24"/>
        </w:rPr>
        <w:t>。</w:t>
      </w:r>
    </w:p>
    <w:p w14:paraId="1E8AAE93">
      <w:pPr>
        <w:spacing w:line="360" w:lineRule="auto"/>
        <w:rPr>
          <w:rFonts w:ascii="宋体" w:hAnsi="宋体" w:cs="宋体"/>
          <w:b/>
          <w:bCs/>
          <w:color w:val="auto"/>
          <w:sz w:val="28"/>
          <w:szCs w:val="28"/>
          <w:highlight w:val="white"/>
        </w:rPr>
      </w:pPr>
      <w:r>
        <w:rPr>
          <w:rFonts w:hint="eastAsia" w:ascii="宋体" w:hAnsi="宋体" w:cs="宋体"/>
          <w:b/>
          <w:bCs/>
          <w:color w:val="auto"/>
          <w:sz w:val="28"/>
          <w:szCs w:val="28"/>
          <w:highlight w:val="white"/>
        </w:rPr>
        <w:t>五、项目实施要求：</w:t>
      </w:r>
    </w:p>
    <w:p w14:paraId="4979776A">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（一）项目组织实施要求：</w:t>
      </w:r>
    </w:p>
    <w:p w14:paraId="1ACB4EA3">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1、项目建设期限要求：合同并生效后，120日内完成项目的全部工作并交付采购人使用。</w:t>
      </w:r>
    </w:p>
    <w:p w14:paraId="6FDDF8D2">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说明：本“1、项目建设期限要求”为不允许偏离的实质性要求和条件，如有偏离，在符合性审查时按照投标无效处理。</w:t>
      </w:r>
    </w:p>
    <w:p w14:paraId="122F9005">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（二）项目组织要求：</w:t>
      </w:r>
    </w:p>
    <w:p w14:paraId="4378D49E">
      <w:pPr>
        <w:spacing w:line="360" w:lineRule="auto"/>
        <w:rPr>
          <w:rFonts w:ascii="宋体" w:hAnsi="宋体" w:cs="宋体"/>
          <w:color w:val="auto"/>
          <w:sz w:val="24"/>
          <w:highlight w:val="white"/>
        </w:rPr>
      </w:pPr>
      <w:r>
        <w:rPr>
          <w:rFonts w:hint="eastAsia" w:ascii="宋体" w:hAnsi="宋体" w:cs="宋体"/>
          <w:color w:val="auto"/>
          <w:sz w:val="24"/>
          <w:highlight w:val="white"/>
        </w:rPr>
        <w:t>提供具体的项目组织模式和组织架构，包括项目人员保证、质量计划、沟通协调计划等。确保在项目调研、项目建设、项目实施、维保服务和培训等各个阶段的稳定性，保障现场实施和技术保障。</w:t>
      </w:r>
    </w:p>
    <w:p w14:paraId="1C19C1AA">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（三）项目安装、测试、试运行要求：</w:t>
      </w:r>
    </w:p>
    <w:p w14:paraId="2BA5CB90">
      <w:pPr>
        <w:spacing w:line="360" w:lineRule="auto"/>
        <w:rPr>
          <w:rFonts w:ascii="宋体" w:hAnsi="宋体" w:cs="宋体"/>
          <w:color w:val="auto"/>
          <w:sz w:val="24"/>
          <w:highlight w:val="white"/>
        </w:rPr>
      </w:pPr>
      <w:r>
        <w:rPr>
          <w:rFonts w:hint="eastAsia" w:ascii="宋体" w:hAnsi="宋体" w:cs="宋体"/>
          <w:color w:val="auto"/>
          <w:sz w:val="24"/>
          <w:highlight w:val="white"/>
        </w:rPr>
        <w:t>为保证本项目的顺利实施，投标人应充分根据采购人业务现状，结合设备产品特点，自行设计项目安装、测试、试运行方案，设计无缺漏、按需集成，功能结构描述清楚、方案具体。根据项目的软硬件及系统整体性科学实施提供项目安装、测试、试运行方案。试运行</w:t>
      </w:r>
      <w:r>
        <w:rPr>
          <w:rFonts w:hint="eastAsia" w:ascii="宋体" w:hAnsi="宋体" w:cs="宋体"/>
          <w:color w:val="auto"/>
          <w:sz w:val="24"/>
          <w:highlight w:val="white"/>
          <w:lang w:val="en-US" w:eastAsia="zh-CN"/>
        </w:rPr>
        <w:t>3个月</w:t>
      </w:r>
      <w:r>
        <w:rPr>
          <w:rFonts w:hint="eastAsia" w:ascii="宋体" w:hAnsi="宋体" w:cs="宋体"/>
          <w:color w:val="auto"/>
          <w:sz w:val="24"/>
          <w:highlight w:val="white"/>
        </w:rPr>
        <w:t>。</w:t>
      </w:r>
    </w:p>
    <w:p w14:paraId="5A9E378E">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（四）投标文件要求：</w:t>
      </w:r>
    </w:p>
    <w:p w14:paraId="285C8DF1">
      <w:pPr>
        <w:spacing w:line="360" w:lineRule="auto"/>
        <w:rPr>
          <w:rFonts w:ascii="宋体" w:hAnsi="宋体" w:cs="宋体"/>
          <w:color w:val="auto"/>
          <w:sz w:val="24"/>
          <w:highlight w:val="white"/>
        </w:rPr>
      </w:pPr>
      <w:r>
        <w:rPr>
          <w:rFonts w:hint="eastAsia" w:ascii="宋体" w:hAnsi="宋体" w:cs="宋体"/>
          <w:color w:val="auto"/>
          <w:sz w:val="24"/>
          <w:highlight w:val="white"/>
        </w:rPr>
        <w:t>1、投标文件中提供《项目实施方案》文件。</w:t>
      </w:r>
    </w:p>
    <w:p w14:paraId="487D074A">
      <w:pPr>
        <w:spacing w:line="360" w:lineRule="auto"/>
        <w:rPr>
          <w:rFonts w:ascii="宋体" w:hAnsi="宋体" w:cs="宋体"/>
          <w:color w:val="auto"/>
          <w:sz w:val="24"/>
          <w:highlight w:val="white"/>
        </w:rPr>
      </w:pPr>
      <w:r>
        <w:rPr>
          <w:rFonts w:hint="eastAsia" w:ascii="宋体" w:hAnsi="宋体" w:cs="宋体"/>
          <w:color w:val="auto"/>
          <w:sz w:val="24"/>
          <w:highlight w:val="white"/>
        </w:rPr>
        <w:t>2、《项目实施方案》包括以下内容：</w:t>
      </w:r>
    </w:p>
    <w:p w14:paraId="3C46F8EB">
      <w:pPr>
        <w:spacing w:line="360" w:lineRule="auto"/>
        <w:rPr>
          <w:rFonts w:ascii="宋体" w:hAnsi="宋体" w:cs="宋体"/>
          <w:color w:val="auto"/>
          <w:sz w:val="24"/>
          <w:highlight w:val="white"/>
        </w:rPr>
      </w:pPr>
      <w:r>
        <w:rPr>
          <w:rFonts w:hint="eastAsia" w:ascii="宋体" w:hAnsi="宋体" w:cs="宋体"/>
          <w:color w:val="auto"/>
          <w:sz w:val="24"/>
          <w:highlight w:val="white"/>
        </w:rPr>
        <w:t>2.1 时间进度安排，出具项目进度安排表；</w:t>
      </w:r>
    </w:p>
    <w:p w14:paraId="1C657ED2">
      <w:pPr>
        <w:spacing w:line="360" w:lineRule="auto"/>
        <w:rPr>
          <w:rFonts w:ascii="宋体" w:hAnsi="宋体" w:cs="宋体"/>
          <w:color w:val="auto"/>
          <w:sz w:val="24"/>
          <w:highlight w:val="white"/>
        </w:rPr>
      </w:pPr>
      <w:r>
        <w:rPr>
          <w:rFonts w:hint="eastAsia" w:ascii="宋体" w:hAnsi="宋体" w:cs="宋体"/>
          <w:color w:val="auto"/>
          <w:sz w:val="24"/>
          <w:highlight w:val="white"/>
        </w:rPr>
        <w:t>2.2 项目质量方案；</w:t>
      </w:r>
    </w:p>
    <w:p w14:paraId="55FD6391">
      <w:pPr>
        <w:spacing w:line="360" w:lineRule="auto"/>
        <w:rPr>
          <w:rFonts w:ascii="宋体" w:hAnsi="宋体" w:cs="宋体"/>
          <w:color w:val="auto"/>
          <w:sz w:val="24"/>
          <w:highlight w:val="white"/>
        </w:rPr>
      </w:pPr>
      <w:r>
        <w:rPr>
          <w:rFonts w:hint="eastAsia" w:ascii="宋体" w:hAnsi="宋体" w:cs="宋体"/>
          <w:color w:val="auto"/>
          <w:sz w:val="24"/>
          <w:highlight w:val="white"/>
        </w:rPr>
        <w:t xml:space="preserve">2.3 项目实施人员配备方案； </w:t>
      </w:r>
    </w:p>
    <w:p w14:paraId="290C3FB9">
      <w:pPr>
        <w:spacing w:line="360" w:lineRule="auto"/>
        <w:rPr>
          <w:rFonts w:ascii="宋体" w:hAnsi="宋体" w:cs="宋体"/>
          <w:color w:val="auto"/>
          <w:sz w:val="24"/>
          <w:highlight w:val="white"/>
        </w:rPr>
      </w:pPr>
      <w:r>
        <w:rPr>
          <w:rFonts w:hint="eastAsia" w:ascii="宋体" w:hAnsi="宋体" w:cs="宋体"/>
          <w:color w:val="auto"/>
          <w:sz w:val="24"/>
          <w:highlight w:val="white"/>
        </w:rPr>
        <w:t>2.4 项目安装、测试、试运行方案。</w:t>
      </w:r>
    </w:p>
    <w:p w14:paraId="16540BAA">
      <w:pPr>
        <w:spacing w:line="360" w:lineRule="auto"/>
        <w:rPr>
          <w:rFonts w:ascii="宋体" w:hAnsi="宋体" w:cs="宋体"/>
          <w:b/>
          <w:bCs/>
          <w:color w:val="auto"/>
          <w:sz w:val="28"/>
          <w:szCs w:val="28"/>
          <w:highlight w:val="white"/>
        </w:rPr>
      </w:pPr>
      <w:r>
        <w:rPr>
          <w:rFonts w:hint="eastAsia" w:ascii="宋体" w:hAnsi="宋体" w:cs="宋体"/>
          <w:b/>
          <w:bCs/>
          <w:color w:val="auto"/>
          <w:sz w:val="28"/>
          <w:szCs w:val="28"/>
          <w:highlight w:val="white"/>
        </w:rPr>
        <w:t>六、售后维保服务要求</w:t>
      </w:r>
    </w:p>
    <w:p w14:paraId="0263479B">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★（一）质保期要求：试运行</w:t>
      </w:r>
      <w:r>
        <w:rPr>
          <w:rFonts w:hint="eastAsia" w:ascii="宋体" w:hAnsi="宋体" w:cs="宋体"/>
          <w:b/>
          <w:bCs/>
          <w:color w:val="auto"/>
          <w:sz w:val="24"/>
          <w:highlight w:val="white"/>
          <w:lang w:val="en-US" w:eastAsia="zh-CN"/>
        </w:rPr>
        <w:t>3个月</w:t>
      </w:r>
      <w:r>
        <w:rPr>
          <w:rFonts w:hint="eastAsia" w:ascii="宋体" w:hAnsi="宋体" w:cs="宋体"/>
          <w:b/>
          <w:bCs/>
          <w:color w:val="auto"/>
          <w:sz w:val="24"/>
          <w:highlight w:val="white"/>
        </w:rPr>
        <w:t>后，经采购人组织验收合格之日起不少于 3年，包含软硬件及相关服务。</w:t>
      </w:r>
    </w:p>
    <w:p w14:paraId="5D82B64E">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说明：本“（一）质保期要求”为不允许偏离的实质性要求和条件，如有偏离，在符合性审查时按照响应无效处理。</w:t>
      </w:r>
    </w:p>
    <w:p w14:paraId="7E4CE49E">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（二）售后维保服务具体要求：</w:t>
      </w:r>
    </w:p>
    <w:p w14:paraId="79A775A4">
      <w:pPr>
        <w:spacing w:line="360" w:lineRule="auto"/>
        <w:rPr>
          <w:rFonts w:ascii="宋体" w:hAnsi="宋体" w:cs="宋体"/>
          <w:color w:val="auto"/>
          <w:sz w:val="24"/>
          <w:highlight w:val="white"/>
        </w:rPr>
      </w:pPr>
      <w:r>
        <w:rPr>
          <w:rFonts w:hint="eastAsia" w:ascii="宋体" w:hAnsi="宋体" w:cs="宋体"/>
          <w:color w:val="auto"/>
          <w:sz w:val="24"/>
          <w:highlight w:val="white"/>
        </w:rPr>
        <w:t>1、项目验收通过后，中标人需保证能在不少于3年内提供预防性、故障性维护和技术支持服务，投标报价时应充分考虑技术支持与免费维护服务。</w:t>
      </w:r>
    </w:p>
    <w:p w14:paraId="6D01715D">
      <w:pPr>
        <w:spacing w:line="360" w:lineRule="auto"/>
        <w:rPr>
          <w:rFonts w:ascii="宋体" w:hAnsi="宋体" w:cs="宋体"/>
          <w:color w:val="auto"/>
          <w:sz w:val="24"/>
          <w:highlight w:val="white"/>
        </w:rPr>
      </w:pPr>
      <w:r>
        <w:rPr>
          <w:rFonts w:hint="eastAsia" w:ascii="宋体" w:hAnsi="宋体" w:cs="宋体"/>
          <w:color w:val="auto"/>
          <w:sz w:val="24"/>
          <w:highlight w:val="white"/>
        </w:rPr>
        <w:t>2、质保期内出现质量问题，包退、包换，提供原厂配件予以免费更换，并由中标人承担相应全部费用。质保期外免费上门维修，提供原厂配件，只收取基本设备、材料成本费。</w:t>
      </w:r>
    </w:p>
    <w:p w14:paraId="0B0916A7">
      <w:pPr>
        <w:spacing w:line="360" w:lineRule="auto"/>
        <w:rPr>
          <w:rFonts w:ascii="宋体" w:hAnsi="宋体" w:cs="宋体"/>
          <w:color w:val="auto"/>
          <w:sz w:val="24"/>
          <w:highlight w:val="white"/>
        </w:rPr>
      </w:pPr>
      <w:r>
        <w:rPr>
          <w:rFonts w:hint="eastAsia" w:ascii="宋体" w:hAnsi="宋体" w:cs="宋体"/>
          <w:color w:val="auto"/>
          <w:sz w:val="24"/>
          <w:highlight w:val="white"/>
        </w:rPr>
        <w:t>3、设有维修服务电话，负责解答用户在设备使用中遇到的问题，及时提出解决问题的建议和操作方法。</w:t>
      </w:r>
    </w:p>
    <w:p w14:paraId="0C24DFE5">
      <w:pPr>
        <w:spacing w:line="360" w:lineRule="auto"/>
        <w:rPr>
          <w:rFonts w:ascii="宋体" w:hAnsi="宋体" w:cs="宋体"/>
          <w:color w:val="auto"/>
          <w:sz w:val="24"/>
          <w:highlight w:val="white"/>
        </w:rPr>
      </w:pPr>
      <w:r>
        <w:rPr>
          <w:rFonts w:hint="eastAsia" w:ascii="宋体" w:hAnsi="宋体" w:cs="宋体"/>
          <w:color w:val="auto"/>
          <w:sz w:val="24"/>
          <w:highlight w:val="white"/>
        </w:rPr>
        <w:t>4、如设备出现故障，电话响应无法解决，中标人必须在接报修电话4小时到现场并解决问题。</w:t>
      </w:r>
    </w:p>
    <w:p w14:paraId="48A6FA11">
      <w:pPr>
        <w:spacing w:line="360" w:lineRule="auto"/>
        <w:rPr>
          <w:rFonts w:ascii="宋体" w:hAnsi="宋体" w:cs="宋体"/>
          <w:color w:val="auto"/>
          <w:sz w:val="24"/>
          <w:highlight w:val="white"/>
        </w:rPr>
      </w:pPr>
      <w:r>
        <w:rPr>
          <w:rFonts w:hint="eastAsia" w:ascii="宋体" w:hAnsi="宋体" w:cs="宋体"/>
          <w:color w:val="auto"/>
          <w:sz w:val="24"/>
          <w:highlight w:val="white"/>
        </w:rPr>
        <w:t>5、维护服务过程中必须认真严格执行国家相关行业规范，加强安全管理工作，所需相关人员、各类车辆、各类工具和各类耗材仪表等均自行解决，如遇意外人身事故、设备事故、交通违章等状况，均自行承担相应的责任。</w:t>
      </w:r>
    </w:p>
    <w:p w14:paraId="0A9253FC">
      <w:pPr>
        <w:spacing w:line="360" w:lineRule="auto"/>
        <w:rPr>
          <w:rFonts w:ascii="宋体" w:hAnsi="宋体" w:cs="宋体"/>
          <w:color w:val="auto"/>
          <w:sz w:val="24"/>
          <w:highlight w:val="white"/>
        </w:rPr>
      </w:pPr>
      <w:r>
        <w:rPr>
          <w:rFonts w:hint="eastAsia" w:ascii="宋体" w:hAnsi="宋体" w:cs="宋体"/>
          <w:color w:val="auto"/>
          <w:sz w:val="24"/>
          <w:highlight w:val="white"/>
        </w:rPr>
        <w:t>6、中标人须提供全方位的、优质的、高效的质量保证体系，以及技术支持和售后服务。为采购人提供技术支持，其中包括系统维护、跟踪检测，保证产品的正常运行。</w:t>
      </w:r>
    </w:p>
    <w:p w14:paraId="7037D452">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（三）投标文件要求：</w:t>
      </w:r>
    </w:p>
    <w:p w14:paraId="724F979C">
      <w:pPr>
        <w:spacing w:line="360" w:lineRule="auto"/>
        <w:rPr>
          <w:rFonts w:ascii="宋体" w:hAnsi="宋体" w:cs="宋体"/>
          <w:color w:val="auto"/>
          <w:sz w:val="24"/>
          <w:highlight w:val="white"/>
        </w:rPr>
      </w:pPr>
      <w:r>
        <w:rPr>
          <w:rFonts w:hint="eastAsia" w:ascii="宋体" w:hAnsi="宋体" w:cs="宋体"/>
          <w:color w:val="auto"/>
          <w:sz w:val="24"/>
          <w:highlight w:val="white"/>
        </w:rPr>
        <w:t>1、投标文件中提供《售后维保服务方案》文件。</w:t>
      </w:r>
    </w:p>
    <w:p w14:paraId="0BB38704">
      <w:pPr>
        <w:spacing w:line="360" w:lineRule="auto"/>
        <w:rPr>
          <w:rFonts w:ascii="宋体" w:hAnsi="宋体" w:cs="宋体"/>
          <w:color w:val="auto"/>
          <w:sz w:val="24"/>
          <w:highlight w:val="white"/>
        </w:rPr>
      </w:pPr>
      <w:r>
        <w:rPr>
          <w:rFonts w:hint="eastAsia" w:ascii="宋体" w:hAnsi="宋体" w:cs="宋体"/>
          <w:color w:val="auto"/>
          <w:sz w:val="24"/>
          <w:highlight w:val="white"/>
        </w:rPr>
        <w:t>2、《售后维保服务方案》包括以下内容：</w:t>
      </w:r>
    </w:p>
    <w:p w14:paraId="2E61F0F6">
      <w:pPr>
        <w:spacing w:line="360" w:lineRule="auto"/>
        <w:rPr>
          <w:rFonts w:ascii="宋体" w:hAnsi="宋体" w:cs="宋体"/>
          <w:color w:val="auto"/>
          <w:sz w:val="24"/>
          <w:highlight w:val="white"/>
        </w:rPr>
      </w:pPr>
      <w:r>
        <w:rPr>
          <w:rFonts w:hint="eastAsia" w:ascii="宋体" w:hAnsi="宋体" w:cs="宋体"/>
          <w:color w:val="auto"/>
          <w:sz w:val="24"/>
          <w:highlight w:val="white"/>
        </w:rPr>
        <w:t>2.1</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质保期；</w:t>
      </w:r>
    </w:p>
    <w:p w14:paraId="64CEC4C4">
      <w:pPr>
        <w:spacing w:line="360" w:lineRule="auto"/>
        <w:rPr>
          <w:rFonts w:ascii="宋体" w:hAnsi="宋体" w:cs="宋体"/>
          <w:color w:val="auto"/>
          <w:sz w:val="24"/>
          <w:highlight w:val="white"/>
        </w:rPr>
      </w:pPr>
      <w:r>
        <w:rPr>
          <w:rFonts w:hint="eastAsia" w:ascii="宋体" w:hAnsi="宋体" w:cs="宋体"/>
          <w:color w:val="auto"/>
          <w:sz w:val="24"/>
          <w:highlight w:val="white"/>
        </w:rPr>
        <w:t>2.2</w:t>
      </w:r>
      <w:r>
        <w:rPr>
          <w:rFonts w:hint="eastAsia" w:ascii="宋体" w:hAnsi="宋体" w:cs="宋体"/>
          <w:color w:val="auto"/>
          <w:sz w:val="24"/>
          <w:highlight w:val="white"/>
          <w:lang w:val="en-US" w:eastAsia="zh-CN"/>
        </w:rPr>
        <w:t xml:space="preserve"> </w:t>
      </w:r>
      <w:r>
        <w:rPr>
          <w:rFonts w:hint="eastAsia" w:ascii="宋体" w:hAnsi="宋体" w:cs="宋体"/>
          <w:color w:val="auto"/>
          <w:sz w:val="24"/>
          <w:highlight w:val="white"/>
        </w:rPr>
        <w:t>售后维保服务具体方案。</w:t>
      </w:r>
    </w:p>
    <w:p w14:paraId="1509ED9E">
      <w:pPr>
        <w:spacing w:line="360" w:lineRule="auto"/>
        <w:rPr>
          <w:rFonts w:ascii="宋体" w:hAnsi="宋体" w:cs="宋体"/>
          <w:b/>
          <w:bCs/>
          <w:color w:val="auto"/>
          <w:sz w:val="28"/>
          <w:szCs w:val="28"/>
          <w:highlight w:val="white"/>
        </w:rPr>
      </w:pPr>
      <w:r>
        <w:rPr>
          <w:rFonts w:hint="eastAsia" w:ascii="宋体" w:hAnsi="宋体" w:cs="宋体"/>
          <w:b/>
          <w:bCs/>
          <w:color w:val="auto"/>
          <w:sz w:val="28"/>
          <w:szCs w:val="28"/>
          <w:highlight w:val="white"/>
        </w:rPr>
        <w:t>七、技术培训要求：</w:t>
      </w:r>
    </w:p>
    <w:p w14:paraId="174F4269">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（一）技术培训具体要求：</w:t>
      </w:r>
    </w:p>
    <w:p w14:paraId="6F8A4EDB">
      <w:pPr>
        <w:spacing w:line="360" w:lineRule="auto"/>
        <w:rPr>
          <w:rFonts w:ascii="宋体" w:hAnsi="宋体" w:cs="宋体"/>
          <w:color w:val="auto"/>
          <w:sz w:val="24"/>
          <w:highlight w:val="white"/>
        </w:rPr>
      </w:pPr>
      <w:r>
        <w:rPr>
          <w:rFonts w:hint="eastAsia" w:ascii="宋体" w:hAnsi="宋体" w:cs="宋体"/>
          <w:color w:val="auto"/>
          <w:sz w:val="24"/>
          <w:highlight w:val="white"/>
        </w:rPr>
        <w:t>1、培训对象要求: 设备使用人员；</w:t>
      </w:r>
    </w:p>
    <w:p w14:paraId="729DBCE7">
      <w:pPr>
        <w:spacing w:line="360" w:lineRule="auto"/>
        <w:rPr>
          <w:rFonts w:ascii="宋体" w:hAnsi="宋体" w:cs="宋体"/>
          <w:color w:val="auto"/>
          <w:sz w:val="24"/>
          <w:highlight w:val="white"/>
        </w:rPr>
      </w:pPr>
      <w:r>
        <w:rPr>
          <w:rFonts w:hint="eastAsia" w:ascii="宋体" w:hAnsi="宋体" w:cs="宋体"/>
          <w:color w:val="auto"/>
          <w:sz w:val="24"/>
          <w:highlight w:val="white"/>
        </w:rPr>
        <w:t>2、培训时间要求：不低于12个小时；</w:t>
      </w:r>
    </w:p>
    <w:p w14:paraId="623A28B1">
      <w:pPr>
        <w:spacing w:line="360" w:lineRule="auto"/>
        <w:rPr>
          <w:rFonts w:ascii="宋体" w:hAnsi="宋体" w:cs="宋体"/>
          <w:color w:val="auto"/>
          <w:sz w:val="24"/>
          <w:highlight w:val="white"/>
        </w:rPr>
      </w:pPr>
      <w:r>
        <w:rPr>
          <w:rFonts w:hint="eastAsia" w:ascii="宋体" w:hAnsi="宋体" w:cs="宋体"/>
          <w:color w:val="auto"/>
          <w:sz w:val="24"/>
          <w:highlight w:val="white"/>
        </w:rPr>
        <w:t>3、培训内容要求：设备的架构、原理；设备的操作；设备的日常维护。</w:t>
      </w:r>
    </w:p>
    <w:p w14:paraId="67AC8EDA">
      <w:pPr>
        <w:spacing w:line="360" w:lineRule="auto"/>
        <w:rPr>
          <w:rFonts w:ascii="宋体" w:hAnsi="宋体" w:cs="宋体"/>
          <w:b/>
          <w:bCs/>
          <w:color w:val="auto"/>
          <w:sz w:val="24"/>
          <w:highlight w:val="white"/>
        </w:rPr>
      </w:pPr>
      <w:r>
        <w:rPr>
          <w:rFonts w:hint="eastAsia" w:ascii="宋体" w:hAnsi="宋体" w:cs="宋体"/>
          <w:b/>
          <w:bCs/>
          <w:color w:val="auto"/>
          <w:sz w:val="24"/>
          <w:highlight w:val="white"/>
        </w:rPr>
        <w:t>（二）投标文件要求：</w:t>
      </w:r>
    </w:p>
    <w:p w14:paraId="5A467A2C">
      <w:pPr>
        <w:spacing w:line="360" w:lineRule="auto"/>
        <w:rPr>
          <w:rFonts w:ascii="宋体" w:hAnsi="宋体" w:cs="宋体"/>
          <w:color w:val="auto"/>
          <w:sz w:val="24"/>
          <w:highlight w:val="white"/>
        </w:rPr>
      </w:pPr>
      <w:r>
        <w:rPr>
          <w:rFonts w:hint="eastAsia" w:ascii="宋体" w:hAnsi="宋体" w:cs="宋体"/>
          <w:color w:val="auto"/>
          <w:sz w:val="24"/>
          <w:highlight w:val="white"/>
        </w:rPr>
        <w:t>1、投标文件中提供《技术培训方案》文件；</w:t>
      </w:r>
    </w:p>
    <w:p w14:paraId="28A61086">
      <w:pPr>
        <w:spacing w:line="360" w:lineRule="auto"/>
        <w:rPr>
          <w:rFonts w:ascii="宋体" w:hAnsi="宋体" w:cs="宋体"/>
          <w:color w:val="auto"/>
          <w:sz w:val="24"/>
          <w:highlight w:val="white"/>
        </w:rPr>
      </w:pPr>
      <w:r>
        <w:rPr>
          <w:rFonts w:hint="eastAsia" w:ascii="宋体" w:hAnsi="宋体" w:cs="宋体"/>
          <w:color w:val="auto"/>
          <w:sz w:val="24"/>
          <w:highlight w:val="white"/>
        </w:rPr>
        <w:t>2、《技术培训方案》文件包含但不限于“（一）技术培训具体要求”的全部内容。</w:t>
      </w:r>
    </w:p>
    <w:p w14:paraId="79F7758B">
      <w:pPr>
        <w:spacing w:line="360" w:lineRule="auto"/>
        <w:rPr>
          <w:rFonts w:ascii="宋体" w:hAnsi="宋体" w:cs="宋体"/>
          <w:b/>
          <w:bCs/>
          <w:color w:val="auto"/>
          <w:sz w:val="28"/>
          <w:szCs w:val="28"/>
          <w:highlight w:val="white"/>
        </w:rPr>
      </w:pPr>
      <w:r>
        <w:rPr>
          <w:rFonts w:hint="eastAsia" w:ascii="宋体" w:hAnsi="宋体" w:cs="宋体"/>
          <w:b/>
          <w:bCs/>
          <w:color w:val="auto"/>
          <w:sz w:val="28"/>
          <w:szCs w:val="28"/>
          <w:highlight w:val="white"/>
        </w:rPr>
        <w:t>八、验收标准要求</w:t>
      </w:r>
    </w:p>
    <w:p w14:paraId="081FF018">
      <w:r>
        <w:rPr>
          <w:rFonts w:hint="eastAsia" w:ascii="宋体" w:hAnsi="宋体" w:cs="宋体"/>
          <w:color w:val="auto"/>
          <w:sz w:val="24"/>
          <w:highlight w:val="white"/>
        </w:rPr>
        <w:t>以投标人的投标文件和投标人的澄清、说明或者更正为验收标准；投标人的投标文件和供应商的澄清、说明或者更正不明确的，以《招标文件》相关要求为验收标准；投标人的投标文件和投标人的澄清、说明或者更正和相关要求都不明确的，按国家相关标准；以上都不明确的，以通常标准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0"/>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90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customStyle="1" w:styleId="5">
    <w:name w:val="文本块11"/>
    <w:basedOn w:val="6"/>
    <w:qFormat/>
    <w:uiPriority w:val="6"/>
    <w:pPr>
      <w:ind w:left="256" w:right="6" w:firstLine="624"/>
    </w:pPr>
    <w:rPr>
      <w:rFonts w:eastAsia="仿宋"/>
      <w:sz w:val="28"/>
      <w:szCs w:val="20"/>
    </w:rPr>
  </w:style>
  <w:style w:type="paragraph" w:customStyle="1" w:styleId="6">
    <w:name w:val="正文12"/>
    <w:next w:val="5"/>
    <w:qFormat/>
    <w:uiPriority w:val="0"/>
    <w:pPr>
      <w:widowControl w:val="0"/>
      <w:jc w:val="both"/>
    </w:pPr>
    <w:rPr>
      <w:rFonts w:hint="default" w:ascii="Calibri" w:hAnsi="Calibri" w:eastAsia="宋体" w:cs="Times New Roman"/>
      <w:sz w:val="21"/>
      <w:szCs w:val="24"/>
      <w:lang w:val="en-US" w:eastAsia="zh-CN" w:bidi="ar-SA"/>
    </w:rPr>
  </w:style>
  <w:style w:type="paragraph" w:customStyle="1" w:styleId="7">
    <w:name w:val="标题 21"/>
    <w:basedOn w:val="1"/>
    <w:next w:val="1"/>
    <w:qFormat/>
    <w:uiPriority w:val="0"/>
    <w:pPr>
      <w:keepNext/>
      <w:keepLines/>
      <w:tabs>
        <w:tab w:val="left" w:pos="0"/>
      </w:tabs>
      <w:spacing w:before="50"/>
      <w:jc w:val="left"/>
    </w:pPr>
    <w:rPr>
      <w:rFonts w:ascii="Arial" w:hAnsi="Arial" w:eastAsia="黑体"/>
      <w:sz w:val="32"/>
      <w:szCs w:val="20"/>
    </w:rPr>
  </w:style>
  <w:style w:type="character" w:customStyle="1" w:styleId="8">
    <w:name w:val="NormalCharacter1"/>
    <w:semiHidden/>
    <w:qFormat/>
    <w:uiPriority w:val="0"/>
    <w:rPr>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Sourire</cp:lastModifiedBy>
  <dcterms:modified xsi:type="dcterms:W3CDTF">2025-11-06T05:52:51Z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eyJoZGlkIjoiZjhlNWFlYjFlMDNjMjljNTk0NzgxNjk0MGI1NTQ4ZjAiLCJ1c2VySWQiOiIzMDM4NTU2ODgifQ==</vt:lpwstr>
  </property>
  <property fmtid="{D5CDD505-2E9C-101B-9397-08002B2CF9AE}" pid="4" name="ICV">
    <vt:lpwstr>549C9C9CE937491B853832BD7A581B7D_12</vt:lpwstr>
  </property>
</Properties>
</file>