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int="eastAsia" w:ascii="宋体" w:hAnsi="宋体" w:eastAsia="宋体" w:cs="宋体"/>
          <w:color w:val="auto"/>
        </w:rPr>
      </w:pPr>
      <w:bookmarkStart w:id="1" w:name="_GoBack"/>
      <w:bookmarkEnd w:id="1"/>
      <w:r>
        <w:rPr>
          <w:rFonts w:hint="eastAsia" w:ascii="宋体" w:hAnsi="宋体" w:eastAsia="宋体" w:cs="宋体"/>
          <w:b/>
          <w:bCs/>
          <w:color w:val="auto"/>
          <w:sz w:val="30"/>
          <w:szCs w:val="44"/>
        </w:rPr>
        <w:t>第六章  采购需求</w:t>
      </w:r>
    </w:p>
    <w:p>
      <w:pPr>
        <w:keepNext w:val="0"/>
        <w:keepLines w:val="0"/>
        <w:pageBreakBefore w:val="0"/>
        <w:widowControl w:val="0"/>
        <w:spacing w:line="440" w:lineRule="exact"/>
        <w:ind w:firstLine="561"/>
        <w:outlineLvl w:val="9"/>
        <w:rPr>
          <w:rFonts w:hint="eastAsia" w:ascii="宋体" w:hAnsi="宋体" w:cs="宋体"/>
          <w:b/>
          <w:bCs/>
          <w:color w:val="auto"/>
          <w:sz w:val="28"/>
          <w:szCs w:val="28"/>
        </w:rPr>
      </w:pPr>
      <w:r>
        <w:rPr>
          <w:rFonts w:hint="eastAsia" w:ascii="宋体" w:hAnsi="宋体" w:cs="宋体"/>
          <w:b/>
          <w:bCs/>
          <w:color w:val="auto"/>
          <w:sz w:val="28"/>
          <w:szCs w:val="28"/>
        </w:rPr>
        <w:t>一、本项目不接受超过325.85万元人民币（采购项目预算金额）的投标报价。</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2"/>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lang w:eastAsia="zh-CN"/>
        </w:rPr>
        <w:t>、项目说明</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lang w:val="en-US" w:eastAsia="zh-CN"/>
        </w:rPr>
      </w:pPr>
      <w:r>
        <w:rPr>
          <w:rFonts w:hint="eastAsia" w:ascii="宋体" w:hAnsi="宋体" w:cs="宋体"/>
          <w:b w:val="0"/>
          <w:bCs/>
          <w:color w:val="auto"/>
          <w:sz w:val="28"/>
          <w:szCs w:val="28"/>
          <w:lang w:eastAsia="zh-CN"/>
        </w:rPr>
        <w:t>（</w:t>
      </w:r>
      <w:r>
        <w:rPr>
          <w:rFonts w:hint="eastAsia" w:ascii="宋体" w:hAnsi="宋体" w:cs="宋体"/>
          <w:b w:val="0"/>
          <w:bCs/>
          <w:color w:val="auto"/>
          <w:sz w:val="28"/>
          <w:szCs w:val="28"/>
          <w:lang w:val="en-US" w:eastAsia="zh-CN"/>
        </w:rPr>
        <w:t>一</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lang w:eastAsia="zh-CN"/>
        </w:rPr>
        <w:t>采购人：徐州市</w:t>
      </w:r>
      <w:r>
        <w:rPr>
          <w:rFonts w:hint="eastAsia" w:ascii="宋体" w:hAnsi="宋体" w:eastAsia="宋体" w:cs="宋体"/>
          <w:b w:val="0"/>
          <w:bCs/>
          <w:color w:val="auto"/>
          <w:sz w:val="28"/>
          <w:szCs w:val="28"/>
          <w:lang w:val="en-US" w:eastAsia="zh-CN"/>
        </w:rPr>
        <w:t>云龙区房产服务中心</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lang w:val="en-US" w:eastAsia="zh-CN"/>
        </w:rPr>
      </w:pPr>
      <w:r>
        <w:rPr>
          <w:rFonts w:hint="eastAsia" w:ascii="宋体" w:hAnsi="宋体" w:cs="宋体"/>
          <w:b w:val="0"/>
          <w:bCs/>
          <w:color w:val="auto"/>
          <w:sz w:val="28"/>
          <w:szCs w:val="28"/>
          <w:lang w:eastAsia="zh-CN"/>
        </w:rPr>
        <w:t>（</w:t>
      </w:r>
      <w:r>
        <w:rPr>
          <w:rFonts w:hint="eastAsia" w:ascii="宋体" w:hAnsi="宋体" w:cs="宋体"/>
          <w:b w:val="0"/>
          <w:bCs/>
          <w:color w:val="auto"/>
          <w:sz w:val="28"/>
          <w:szCs w:val="28"/>
          <w:lang w:val="en-US" w:eastAsia="zh-CN"/>
        </w:rPr>
        <w:t>二</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lang w:eastAsia="zh-CN"/>
        </w:rPr>
        <w:t>项目名称：</w:t>
      </w:r>
      <w:r>
        <w:rPr>
          <w:rFonts w:hint="eastAsia" w:ascii="宋体" w:hAnsi="宋体" w:eastAsia="宋体" w:cs="宋体"/>
          <w:b w:val="0"/>
          <w:bCs/>
          <w:color w:val="auto"/>
          <w:sz w:val="28"/>
          <w:szCs w:val="28"/>
          <w:lang w:val="en-US" w:eastAsia="zh-CN"/>
        </w:rPr>
        <w:t>购买云龙区老旧房屋安全保险服务</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lang w:eastAsia="zh-CN"/>
        </w:rPr>
        <w:t>（</w:t>
      </w:r>
      <w:r>
        <w:rPr>
          <w:rFonts w:hint="eastAsia" w:ascii="宋体" w:hAnsi="宋体" w:cs="宋体"/>
          <w:b w:val="0"/>
          <w:bCs/>
          <w:color w:val="auto"/>
          <w:sz w:val="28"/>
          <w:szCs w:val="28"/>
          <w:lang w:val="en-US" w:eastAsia="zh-CN"/>
        </w:rPr>
        <w:t>三</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lang w:eastAsia="zh-CN"/>
        </w:rPr>
        <w:t>采购标的：</w:t>
      </w:r>
      <w:r>
        <w:rPr>
          <w:rFonts w:hint="eastAsia" w:ascii="宋体" w:hAnsi="宋体" w:eastAsia="宋体" w:cs="宋体"/>
          <w:b w:val="0"/>
          <w:bCs/>
          <w:color w:val="auto"/>
          <w:sz w:val="28"/>
          <w:szCs w:val="28"/>
          <w:lang w:val="en-US" w:eastAsia="zh-CN"/>
        </w:rPr>
        <w:t>云龙区行政辖区内建造于2002年之前多业主住宅全部投保老旧房屋的安全保险(整体约1190幢，建筑面积约425万平方米,最终参保数量</w:t>
      </w:r>
      <w:r>
        <w:rPr>
          <w:rFonts w:hint="eastAsia" w:ascii="宋体" w:hAnsi="宋体" w:eastAsia="宋体" w:cs="宋体"/>
          <w:b w:val="0"/>
          <w:bCs/>
          <w:color w:val="auto"/>
          <w:sz w:val="28"/>
          <w:szCs w:val="28"/>
          <w:highlight w:val="none"/>
          <w:lang w:val="en-US" w:eastAsia="zh-CN"/>
        </w:rPr>
        <w:t>以投保人向保险人提交的投保清单为准）。</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eastAsia="zh-CN"/>
        </w:rPr>
      </w:pPr>
      <w:r>
        <w:rPr>
          <w:rFonts w:hint="eastAsia" w:ascii="宋体" w:hAnsi="宋体" w:cs="宋体"/>
          <w:b w:val="0"/>
          <w:bCs/>
          <w:color w:val="auto"/>
          <w:sz w:val="28"/>
          <w:szCs w:val="28"/>
          <w:highlight w:val="none"/>
          <w:lang w:val="en-US" w:eastAsia="zh-CN"/>
        </w:rPr>
        <w:t>（四）</w:t>
      </w:r>
      <w:r>
        <w:rPr>
          <w:rFonts w:hint="eastAsia" w:ascii="宋体" w:hAnsi="宋体" w:eastAsia="宋体" w:cs="宋体"/>
          <w:b w:val="0"/>
          <w:bCs/>
          <w:color w:val="auto"/>
          <w:sz w:val="28"/>
          <w:szCs w:val="28"/>
          <w:highlight w:val="none"/>
          <w:lang w:val="en-US" w:eastAsia="zh-CN"/>
        </w:rPr>
        <w:t>本项目</w:t>
      </w:r>
      <w:r>
        <w:rPr>
          <w:rFonts w:hint="eastAsia" w:ascii="宋体" w:hAnsi="宋体" w:cs="宋体"/>
          <w:b w:val="0"/>
          <w:bCs/>
          <w:color w:val="auto"/>
          <w:sz w:val="28"/>
          <w:szCs w:val="28"/>
          <w:highlight w:val="none"/>
          <w:lang w:val="en-US" w:eastAsia="zh-CN"/>
        </w:rPr>
        <w:t>不</w:t>
      </w:r>
      <w:r>
        <w:rPr>
          <w:rFonts w:hint="eastAsia" w:ascii="宋体" w:hAnsi="宋体" w:eastAsia="宋体" w:cs="宋体"/>
          <w:b w:val="0"/>
          <w:bCs/>
          <w:color w:val="auto"/>
          <w:sz w:val="28"/>
          <w:szCs w:val="28"/>
          <w:highlight w:val="none"/>
          <w:lang w:val="en-US" w:eastAsia="zh-CN"/>
        </w:rPr>
        <w:t>属于专门面向中小微企业采购的项目。</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购买云龙区老旧房屋安全保险服务对应的中小企业划分标准所属行业（其他未列明）。</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（五）</w:t>
      </w:r>
      <w:r>
        <w:rPr>
          <w:rFonts w:hint="eastAsia" w:ascii="宋体" w:hAnsi="宋体" w:eastAsia="宋体" w:cs="宋体"/>
          <w:b w:val="0"/>
          <w:bCs/>
          <w:color w:val="auto"/>
          <w:sz w:val="28"/>
          <w:szCs w:val="28"/>
          <w:highlight w:val="none"/>
          <w:lang w:val="en-US" w:eastAsia="zh-CN"/>
        </w:rPr>
        <w:t>评审委员会启动异常低价投标审查的情形和具体要求包括：</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1.评审过程中出现下列情形之一的，评审委员会应当启动异常低价投标审查程序：</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①投标报价低于采购项目预算50%的，即投标报价&lt;采购项目预算×50%</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②投标(响应)报价低于采购项目最高限价45%的，即投标(响应)报价&lt;采购项目最高限价×45%;</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③评审委员会认定的供应商报价过低、有可能影响产品质量或者不能诚信履约的其他情形。</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启动异常低价投标审查后，评审委员会应当通过“苏采云”系统要求相关投标人在合理的时间内，提供项目具体成本测算等与报价合理性相关的书面说明及相关证明材料，对投标价格作出解释，由评审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审委员会应当将其作为无效投标处理。审查相关情况应当在评标报告中进行记录。</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2"/>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、项目概述</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lang w:val="en-US" w:eastAsia="zh-CN"/>
        </w:rPr>
        <w:t>进一步加强徐州市房屋安全和使用管理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贯彻落实住建部关于开展房屋养老金试点工作的创新部署，</w:t>
      </w:r>
      <w:r>
        <w:rPr>
          <w:rFonts w:hint="eastAsia" w:ascii="宋体" w:hAnsi="宋体" w:eastAsia="宋体" w:cs="宋体"/>
          <w:color w:val="auto"/>
          <w:sz w:val="28"/>
          <w:szCs w:val="28"/>
          <w:highlight w:val="none"/>
        </w:rPr>
        <w:t>推动房屋安全保险制度试点工作有序进行，</w:t>
      </w:r>
      <w:r>
        <w:rPr>
          <w:rFonts w:hint="eastAsia" w:ascii="宋体" w:hAnsi="宋体" w:eastAsia="宋体" w:cs="宋体"/>
          <w:color w:val="auto"/>
          <w:sz w:val="28"/>
          <w:szCs w:val="28"/>
          <w:highlight w:val="none"/>
          <w:lang w:val="en-US" w:eastAsia="zh-CN"/>
        </w:rPr>
        <w:t>现对</w:t>
      </w:r>
      <w:r>
        <w:rPr>
          <w:rFonts w:hint="eastAsia" w:ascii="宋体" w:hAnsi="宋体" w:eastAsia="宋体" w:cs="宋体"/>
          <w:b w:val="0"/>
          <w:bCs/>
          <w:color w:val="auto"/>
          <w:sz w:val="28"/>
          <w:szCs w:val="28"/>
          <w:highlight w:val="none"/>
          <w:lang w:val="en-US" w:eastAsia="zh-CN"/>
        </w:rPr>
        <w:t>云龙区行政辖区内建造于2002年之前多业主住宅全部投保老旧房屋安全保险进行招标采购(整体约</w:t>
      </w:r>
      <w:r>
        <w:rPr>
          <w:rFonts w:hint="eastAsia" w:ascii="宋体" w:hAnsi="宋体" w:cs="宋体"/>
          <w:b w:val="0"/>
          <w:bCs/>
          <w:color w:val="auto"/>
          <w:sz w:val="28"/>
          <w:szCs w:val="28"/>
          <w:highlight w:val="none"/>
          <w:lang w:val="en-US" w:eastAsia="zh-CN"/>
        </w:rPr>
        <w:t>1190</w:t>
      </w:r>
      <w:r>
        <w:rPr>
          <w:rFonts w:hint="eastAsia" w:ascii="宋体" w:hAnsi="宋体" w:eastAsia="宋体" w:cs="宋体"/>
          <w:b w:val="0"/>
          <w:bCs/>
          <w:color w:val="auto"/>
          <w:sz w:val="28"/>
          <w:szCs w:val="28"/>
          <w:highlight w:val="none"/>
          <w:lang w:val="en-US" w:eastAsia="zh-CN"/>
        </w:rPr>
        <w:t>幢，建筑面积约4</w:t>
      </w:r>
      <w:r>
        <w:rPr>
          <w:rFonts w:hint="eastAsia" w:ascii="宋体" w:hAnsi="宋体" w:cs="宋体"/>
          <w:b w:val="0"/>
          <w:bCs/>
          <w:color w:val="auto"/>
          <w:sz w:val="28"/>
          <w:szCs w:val="28"/>
          <w:highlight w:val="none"/>
          <w:lang w:val="en-US" w:eastAsia="zh-CN"/>
        </w:rPr>
        <w:t>25</w:t>
      </w:r>
      <w:r>
        <w:rPr>
          <w:rFonts w:hint="eastAsia" w:ascii="宋体" w:hAnsi="宋体" w:eastAsia="宋体" w:cs="宋体"/>
          <w:b w:val="0"/>
          <w:bCs/>
          <w:color w:val="auto"/>
          <w:sz w:val="28"/>
          <w:szCs w:val="28"/>
          <w:highlight w:val="none"/>
          <w:lang w:val="en-US" w:eastAsia="zh-CN"/>
        </w:rPr>
        <w:t>万平方米</w:t>
      </w:r>
      <w:r>
        <w:rPr>
          <w:rFonts w:hint="eastAsia" w:ascii="宋体" w:hAnsi="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lang w:val="en-US" w:eastAsia="zh-CN"/>
        </w:rPr>
        <w:t>最终参保数量以投保人向保险人提交的投保清单为准）。</w:t>
      </w:r>
    </w:p>
    <w:p>
      <w:pPr>
        <w:keepNext w:val="0"/>
        <w:keepLines w:val="0"/>
        <w:pageBreakBefore w:val="0"/>
        <w:widowControl w:val="0"/>
        <w:spacing w:line="440" w:lineRule="exact"/>
        <w:ind w:firstLine="56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四、参保方式</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徐州市云龙区房产服务中心作为投保人，将云龙区行政辖区城镇开发边界内2002年以前建造的多业主住宅作为保险标的</w:t>
      </w:r>
      <w:r>
        <w:rPr>
          <w:rFonts w:hint="eastAsia" w:ascii="宋体" w:hAnsi="宋体" w:eastAsia="宋体" w:cs="宋体"/>
          <w:b w:val="0"/>
          <w:bCs/>
          <w:color w:val="auto"/>
          <w:sz w:val="28"/>
          <w:szCs w:val="28"/>
          <w:highlight w:val="none"/>
          <w:lang w:val="en-US" w:eastAsia="zh-CN"/>
        </w:rPr>
        <w:t>(最终参保数量以投保人向保险人提交的投保清单为准）</w:t>
      </w:r>
      <w:r>
        <w:rPr>
          <w:rFonts w:hint="eastAsia" w:ascii="宋体" w:hAnsi="宋体" w:eastAsia="宋体" w:cs="宋体"/>
          <w:color w:val="auto"/>
          <w:sz w:val="28"/>
          <w:szCs w:val="28"/>
          <w:highlight w:val="none"/>
          <w:lang w:val="en-US" w:eastAsia="zh-CN"/>
        </w:rPr>
        <w:t>进行</w:t>
      </w:r>
      <w:r>
        <w:rPr>
          <w:rFonts w:hint="eastAsia" w:ascii="宋体" w:hAnsi="宋体" w:eastAsia="宋体" w:cs="宋体"/>
          <w:color w:val="auto"/>
          <w:sz w:val="28"/>
          <w:szCs w:val="28"/>
          <w:highlight w:val="none"/>
        </w:rPr>
        <w:t>统一投保，通过公开招标</w:t>
      </w:r>
      <w:r>
        <w:rPr>
          <w:rFonts w:hint="eastAsia" w:ascii="宋体" w:hAnsi="宋体" w:eastAsia="宋体" w:cs="宋体"/>
          <w:color w:val="auto"/>
          <w:sz w:val="28"/>
          <w:szCs w:val="28"/>
          <w:highlight w:val="none"/>
          <w:lang w:eastAsia="zh-CN"/>
        </w:rPr>
        <w:t>的方式</w:t>
      </w:r>
      <w:r>
        <w:rPr>
          <w:rFonts w:hint="eastAsia" w:ascii="宋体" w:hAnsi="宋体" w:eastAsia="宋体" w:cs="宋体"/>
          <w:color w:val="auto"/>
          <w:sz w:val="28"/>
          <w:szCs w:val="28"/>
          <w:highlight w:val="none"/>
          <w:lang w:val="en-US" w:eastAsia="zh-CN"/>
        </w:rPr>
        <w:t>选择1家保险公司作为本项目的独家承保机构。</w:t>
      </w:r>
      <w:r>
        <w:rPr>
          <w:rFonts w:hint="eastAsia" w:ascii="宋体" w:hAnsi="宋体" w:eastAsia="宋体" w:cs="宋体"/>
          <w:color w:val="auto"/>
          <w:sz w:val="28"/>
          <w:szCs w:val="28"/>
          <w:highlight w:val="none"/>
          <w:lang w:eastAsia="zh-CN"/>
        </w:rPr>
        <w:t>本项目</w:t>
      </w:r>
      <w:r>
        <w:rPr>
          <w:rFonts w:hint="eastAsia" w:ascii="宋体" w:hAnsi="宋体" w:eastAsia="宋体" w:cs="宋体"/>
          <w:color w:val="auto"/>
          <w:sz w:val="28"/>
          <w:szCs w:val="28"/>
          <w:highlight w:val="none"/>
          <w:lang w:val="en-US" w:eastAsia="zh-CN"/>
        </w:rPr>
        <w:t>保险期限一年</w:t>
      </w:r>
      <w:r>
        <w:rPr>
          <w:rFonts w:hint="eastAsia" w:ascii="宋体" w:hAnsi="宋体" w:eastAsia="宋体" w:cs="宋体"/>
          <w:color w:val="auto"/>
          <w:sz w:val="28"/>
          <w:szCs w:val="28"/>
          <w:highlight w:val="none"/>
        </w:rPr>
        <w:t>。</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中标保险机构应在投保人指定时限内完成承保及保险单的出具工作，并开展相关保险服务。保险合同生效后，采购人在财政资金到位后一次性足额支付。</w:t>
      </w:r>
    </w:p>
    <w:p>
      <w:pPr>
        <w:keepNext w:val="0"/>
        <w:keepLines w:val="0"/>
        <w:pageBreakBefore w:val="0"/>
        <w:widowControl w:val="0"/>
        <w:spacing w:line="440" w:lineRule="exact"/>
        <w:ind w:firstLine="562"/>
        <w:rPr>
          <w:rFonts w:hint="eastAsia" w:ascii="宋体" w:hAnsi="宋体" w:eastAsia="宋体" w:cs="宋体"/>
          <w:b/>
          <w:color w:val="auto"/>
          <w:sz w:val="28"/>
          <w:szCs w:val="28"/>
          <w:highlight w:val="none"/>
          <w:lang w:val="en-US" w:eastAsia="zh-CN"/>
        </w:rPr>
      </w:pPr>
      <w:bookmarkStart w:id="0" w:name="六、项目要求（一）服务要求"/>
      <w:bookmarkEnd w:id="0"/>
      <w:r>
        <w:rPr>
          <w:rFonts w:hint="eastAsia" w:ascii="宋体" w:hAnsi="宋体" w:eastAsia="宋体" w:cs="宋体"/>
          <w:b/>
          <w:color w:val="auto"/>
          <w:sz w:val="28"/>
          <w:szCs w:val="28"/>
          <w:highlight w:val="none"/>
          <w:lang w:val="en-US" w:eastAsia="zh-CN"/>
        </w:rPr>
        <w:t>五、项目要求</w:t>
      </w:r>
    </w:p>
    <w:p>
      <w:pPr>
        <w:pStyle w:val="11"/>
        <w:keepNext w:val="0"/>
        <w:keepLines w:val="0"/>
        <w:pageBreakBefore w:val="0"/>
        <w:widowControl w:val="0"/>
        <w:numPr>
          <w:ilvl w:val="0"/>
          <w:numId w:val="0"/>
        </w:numPr>
        <w:spacing w:after="0"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（一）保险模式</w:t>
      </w:r>
    </w:p>
    <w:p>
      <w:pPr>
        <w:pStyle w:val="11"/>
        <w:keepNext w:val="0"/>
        <w:keepLines w:val="0"/>
        <w:pageBreakBefore w:val="0"/>
        <w:widowControl w:val="0"/>
        <w:numPr>
          <w:ilvl w:val="0"/>
          <w:numId w:val="0"/>
        </w:numPr>
        <w:spacing w:after="0" w:line="44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房屋安全保险采用“保险+服务”模式，由保险公司提供兜底保障和房屋安全动态监测服务，监测机构受保险公司委托，</w:t>
      </w:r>
      <w:r>
        <w:rPr>
          <w:rFonts w:hint="eastAsia" w:ascii="宋体" w:hAnsi="宋体" w:eastAsia="宋体" w:cs="宋体"/>
          <w:color w:val="auto"/>
          <w:sz w:val="28"/>
          <w:szCs w:val="28"/>
          <w:highlight w:val="none"/>
        </w:rPr>
        <w:t>对于</w:t>
      </w:r>
      <w:r>
        <w:rPr>
          <w:rFonts w:hint="eastAsia" w:ascii="宋体" w:hAnsi="宋体" w:eastAsia="宋体" w:cs="宋体"/>
          <w:color w:val="auto"/>
          <w:sz w:val="28"/>
          <w:szCs w:val="28"/>
          <w:highlight w:val="none"/>
          <w:lang w:val="en-US" w:eastAsia="zh-CN"/>
        </w:rPr>
        <w:t>投保</w:t>
      </w:r>
      <w:r>
        <w:rPr>
          <w:rFonts w:hint="eastAsia" w:ascii="宋体" w:hAnsi="宋体" w:eastAsia="宋体" w:cs="宋体"/>
          <w:color w:val="auto"/>
          <w:sz w:val="28"/>
          <w:szCs w:val="28"/>
          <w:highlight w:val="none"/>
        </w:rPr>
        <w:t>房屋地基基础和主体结构开展日常监测、风险评价和安全预警等工作。</w:t>
      </w:r>
    </w:p>
    <w:p>
      <w:pPr>
        <w:pStyle w:val="10"/>
        <w:keepNext w:val="0"/>
        <w:keepLines w:val="0"/>
        <w:pageBreakBefore w:val="0"/>
        <w:numPr>
          <w:ilvl w:val="0"/>
          <w:numId w:val="1"/>
        </w:numPr>
        <w:spacing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保险服务</w:t>
      </w:r>
    </w:p>
    <w:p>
      <w:pPr>
        <w:pStyle w:val="10"/>
        <w:keepNext w:val="0"/>
        <w:keepLines w:val="0"/>
        <w:pageBreakBefore w:val="0"/>
        <w:numPr>
          <w:ilvl w:val="0"/>
          <w:numId w:val="2"/>
        </w:numPr>
        <w:spacing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保险方案</w:t>
      </w:r>
    </w:p>
    <w:p>
      <w:pPr>
        <w:pStyle w:val="10"/>
        <w:keepNext w:val="0"/>
        <w:keepLines w:val="0"/>
        <w:pageBreakBefore w:val="0"/>
        <w:widowControl w:val="0"/>
        <w:numPr>
          <w:ilvl w:val="0"/>
          <w:numId w:val="0"/>
        </w:numPr>
        <w:spacing w:after="0"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城镇房屋保险由主险及附加险构成，其中主险为房屋倒塌损失保险，附加险包括附加预防处置费用、第三者责任、倒塌临时安置费、撤离临时安置费。</w:t>
      </w:r>
    </w:p>
    <w:tbl>
      <w:tblPr>
        <w:tblStyle w:val="12"/>
        <w:tblpPr w:leftFromText="180" w:rightFromText="180" w:vertAnchor="text" w:horzAnchor="page" w:tblpX="686" w:tblpY="148"/>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455"/>
        <w:gridCol w:w="2280"/>
        <w:gridCol w:w="2173"/>
        <w:gridCol w:w="2537"/>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sz w:val="28"/>
                <w:szCs w:val="28"/>
                <w:highlight w:val="none"/>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sz w:val="28"/>
                <w:szCs w:val="28"/>
                <w:highlight w:val="none"/>
                <w:u w:val="none"/>
                <w:lang w:val="en-US" w:eastAsia="zh-CN" w:bidi="ar"/>
              </w:rPr>
              <w:t>保险项目</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sz w:val="28"/>
                <w:szCs w:val="28"/>
                <w:highlight w:val="none"/>
                <w:u w:val="none"/>
                <w:lang w:val="en-US" w:eastAsia="zh-CN" w:bidi="ar"/>
              </w:rPr>
              <w:t>保险金额</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sz w:val="28"/>
                <w:szCs w:val="28"/>
                <w:highlight w:val="none"/>
                <w:u w:val="none"/>
                <w:lang w:val="en-US" w:eastAsia="zh-CN" w:bidi="ar"/>
              </w:rPr>
              <w:t>保险责任</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sz w:val="28"/>
                <w:szCs w:val="28"/>
                <w:highlight w:val="none"/>
                <w:u w:val="none"/>
                <w:lang w:val="en-US" w:eastAsia="zh-CN" w:bidi="ar"/>
              </w:rPr>
              <w:t>备注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bCs/>
                <w:i w:val="0"/>
                <w:iCs w:val="0"/>
                <w:color w:val="auto"/>
                <w:sz w:val="28"/>
                <w:szCs w:val="28"/>
                <w:highlight w:val="none"/>
                <w:u w:val="none"/>
                <w:lang w:val="en-US" w:eastAsia="zh-CN" w:bidi="ar"/>
              </w:rPr>
            </w:pPr>
            <w:r>
              <w:rPr>
                <w:rFonts w:hint="eastAsia" w:ascii="宋体" w:hAnsi="宋体" w:eastAsia="宋体" w:cs="宋体"/>
                <w:b/>
                <w:bCs/>
                <w:i w:val="0"/>
                <w:iCs w:val="0"/>
                <w:color w:val="auto"/>
                <w:sz w:val="28"/>
                <w:szCs w:val="28"/>
                <w:highlight w:val="none"/>
                <w:u w:val="none"/>
                <w:lang w:val="en-US" w:eastAsia="zh-CN" w:bidi="ar"/>
              </w:rPr>
              <w:t>免赔额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1</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城房倒塌</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2500元/平方米</w:t>
            </w:r>
          </w:p>
        </w:tc>
        <w:tc>
          <w:tcPr>
            <w:tcW w:w="217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房屋全部倒塌</w:t>
            </w:r>
          </w:p>
        </w:tc>
        <w:tc>
          <w:tcPr>
            <w:tcW w:w="2537" w:type="dxa"/>
            <w:vMerge w:val="restart"/>
            <w:tcBorders>
              <w:top w:val="single" w:color="000000" w:sz="4" w:space="0"/>
              <w:left w:val="single" w:color="auto"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b w:val="0"/>
                <w:bCs w:val="0"/>
                <w:i w:val="0"/>
                <w:iCs w:val="0"/>
                <w:color w:val="auto"/>
                <w:sz w:val="28"/>
                <w:szCs w:val="28"/>
                <w:highlight w:val="none"/>
                <w:u w:val="none"/>
                <w:lang w:val="en-US" w:eastAsia="zh-CN" w:bidi="ar"/>
              </w:rPr>
              <w:t>总体约</w:t>
            </w:r>
            <w:r>
              <w:rPr>
                <w:rFonts w:hint="eastAsia" w:ascii="宋体" w:hAnsi="宋体" w:eastAsia="宋体" w:cs="宋体"/>
                <w:color w:val="auto"/>
                <w:sz w:val="28"/>
                <w:szCs w:val="28"/>
                <w:highlight w:val="none"/>
                <w:lang w:val="en-US" w:eastAsia="zh-CN" w:bidi="ar-SA"/>
              </w:rPr>
              <w:t>1064525万</w:t>
            </w:r>
          </w:p>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color w:val="auto"/>
                <w:sz w:val="28"/>
                <w:szCs w:val="28"/>
                <w:highlight w:val="none"/>
                <w:lang w:val="en-US" w:eastAsia="zh-CN" w:bidi="ar-SA"/>
              </w:rPr>
              <w:t>（以实际参保数量为准）</w:t>
            </w:r>
          </w:p>
        </w:tc>
        <w:tc>
          <w:tcPr>
            <w:tcW w:w="1245" w:type="dxa"/>
            <w:vMerge w:val="restart"/>
            <w:tcBorders>
              <w:top w:val="single" w:color="000000" w:sz="4" w:space="0"/>
              <w:left w:val="single" w:color="auto"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lang w:val="en-US" w:eastAsia="zh-CN" w:bidi="ar"/>
              </w:rPr>
            </w:pPr>
            <w:r>
              <w:rPr>
                <w:rFonts w:hint="eastAsia" w:ascii="宋体" w:hAnsi="宋体" w:eastAsia="宋体" w:cs="宋体"/>
                <w:b w:val="0"/>
                <w:bCs w:val="0"/>
                <w:i w:val="0"/>
                <w:iCs w:val="0"/>
                <w:color w:val="auto"/>
                <w:sz w:val="28"/>
                <w:szCs w:val="28"/>
                <w:highlight w:val="none"/>
                <w:u w:val="none"/>
                <w:lang w:val="en-US" w:eastAsia="zh-CN" w:bidi="ar"/>
              </w:rPr>
              <w:t>无免赔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lang w:val="en-US" w:eastAsia="zh-CN" w:bidi="ar"/>
              </w:rPr>
            </w:pPr>
            <w:r>
              <w:rPr>
                <w:rFonts w:hint="eastAsia" w:ascii="宋体" w:hAnsi="宋体" w:eastAsia="宋体" w:cs="宋体"/>
                <w:b w:val="0"/>
                <w:bCs w:val="0"/>
                <w:i w:val="0"/>
                <w:iCs w:val="0"/>
                <w:color w:val="auto"/>
                <w:sz w:val="28"/>
                <w:szCs w:val="28"/>
                <w:highlight w:val="none"/>
                <w:u w:val="none"/>
                <w:lang w:val="en-US" w:eastAsia="zh-CN" w:bidi="ar"/>
              </w:rPr>
              <w:t>2500元/平方米</w:t>
            </w:r>
          </w:p>
        </w:tc>
        <w:tc>
          <w:tcPr>
            <w:tcW w:w="217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附加房屋部分倒塌</w:t>
            </w:r>
          </w:p>
        </w:tc>
        <w:tc>
          <w:tcPr>
            <w:tcW w:w="2537" w:type="dxa"/>
            <w:vMerge w:val="continue"/>
            <w:tcBorders>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p>
        </w:tc>
        <w:tc>
          <w:tcPr>
            <w:tcW w:w="1245" w:type="dxa"/>
            <w:vMerge w:val="continue"/>
            <w:tcBorders>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color w:val="auto"/>
                <w:sz w:val="28"/>
                <w:szCs w:val="28"/>
                <w:highlight w:val="none"/>
                <w:lang w:val="en-US" w:eastAsia="zh-CN" w:bidi="ar-SA"/>
              </w:rPr>
              <w:t>附加预防处置费用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200万</w:t>
            </w:r>
          </w:p>
        </w:tc>
        <w:tc>
          <w:tcPr>
            <w:tcW w:w="217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保险标的危险状况发生</w:t>
            </w:r>
          </w:p>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变化，聘请专业技术部门进行鉴定而支付</w:t>
            </w:r>
          </w:p>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的费用，以及后续处置费用</w:t>
            </w:r>
          </w:p>
        </w:tc>
        <w:tc>
          <w:tcPr>
            <w:tcW w:w="2537"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预防处置费包括房屋鉴定和维修，每次事故责任限额及全年累计事故责任限额200万</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lang w:val="en-US" w:eastAsia="zh-CN" w:bidi="ar"/>
              </w:rPr>
            </w:pPr>
            <w:r>
              <w:rPr>
                <w:rFonts w:hint="eastAsia" w:ascii="宋体" w:hAnsi="宋体" w:eastAsia="宋体" w:cs="宋体"/>
                <w:b w:val="0"/>
                <w:bCs w:val="0"/>
                <w:i w:val="0"/>
                <w:iCs w:val="0"/>
                <w:color w:val="auto"/>
                <w:sz w:val="28"/>
                <w:szCs w:val="28"/>
                <w:highlight w:val="none"/>
                <w:u w:val="none"/>
                <w:lang w:val="en-US" w:eastAsia="zh-CN" w:bidi="ar"/>
              </w:rPr>
              <w:t>无免赔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第三者责任险</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500万</w:t>
            </w:r>
          </w:p>
        </w:tc>
        <w:tc>
          <w:tcPr>
            <w:tcW w:w="217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因房屋倒塌造成居民人身伤亡的损失</w:t>
            </w:r>
          </w:p>
        </w:tc>
        <w:tc>
          <w:tcPr>
            <w:tcW w:w="2537"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全年累计500万，其中每次事故限额200万，包括医疗费100万；每人责任限额30万，包括医疗费10万</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lang w:val="en-US" w:eastAsia="zh-CN" w:bidi="ar"/>
              </w:rPr>
            </w:pPr>
            <w:r>
              <w:rPr>
                <w:rFonts w:hint="eastAsia" w:ascii="宋体" w:hAnsi="宋体" w:eastAsia="宋体" w:cs="宋体"/>
                <w:b w:val="0"/>
                <w:bCs w:val="0"/>
                <w:i w:val="0"/>
                <w:iCs w:val="0"/>
                <w:color w:val="auto"/>
                <w:sz w:val="28"/>
                <w:szCs w:val="28"/>
                <w:highlight w:val="none"/>
                <w:u w:val="none"/>
                <w:lang w:val="en-US" w:eastAsia="zh-CN" w:bidi="ar"/>
              </w:rPr>
              <w:t>无免赔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倒塌临时安置费</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30万</w:t>
            </w:r>
          </w:p>
        </w:tc>
        <w:tc>
          <w:tcPr>
            <w:tcW w:w="217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房屋倒塌，致使居民家庭无法继续居住生活，保险人赔偿临时安置费用</w:t>
            </w:r>
          </w:p>
        </w:tc>
        <w:tc>
          <w:tcPr>
            <w:tcW w:w="2537"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每户5元/平方/天，每次及累计保障180天，在限额内按照实际发生金额据实赔偿</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lang w:val="en-US" w:eastAsia="zh-CN" w:bidi="ar"/>
              </w:rPr>
            </w:pPr>
            <w:r>
              <w:rPr>
                <w:rFonts w:hint="eastAsia" w:ascii="宋体" w:hAnsi="宋体" w:eastAsia="宋体" w:cs="宋体"/>
                <w:b w:val="0"/>
                <w:bCs w:val="0"/>
                <w:i w:val="0"/>
                <w:iCs w:val="0"/>
                <w:color w:val="auto"/>
                <w:sz w:val="28"/>
                <w:szCs w:val="28"/>
                <w:highlight w:val="none"/>
                <w:u w:val="none"/>
                <w:lang w:val="en-US" w:eastAsia="zh-CN" w:bidi="ar"/>
              </w:rPr>
              <w:t>无免赔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紧急撤离安置费</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60万</w:t>
            </w:r>
          </w:p>
        </w:tc>
        <w:tc>
          <w:tcPr>
            <w:tcW w:w="217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sz w:val="28"/>
                <w:szCs w:val="28"/>
                <w:highlight w:val="none"/>
                <w:u w:val="none"/>
                <w:lang w:val="en-US" w:eastAsia="zh-CN" w:bidi="ar"/>
              </w:rPr>
              <w:t>政府根据房屋实际危险状况发出强制撤离令而发生的临时安置费用</w:t>
            </w:r>
          </w:p>
        </w:tc>
        <w:tc>
          <w:tcPr>
            <w:tcW w:w="2537"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每户5元/平方/天，每次事故保障180天，在限额内按照实际发生金额据实赔偿</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pacing w:line="440" w:lineRule="exact"/>
              <w:ind w:firstLine="0"/>
              <w:jc w:val="center"/>
              <w:outlineLvl w:val="9"/>
              <w:rPr>
                <w:rFonts w:hint="eastAsia" w:ascii="宋体" w:hAnsi="宋体" w:eastAsia="宋体" w:cs="宋体"/>
                <w:b w:val="0"/>
                <w:bCs w:val="0"/>
                <w:i w:val="0"/>
                <w:iCs w:val="0"/>
                <w:color w:val="auto"/>
                <w:sz w:val="28"/>
                <w:szCs w:val="28"/>
                <w:highlight w:val="none"/>
                <w:u w:val="none"/>
                <w:lang w:val="en-US" w:eastAsia="zh-CN" w:bidi="ar"/>
              </w:rPr>
            </w:pPr>
            <w:r>
              <w:rPr>
                <w:rFonts w:hint="eastAsia" w:ascii="宋体" w:hAnsi="宋体" w:eastAsia="宋体" w:cs="宋体"/>
                <w:b w:val="0"/>
                <w:bCs w:val="0"/>
                <w:i w:val="0"/>
                <w:iCs w:val="0"/>
                <w:color w:val="auto"/>
                <w:sz w:val="28"/>
                <w:szCs w:val="28"/>
                <w:highlight w:val="none"/>
                <w:u w:val="none"/>
                <w:lang w:val="en-US" w:eastAsia="zh-CN" w:bidi="ar"/>
              </w:rPr>
              <w:t>无免赔</w:t>
            </w:r>
          </w:p>
        </w:tc>
      </w:tr>
    </w:tbl>
    <w:p>
      <w:pPr>
        <w:pStyle w:val="10"/>
        <w:keepNext w:val="0"/>
        <w:keepLines w:val="0"/>
        <w:pageBreakBefore w:val="0"/>
        <w:numPr>
          <w:ilvl w:val="0"/>
          <w:numId w:val="0"/>
        </w:numPr>
        <w:spacing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特别约定：</w:t>
      </w:r>
    </w:p>
    <w:p>
      <w:pPr>
        <w:pStyle w:val="10"/>
        <w:keepNext w:val="0"/>
        <w:keepLines w:val="0"/>
        <w:pageBreakBefore w:val="0"/>
        <w:numPr>
          <w:ilvl w:val="0"/>
          <w:numId w:val="0"/>
        </w:numPr>
        <w:spacing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①双方同意对于在投保年度内出现参保房屋新增的情况，自投保人向保险人提交房屋清单后，自动纳入本保险保障范围。对于新增房屋比例在10%以内的情况，保险公司免予收取增加的保险费。</w:t>
      </w:r>
    </w:p>
    <w:p>
      <w:pPr>
        <w:pStyle w:val="10"/>
        <w:keepNext w:val="0"/>
        <w:keepLines w:val="0"/>
        <w:pageBreakBefore w:val="0"/>
        <w:numPr>
          <w:ilvl w:val="0"/>
          <w:numId w:val="0"/>
        </w:numPr>
        <w:spacing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发生保险事故，需要对保险标的进行鉴定、应急加固和维修的，为确保质量符合相关标准，保险人应使用投保人或投保人上级主管部门指定的具有相关资质的单位，鉴定工作及加固维修工作经房屋安全主管部门验收合格后，保险人可以在获得投保人授权后，直接将赔款赔付给相关实施单位。</w:t>
      </w:r>
    </w:p>
    <w:p>
      <w:pPr>
        <w:pStyle w:val="10"/>
        <w:keepNext w:val="0"/>
        <w:keepLines w:val="0"/>
        <w:pageBreakBefore w:val="0"/>
        <w:numPr>
          <w:ilvl w:val="0"/>
          <w:numId w:val="0"/>
        </w:numPr>
        <w:spacing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2、理赔服务</w:t>
      </w:r>
    </w:p>
    <w:p>
      <w:pPr>
        <w:keepNext w:val="0"/>
        <w:keepLines w:val="0"/>
        <w:pageBreakBefore w:val="0"/>
        <w:widowControl w:val="0"/>
        <w:spacing w:line="44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保险机构应按投标文件承诺的理赔事项开展相关服务工作，包括但不限于以下几点：</w:t>
      </w:r>
    </w:p>
    <w:p>
      <w:pPr>
        <w:keepNext w:val="0"/>
        <w:keepLines w:val="0"/>
        <w:pageBreakBefore w:val="0"/>
        <w:widowControl w:val="0"/>
        <w:spacing w:line="440" w:lineRule="exact"/>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（1）全天候接报案。保险机构应当建立全</w:t>
      </w:r>
      <w:r>
        <w:rPr>
          <w:rFonts w:hint="eastAsia" w:ascii="宋体" w:hAnsi="宋体" w:eastAsia="宋体" w:cs="宋体"/>
          <w:color w:val="auto"/>
          <w:sz w:val="28"/>
          <w:szCs w:val="28"/>
          <w:lang w:val="en-US" w:eastAsia="zh-CN"/>
        </w:rPr>
        <w:t>天候接报案制度，设立房屋安全保险理赔服务团队和24小时保险服务专线电话，接到报案后，应当根据案件情况积极协助抢险救灾、事故处理等相关工作。除投保人外，投保人授权单位如各街道办事处均可以自主向保险机构报案，并办理相关索赔手续。</w:t>
      </w:r>
    </w:p>
    <w:p>
      <w:pPr>
        <w:keepNext w:val="0"/>
        <w:keepLines w:val="0"/>
        <w:pageBreakBefore w:val="0"/>
        <w:widowControl w:val="0"/>
        <w:spacing w:line="44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（2）快速理赔。</w:t>
      </w:r>
      <w:r>
        <w:rPr>
          <w:rFonts w:hint="eastAsia" w:ascii="宋体" w:hAnsi="宋体" w:eastAsia="宋体" w:cs="宋体"/>
          <w:color w:val="auto"/>
          <w:sz w:val="28"/>
          <w:szCs w:val="28"/>
        </w:rPr>
        <w:t>保险公司应当建立便捷的理赔流程，受理被保险人的理赔申请，当发生保险期限和保险责任范围内的</w:t>
      </w:r>
      <w:r>
        <w:rPr>
          <w:rFonts w:hint="eastAsia" w:ascii="宋体" w:hAnsi="宋体" w:eastAsia="宋体" w:cs="宋体"/>
          <w:color w:val="auto"/>
          <w:sz w:val="28"/>
          <w:szCs w:val="28"/>
          <w:lang w:val="en-US" w:eastAsia="zh-CN"/>
        </w:rPr>
        <w:t>事故</w:t>
      </w:r>
      <w:r>
        <w:rPr>
          <w:rFonts w:hint="eastAsia" w:ascii="宋体" w:hAnsi="宋体" w:eastAsia="宋体" w:cs="宋体"/>
          <w:color w:val="auto"/>
          <w:sz w:val="28"/>
          <w:szCs w:val="28"/>
        </w:rPr>
        <w:t>时，保险机构应当按照规定时限和理赔规范、程序以及相关工程技术标准组织勘查和维修。</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理赔争议</w:t>
      </w:r>
      <w:r>
        <w:rPr>
          <w:rFonts w:hint="eastAsia" w:ascii="宋体" w:hAnsi="宋体" w:eastAsia="宋体" w:cs="宋体"/>
          <w:b w:val="0"/>
          <w:bCs w:val="0"/>
          <w:color w:val="auto"/>
          <w:sz w:val="28"/>
          <w:szCs w:val="28"/>
          <w:lang w:eastAsia="zh-CN"/>
        </w:rPr>
        <w:t>。</w:t>
      </w:r>
      <w:r>
        <w:rPr>
          <w:rFonts w:hint="eastAsia" w:ascii="宋体" w:hAnsi="宋体" w:eastAsia="宋体" w:cs="宋体"/>
          <w:color w:val="auto"/>
          <w:sz w:val="28"/>
          <w:szCs w:val="28"/>
        </w:rPr>
        <w:t>被保险人对是否属于保险责任和维修结果是否符合要求存有异议的，可以与保险公司共同委托有资质的保险公估公司或第三方鉴定机构进行鉴定。鉴定结果属于保险责任的，鉴定费用由保险公司承担;鉴定结果不属于保险责任的，鉴定费用由申请方承担。</w:t>
      </w:r>
    </w:p>
    <w:p>
      <w:pPr>
        <w:pStyle w:val="10"/>
        <w:keepNext w:val="0"/>
        <w:keepLines w:val="0"/>
        <w:pageBreakBefore w:val="0"/>
        <w:widowControl w:val="0"/>
        <w:numPr>
          <w:ilvl w:val="0"/>
          <w:numId w:val="0"/>
        </w:numPr>
        <w:spacing w:after="0" w:line="440" w:lineRule="exact"/>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3、风险减量等房屋安全动态监测服务</w:t>
      </w:r>
    </w:p>
    <w:p>
      <w:pPr>
        <w:pStyle w:val="10"/>
        <w:keepNext w:val="0"/>
        <w:keepLines w:val="0"/>
        <w:pageBreakBefore w:val="0"/>
        <w:widowControl w:val="0"/>
        <w:numPr>
          <w:ilvl w:val="0"/>
          <w:numId w:val="0"/>
        </w:numPr>
        <w:spacing w:after="0" w:line="440" w:lineRule="exact"/>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保保险公司应承诺为投保人提供风险减量服务，通过“人工动态巡检+自动化监测”等手段，对参保房屋进行安全动态监测，突出房屋使用过程中的风险辨识、风险评估和事故隐患排查，发挥保险经济补偿和社会管理职能，为房屋安全和使用管理提供有力保障。</w:t>
      </w:r>
    </w:p>
    <w:p>
      <w:pPr>
        <w:pStyle w:val="10"/>
        <w:keepNext w:val="0"/>
        <w:keepLines w:val="0"/>
        <w:pageBreakBefore w:val="0"/>
        <w:widowControl w:val="0"/>
        <w:numPr>
          <w:ilvl w:val="0"/>
          <w:numId w:val="0"/>
        </w:numPr>
        <w:spacing w:after="0" w:line="440" w:lineRule="exact"/>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承保保险公司应在保单生效后一个月内，应在投保人的指导和配合下，完成对承保房屋的隐患排查工作，并出具相应的隐患排查报告。具体排查内容及要求以投保人与承保保险公司沟通确定的隐患排查方案为准。</w:t>
      </w:r>
    </w:p>
    <w:p>
      <w:pPr>
        <w:pStyle w:val="10"/>
        <w:keepNext w:val="0"/>
        <w:keepLines w:val="0"/>
        <w:pageBreakBefore w:val="0"/>
        <w:widowControl w:val="0"/>
        <w:numPr>
          <w:ilvl w:val="0"/>
          <w:numId w:val="0"/>
        </w:numPr>
        <w:spacing w:after="0"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承保保险公司应在住建部门的技术指导下聘请第三方监测机构开展房屋安全动态监测服务，且该第三方房屋安全动态监测专业机构应当在徐州市房屋安全鉴定机构备案名录库中选择，不</w:t>
      </w:r>
      <w:r>
        <w:rPr>
          <w:rFonts w:hint="eastAsia" w:ascii="宋体" w:hAnsi="宋体" w:eastAsia="宋体" w:cs="宋体"/>
          <w:color w:val="auto"/>
          <w:sz w:val="28"/>
          <w:szCs w:val="28"/>
          <w:lang w:val="en-US" w:eastAsia="zh-CN"/>
        </w:rPr>
        <w:t>得出现挂靠、转包、分包等行为。动态监测服务方案（包括但不限于相关人员及设备投入明细、动态监测平台建设方案、房屋风险防控中心建设方案、现场巡检方案等）应满足投保人实际使用需要，经投保人审核确认后，在服务协议中予以明确。</w:t>
      </w:r>
    </w:p>
    <w:p>
      <w:pPr>
        <w:pStyle w:val="10"/>
        <w:keepNext w:val="0"/>
        <w:keepLines w:val="0"/>
        <w:pageBreakBefore w:val="0"/>
        <w:widowControl w:val="0"/>
        <w:numPr>
          <w:ilvl w:val="0"/>
          <w:numId w:val="0"/>
        </w:numPr>
        <w:spacing w:after="0"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房屋动态监测系统的建设需符合国家和省市有关标准和要求，建成后的房屋动态监测系统（包括软硬件设备）及产生的相关监测数据归投保人所有。</w:t>
      </w:r>
    </w:p>
    <w:p>
      <w:pPr>
        <w:pStyle w:val="10"/>
        <w:keepNext w:val="0"/>
        <w:keepLines w:val="0"/>
        <w:pageBreakBefore w:val="0"/>
        <w:widowControl w:val="0"/>
        <w:numPr>
          <w:ilvl w:val="0"/>
          <w:numId w:val="0"/>
        </w:numPr>
        <w:spacing w:after="0"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要求。保险机构应建立房屋安全动态监测服务制度，突出房屋使用过程中的风险辨识、风险评估和事故隐患排查，为投保房屋提供人工和自动化动态监测服务，发挥保险经济补偿和社会管理职能，为房屋安全和使用管理提供有力保障。</w:t>
      </w:r>
    </w:p>
    <w:p>
      <w:pPr>
        <w:pStyle w:val="10"/>
        <w:keepNext w:val="0"/>
        <w:keepLines w:val="0"/>
        <w:pageBreakBefore w:val="0"/>
        <w:widowControl w:val="0"/>
        <w:numPr>
          <w:ilvl w:val="0"/>
          <w:numId w:val="0"/>
        </w:numPr>
        <w:spacing w:after="0"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服务内容。房屋安全动态监测工作须严格按照事先制定的动态监测方案实施现场检查。包括人工动态监测和自动化动态监测。保险公司委托第三方房屋安全动态监测专业机构针对房屋主体结构和可能影响主体结构安全的周边环境所进行的现场检查(监测数据采集及安全状况初步判断)、分析计算、出具报告等，并由此承担相应法律责任的工作。</w:t>
      </w:r>
    </w:p>
    <w:p>
      <w:pPr>
        <w:pStyle w:val="10"/>
        <w:keepNext w:val="0"/>
        <w:keepLines w:val="0"/>
        <w:pageBreakBefore w:val="0"/>
        <w:widowControl w:val="0"/>
        <w:numPr>
          <w:ilvl w:val="0"/>
          <w:numId w:val="0"/>
        </w:numPr>
        <w:spacing w:after="0"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（3）服务频次。根据投保房屋安全情况，设置月度、季度、年度动态监测服务，同时开展临时房屋安全动态监测接报案检查和房屋安全动态监测灾害性天气检查。</w:t>
      </w:r>
    </w:p>
    <w:p>
      <w:pPr>
        <w:pStyle w:val="10"/>
        <w:keepNext w:val="0"/>
        <w:keepLines w:val="0"/>
        <w:pageBreakBefore w:val="0"/>
        <w:widowControl w:val="0"/>
        <w:numPr>
          <w:ilvl w:val="0"/>
          <w:numId w:val="0"/>
        </w:numPr>
        <w:spacing w:after="0"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服务机构。监测机构应具有独立法人资格，应当在本市房屋安全鉴定机构备案名录库中选择，有健全的组织机构和管理制度、责任制度、完善的技术管理与质量保证体系，同时配套上线监测系统。在具体项目中须安排本单位的在职人员从事房屋安全动态监测工作，不得出现挂靠、转包、分包等行为。</w:t>
      </w:r>
    </w:p>
    <w:p>
      <w:pPr>
        <w:pStyle w:val="10"/>
        <w:keepNext w:val="0"/>
        <w:keepLines w:val="0"/>
        <w:pageBreakBefore w:val="0"/>
        <w:widowControl w:val="0"/>
        <w:numPr>
          <w:ilvl w:val="0"/>
          <w:numId w:val="0"/>
        </w:numPr>
        <w:spacing w:after="0"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服务要求。房屋安全动态监测服务机构按要求开展动态监测服务，对检查中发现存在的事故隐患应及时以书面形式提出存在的问题、风险防控措施及建议，对重大事故隐患或同一类隐患频发的应及时上报政府主管部门，会商保险公司制定专项风险控制方案。</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before="0" w:after="0" w:line="440" w:lineRule="exact"/>
        <w:ind w:right="0" w:firstLine="560"/>
        <w:jc w:val="both"/>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lang w:val="en-US" w:eastAsia="zh-CN"/>
        </w:rPr>
        <w:t>（6）服务评估。</w:t>
      </w:r>
      <w:r>
        <w:rPr>
          <w:rFonts w:hint="eastAsia" w:ascii="宋体" w:hAnsi="宋体" w:eastAsia="宋体" w:cs="宋体"/>
          <w:color w:val="auto"/>
          <w:sz w:val="28"/>
          <w:szCs w:val="28"/>
          <w:lang w:val="en-US" w:eastAsia="zh-CN"/>
        </w:rPr>
        <w:t>保险公司应制定考核标准并结合监测服务合同的相关内容，建立针对监测机构的考核制度，对其所完成的监测工作进行定期考核。 强化诚信、廉洁信用管理，确保服务质量，对责任心不强、履职不到位、能力不匹配的房屋安全动态监测机构要及时开展约谈警示，直至解除合同。</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before="0" w:after="0" w:line="440" w:lineRule="exact"/>
        <w:ind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（三）信息管理</w:t>
      </w:r>
    </w:p>
    <w:p>
      <w:pPr>
        <w:keepNext w:val="0"/>
        <w:keepLines w:val="0"/>
        <w:pageBreakBefore w:val="0"/>
        <w:widowControl w:val="0"/>
        <w:spacing w:line="44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1、保险公司应指导房屋安全动态监测服务机构</w:t>
      </w:r>
      <w:r>
        <w:rPr>
          <w:rFonts w:hint="eastAsia" w:ascii="宋体" w:hAnsi="宋体" w:eastAsia="宋体" w:cs="宋体"/>
          <w:color w:val="auto"/>
          <w:sz w:val="28"/>
          <w:szCs w:val="28"/>
        </w:rPr>
        <w:t>建立服务档案，记录和保留风险管理服务的文档资料，确保服务过程可追溯。</w:t>
      </w:r>
      <w:r>
        <w:rPr>
          <w:rFonts w:hint="eastAsia" w:ascii="宋体" w:hAnsi="宋体" w:eastAsia="宋体" w:cs="宋体"/>
          <w:color w:val="auto"/>
          <w:sz w:val="28"/>
          <w:szCs w:val="28"/>
          <w:lang w:val="en-US" w:eastAsia="zh-CN"/>
        </w:rPr>
        <w:t>动态监测服务</w:t>
      </w:r>
      <w:r>
        <w:rPr>
          <w:rFonts w:hint="eastAsia" w:ascii="宋体" w:hAnsi="宋体" w:eastAsia="宋体" w:cs="宋体"/>
          <w:color w:val="auto"/>
          <w:sz w:val="28"/>
          <w:szCs w:val="28"/>
        </w:rPr>
        <w:t>机构应确保服务档案真实完整，至少保留至相应保险责任期限结束，其间不得丢失、篡改、隐匿和销毁</w:t>
      </w:r>
      <w:r>
        <w:rPr>
          <w:rFonts w:hint="eastAsia" w:ascii="宋体" w:hAnsi="宋体" w:eastAsia="宋体" w:cs="宋体"/>
          <w:color w:val="auto"/>
          <w:sz w:val="28"/>
          <w:szCs w:val="28"/>
          <w:lang w:eastAsia="zh-CN"/>
        </w:rPr>
        <w:t>，服务期满一并移交</w:t>
      </w:r>
      <w:r>
        <w:rPr>
          <w:rFonts w:hint="eastAsia" w:ascii="宋体" w:hAnsi="宋体" w:eastAsia="宋体" w:cs="宋体"/>
          <w:color w:val="auto"/>
          <w:sz w:val="28"/>
          <w:szCs w:val="28"/>
        </w:rPr>
        <w:t xml:space="preserve">。 </w:t>
      </w:r>
    </w:p>
    <w:p>
      <w:pPr>
        <w:keepNext w:val="0"/>
        <w:keepLines w:val="0"/>
        <w:pageBreakBefore w:val="0"/>
        <w:widowControl w:val="0"/>
        <w:spacing w:line="44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2、动态监测服务</w:t>
      </w:r>
      <w:r>
        <w:rPr>
          <w:rFonts w:hint="eastAsia" w:ascii="宋体" w:hAnsi="宋体" w:eastAsia="宋体" w:cs="宋体"/>
          <w:color w:val="auto"/>
          <w:sz w:val="28"/>
          <w:szCs w:val="28"/>
        </w:rPr>
        <w:t>机构</w:t>
      </w:r>
      <w:r>
        <w:rPr>
          <w:rFonts w:hint="eastAsia" w:ascii="宋体" w:hAnsi="宋体" w:eastAsia="宋体" w:cs="宋体"/>
          <w:color w:val="auto"/>
          <w:sz w:val="28"/>
          <w:szCs w:val="28"/>
          <w:lang w:val="en-US" w:eastAsia="zh-CN"/>
        </w:rPr>
        <w:t>应上线</w:t>
      </w:r>
      <w:r>
        <w:rPr>
          <w:rFonts w:hint="eastAsia" w:ascii="宋体" w:hAnsi="宋体" w:eastAsia="宋体" w:cs="宋体"/>
          <w:color w:val="auto"/>
          <w:sz w:val="28"/>
          <w:szCs w:val="28"/>
        </w:rPr>
        <w:t>房屋安全保险管理信息平台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监测系统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并负责正常运行和维护，系统</w:t>
      </w:r>
      <w:r>
        <w:rPr>
          <w:rFonts w:hint="eastAsia" w:ascii="宋体" w:hAnsi="宋体" w:eastAsia="宋体" w:cs="宋体"/>
          <w:color w:val="auto"/>
          <w:sz w:val="28"/>
          <w:szCs w:val="28"/>
        </w:rPr>
        <w:t>功能模块包括承保信息管理、风险管理、理赔管理、数据统计等，汇集房屋安全保险承保信息、参建各方信息、风险管理信息、体检信息和理赔信息，</w:t>
      </w:r>
      <w:r>
        <w:rPr>
          <w:rFonts w:hint="eastAsia" w:ascii="宋体" w:hAnsi="宋体" w:eastAsia="宋体" w:cs="宋体"/>
          <w:color w:val="auto"/>
          <w:sz w:val="28"/>
          <w:szCs w:val="28"/>
          <w:lang w:eastAsia="zh-CN"/>
        </w:rPr>
        <w:t>该检测系统应与徐州市房屋安全管理信息系统对接，</w:t>
      </w:r>
      <w:r>
        <w:rPr>
          <w:rFonts w:hint="eastAsia" w:ascii="宋体" w:hAnsi="宋体" w:eastAsia="宋体" w:cs="宋体"/>
          <w:color w:val="auto"/>
          <w:sz w:val="28"/>
          <w:szCs w:val="28"/>
        </w:rPr>
        <w:t>辅助</w:t>
      </w:r>
      <w:r>
        <w:rPr>
          <w:rFonts w:hint="eastAsia" w:ascii="宋体" w:hAnsi="宋体" w:eastAsia="宋体" w:cs="宋体"/>
          <w:color w:val="auto"/>
          <w:sz w:val="28"/>
          <w:szCs w:val="28"/>
          <w:lang w:val="en-US" w:eastAsia="zh-CN"/>
        </w:rPr>
        <w:t>政府主管部门及</w:t>
      </w:r>
      <w:r>
        <w:rPr>
          <w:rFonts w:hint="eastAsia" w:ascii="宋体" w:hAnsi="宋体" w:eastAsia="宋体" w:cs="宋体"/>
          <w:color w:val="auto"/>
          <w:sz w:val="28"/>
          <w:szCs w:val="28"/>
        </w:rPr>
        <w:t>保险公司等进行有效的日常管理。</w:t>
      </w:r>
      <w:r>
        <w:rPr>
          <w:rFonts w:hint="eastAsia" w:ascii="宋体" w:hAnsi="宋体" w:eastAsia="宋体" w:cs="宋体"/>
          <w:color w:val="auto"/>
          <w:sz w:val="28"/>
          <w:szCs w:val="28"/>
          <w:lang w:eastAsia="zh-CN"/>
        </w:rPr>
        <w:t>平台软硬件设备归投保人所有，服务期满一并移交。</w:t>
      </w:r>
    </w:p>
    <w:p>
      <w:pPr>
        <w:keepNext w:val="0"/>
        <w:keepLines w:val="0"/>
        <w:pageBreakBefore w:val="0"/>
        <w:widowControl w:val="0"/>
        <w:spacing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（四）宣传服务</w:t>
      </w:r>
    </w:p>
    <w:p>
      <w:pPr>
        <w:keepNext w:val="0"/>
        <w:keepLines w:val="0"/>
        <w:pageBreakBefore w:val="0"/>
        <w:widowControl w:val="0"/>
        <w:spacing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承保保险公司应在保期内通过网络、媒体、进社区宣讲等方式，积极配合投保人开展房屋安全宣传工作。房屋安全知识宣传每季度至少应组织一次，宣传方案应在活动开展前报投保人审批。</w:t>
      </w:r>
    </w:p>
    <w:p>
      <w:pPr>
        <w:keepNext w:val="0"/>
        <w:keepLines w:val="0"/>
        <w:pageBreakBefore w:val="0"/>
        <w:widowControl w:val="0"/>
        <w:spacing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（五）咨询服务</w:t>
      </w:r>
    </w:p>
    <w:p>
      <w:pPr>
        <w:keepNext w:val="0"/>
        <w:keepLines w:val="0"/>
        <w:pageBreakBefore w:val="0"/>
        <w:widowControl w:val="0"/>
        <w:spacing w:line="44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承保保险公司应充分利用其在全国范围内同类项目服务中的成功经验，积极为投保人及住建部门在</w:t>
      </w:r>
      <w:r>
        <w:rPr>
          <w:rFonts w:hint="eastAsia" w:ascii="宋体" w:hAnsi="宋体" w:eastAsia="宋体" w:cs="宋体"/>
          <w:color w:val="auto"/>
          <w:sz w:val="28"/>
          <w:szCs w:val="28"/>
        </w:rPr>
        <w:t>房屋养老金制度</w:t>
      </w:r>
      <w:r>
        <w:rPr>
          <w:rFonts w:hint="eastAsia" w:ascii="宋体" w:hAnsi="宋体" w:eastAsia="宋体" w:cs="宋体"/>
          <w:color w:val="auto"/>
          <w:sz w:val="28"/>
          <w:szCs w:val="28"/>
          <w:lang w:val="en-US" w:eastAsia="zh-CN"/>
        </w:rPr>
        <w:t>和</w:t>
      </w:r>
      <w:r>
        <w:rPr>
          <w:rFonts w:hint="eastAsia" w:ascii="宋体" w:hAnsi="宋体" w:eastAsia="宋体" w:cs="宋体"/>
          <w:color w:val="auto"/>
          <w:sz w:val="28"/>
          <w:szCs w:val="28"/>
        </w:rPr>
        <w:t>房屋安全保险制度</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建立及完善过程中提供咨询服务。承保保险公司可以在全国范围内聘请相关领域的专家学者或与投保人共同组建专家工作组，通过现场考察、学术交流等方式，共同参与徐州市</w:t>
      </w:r>
      <w:r>
        <w:rPr>
          <w:rFonts w:hint="eastAsia" w:ascii="宋体" w:hAnsi="宋体" w:eastAsia="宋体" w:cs="宋体"/>
          <w:color w:val="auto"/>
          <w:sz w:val="28"/>
          <w:szCs w:val="28"/>
        </w:rPr>
        <w:t>城镇房屋养老金、房屋安全保险制度相关咨政报告</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制度文本</w:t>
      </w:r>
      <w:r>
        <w:rPr>
          <w:rFonts w:hint="eastAsia" w:ascii="宋体" w:hAnsi="宋体" w:eastAsia="宋体" w:cs="宋体"/>
          <w:color w:val="auto"/>
          <w:sz w:val="28"/>
          <w:szCs w:val="28"/>
          <w:lang w:eastAsia="zh-CN"/>
        </w:rPr>
        <w:t>、评估</w:t>
      </w:r>
      <w:r>
        <w:rPr>
          <w:rFonts w:hint="eastAsia" w:ascii="宋体" w:hAnsi="宋体" w:eastAsia="宋体" w:cs="宋体"/>
          <w:color w:val="auto"/>
          <w:sz w:val="28"/>
          <w:szCs w:val="28"/>
          <w:lang w:val="en-US" w:eastAsia="zh-CN"/>
        </w:rPr>
        <w:t>/总结</w:t>
      </w:r>
      <w:r>
        <w:rPr>
          <w:rFonts w:hint="eastAsia" w:ascii="宋体" w:hAnsi="宋体" w:eastAsia="宋体" w:cs="宋体"/>
          <w:color w:val="auto"/>
          <w:sz w:val="28"/>
          <w:szCs w:val="28"/>
          <w:lang w:eastAsia="zh-CN"/>
        </w:rPr>
        <w:t>报告的</w:t>
      </w:r>
      <w:r>
        <w:rPr>
          <w:rFonts w:hint="eastAsia" w:ascii="宋体" w:hAnsi="宋体" w:eastAsia="宋体" w:cs="宋体"/>
          <w:color w:val="auto"/>
          <w:sz w:val="28"/>
          <w:szCs w:val="28"/>
          <w:lang w:val="en-US" w:eastAsia="zh-CN"/>
        </w:rPr>
        <w:t>撰写工作，以确保相关制度建立的科学性。同时也可以</w:t>
      </w:r>
      <w:r>
        <w:rPr>
          <w:rFonts w:hint="eastAsia" w:ascii="宋体" w:hAnsi="宋体" w:eastAsia="宋体" w:cs="宋体"/>
          <w:color w:val="auto"/>
          <w:sz w:val="28"/>
          <w:szCs w:val="28"/>
        </w:rPr>
        <w:t>围绕项目形成的科研成果</w:t>
      </w:r>
      <w:r>
        <w:rPr>
          <w:rFonts w:hint="eastAsia" w:ascii="宋体" w:hAnsi="宋体" w:eastAsia="宋体" w:cs="宋体"/>
          <w:color w:val="auto"/>
          <w:sz w:val="28"/>
          <w:szCs w:val="28"/>
          <w:lang w:val="en-US" w:eastAsia="zh-CN"/>
        </w:rPr>
        <w:t>积极参与相关</w:t>
      </w:r>
      <w:r>
        <w:rPr>
          <w:rFonts w:hint="eastAsia" w:ascii="宋体" w:hAnsi="宋体" w:eastAsia="宋体" w:cs="宋体"/>
          <w:color w:val="auto"/>
          <w:sz w:val="28"/>
          <w:szCs w:val="28"/>
        </w:rPr>
        <w:t>新闻报道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专著、论文</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创作工作，为本项目的可持续健康发展提供技术支持。</w:t>
      </w:r>
    </w:p>
    <w:p>
      <w:pPr>
        <w:keepNext w:val="0"/>
        <w:keepLines w:val="0"/>
        <w:pageBreakBefore w:val="0"/>
        <w:widowControl w:val="0"/>
        <w:spacing w:line="440" w:lineRule="exact"/>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六）监督管理</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1、保险机构或动态监测服务机构存在以下情形的，主管部门应抄告相关管理部门，并按照保险服务承诺告知进行处理</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（1）未按相关规定、合同约定开展房屋安全动态监测服务;</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（2）转包、违法违规分包业务;</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（3）机构、相关人员存在弄虚作假、徇私舞弊;</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（4）按照规定和标准应当检查发现的问题未发现，或者发现问题后未按照规定程序处理，或者多次受到投保人有效投诉的;</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（5）对所服务的投保项目发生安全责任事故，动态监测服务存在缺失或过失的;</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（6）承保、动态监测服务等信息多次未及时上传至监测系统；</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（7）其他违法违规行为。</w:t>
      </w:r>
    </w:p>
    <w:p>
      <w:pPr>
        <w:pStyle w:val="15"/>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2、支持保险机构及房屋安全动态监测服务机构在主管部门的指导下，建立协商机制和自律组织，加强自主约束管理，对房屋安全动态监测成效开展评估服务。</w:t>
      </w:r>
    </w:p>
    <w:p>
      <w:pPr>
        <w:keepNext w:val="0"/>
        <w:keepLines w:val="0"/>
        <w:pageBreakBefore w:val="0"/>
        <w:widowControl w:val="0"/>
        <w:spacing w:line="440" w:lineRule="exact"/>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3、市</w:t>
      </w:r>
      <w:r>
        <w:rPr>
          <w:rFonts w:hint="eastAsia" w:ascii="宋体" w:hAnsi="宋体" w:eastAsia="宋体" w:cs="宋体"/>
          <w:color w:val="auto"/>
          <w:sz w:val="28"/>
          <w:szCs w:val="28"/>
        </w:rPr>
        <w:t>有关</w:t>
      </w:r>
      <w:r>
        <w:rPr>
          <w:rFonts w:hint="eastAsia" w:ascii="宋体" w:hAnsi="宋体" w:eastAsia="宋体" w:cs="宋体"/>
          <w:color w:val="auto"/>
          <w:sz w:val="28"/>
          <w:szCs w:val="28"/>
          <w:lang w:eastAsia="zh-CN"/>
        </w:rPr>
        <w:t>行政主管</w:t>
      </w:r>
      <w:r>
        <w:rPr>
          <w:rFonts w:hint="eastAsia" w:ascii="宋体" w:hAnsi="宋体" w:eastAsia="宋体" w:cs="宋体"/>
          <w:color w:val="auto"/>
          <w:sz w:val="28"/>
          <w:szCs w:val="28"/>
        </w:rPr>
        <w:t>部门应当依据工作职责依法加强对保险机构的监督管理，对房屋安全保险实施情况开展监督检查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加强信用体系建设</w:t>
      </w:r>
      <w:r>
        <w:rPr>
          <w:rFonts w:hint="eastAsia" w:ascii="宋体" w:hAnsi="宋体" w:eastAsia="宋体" w:cs="宋体"/>
          <w:color w:val="auto"/>
          <w:sz w:val="28"/>
          <w:szCs w:val="28"/>
          <w:lang w:eastAsia="zh-CN"/>
        </w:rPr>
        <w:t>。</w:t>
      </w:r>
    </w:p>
    <w:p>
      <w:pPr>
        <w:keepNext w:val="0"/>
        <w:keepLines w:val="0"/>
        <w:pageBreakBefore w:val="0"/>
        <w:widowControl w:val="0"/>
        <w:spacing w:line="440" w:lineRule="exact"/>
        <w:ind w:firstLine="562"/>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六、</w:t>
      </w:r>
      <w:r>
        <w:rPr>
          <w:rFonts w:hint="eastAsia" w:ascii="宋体" w:hAnsi="宋体" w:cs="宋体"/>
          <w:b/>
          <w:color w:val="auto"/>
          <w:sz w:val="28"/>
          <w:szCs w:val="28"/>
          <w:lang w:val="en-US" w:eastAsia="zh-CN"/>
        </w:rPr>
        <w:t>符合性</w:t>
      </w:r>
      <w:r>
        <w:rPr>
          <w:rFonts w:hint="eastAsia" w:ascii="宋体" w:hAnsi="宋体" w:eastAsia="宋体" w:cs="宋体"/>
          <w:b/>
          <w:color w:val="auto"/>
          <w:sz w:val="28"/>
          <w:szCs w:val="28"/>
          <w:lang w:val="en-US" w:eastAsia="zh-CN"/>
        </w:rPr>
        <w:t>审查</w:t>
      </w:r>
    </w:p>
    <w:p>
      <w:pPr>
        <w:pStyle w:val="15"/>
        <w:keepNext w:val="0"/>
        <w:keepLines w:val="0"/>
        <w:pageBreakBefore w:val="0"/>
        <w:widowControl w:val="0"/>
        <w:numPr>
          <w:ilvl w:val="0"/>
          <w:numId w:val="0"/>
        </w:numPr>
        <w:spacing w:line="440" w:lineRule="exact"/>
        <w:ind w:firstLine="562"/>
        <w:jc w:val="left"/>
        <w:outlineLvl w:val="1"/>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投</w:t>
      </w:r>
      <w:r>
        <w:rPr>
          <w:rFonts w:hint="eastAsia" w:ascii="宋体" w:hAnsi="宋体" w:eastAsia="宋体" w:cs="宋体"/>
          <w:b/>
          <w:bCs/>
          <w:color w:val="auto"/>
          <w:sz w:val="28"/>
          <w:szCs w:val="28"/>
          <w:lang w:val="en-US" w:eastAsia="zh-CN"/>
        </w:rPr>
        <w:t>标人委托的第三方房屋安全动态监测机构必须在徐州市房屋安全鉴定机构备案名录库中，</w:t>
      </w:r>
      <w:r>
        <w:rPr>
          <w:rFonts w:hint="eastAsia" w:ascii="宋体" w:hAnsi="宋体" w:cs="宋体"/>
          <w:b/>
          <w:bCs/>
          <w:color w:val="auto"/>
          <w:sz w:val="28"/>
          <w:szCs w:val="28"/>
          <w:lang w:val="en-US" w:eastAsia="zh-CN"/>
        </w:rPr>
        <w:t>投</w:t>
      </w:r>
      <w:r>
        <w:rPr>
          <w:rFonts w:hint="eastAsia" w:ascii="宋体" w:hAnsi="宋体" w:eastAsia="宋体" w:cs="宋体"/>
          <w:b/>
          <w:bCs/>
          <w:color w:val="auto"/>
          <w:sz w:val="28"/>
          <w:szCs w:val="28"/>
          <w:lang w:val="en-US" w:eastAsia="zh-CN"/>
        </w:rPr>
        <w:t>标</w:t>
      </w:r>
      <w:r>
        <w:rPr>
          <w:rFonts w:hint="eastAsia" w:ascii="宋体" w:hAnsi="宋体" w:cs="宋体"/>
          <w:b/>
          <w:bCs/>
          <w:color w:val="auto"/>
          <w:sz w:val="28"/>
          <w:szCs w:val="28"/>
          <w:lang w:val="en-US" w:eastAsia="zh-CN"/>
        </w:rPr>
        <w:t>人在投标文件中提供承诺书（格式自拟）或者提供</w:t>
      </w:r>
      <w:r>
        <w:rPr>
          <w:rFonts w:hint="eastAsia" w:ascii="宋体" w:hAnsi="宋体" w:eastAsia="宋体" w:cs="宋体"/>
          <w:b/>
          <w:bCs/>
          <w:color w:val="auto"/>
          <w:sz w:val="28"/>
          <w:szCs w:val="28"/>
          <w:lang w:val="en-US" w:eastAsia="zh-CN"/>
        </w:rPr>
        <w:t>第三方房屋安全动态监测机构</w:t>
      </w:r>
      <w:r>
        <w:rPr>
          <w:rFonts w:hint="eastAsia" w:ascii="宋体" w:hAnsi="宋体" w:cs="宋体"/>
          <w:b/>
          <w:bCs/>
          <w:color w:val="auto"/>
          <w:sz w:val="28"/>
          <w:szCs w:val="28"/>
          <w:lang w:val="en-US" w:eastAsia="zh-CN"/>
        </w:rPr>
        <w:t>的名单和</w:t>
      </w:r>
      <w:r>
        <w:rPr>
          <w:rFonts w:hint="eastAsia" w:ascii="宋体" w:hAnsi="宋体" w:eastAsia="宋体" w:cs="宋体"/>
          <w:b/>
          <w:bCs/>
          <w:color w:val="auto"/>
          <w:sz w:val="28"/>
          <w:szCs w:val="28"/>
          <w:lang w:val="en-US" w:eastAsia="zh-CN"/>
        </w:rPr>
        <w:t>鉴定机构备案名录库</w:t>
      </w:r>
      <w:r>
        <w:rPr>
          <w:rFonts w:hint="eastAsia" w:ascii="宋体" w:hAnsi="宋体" w:cs="宋体"/>
          <w:b/>
          <w:bCs/>
          <w:color w:val="auto"/>
          <w:sz w:val="28"/>
          <w:szCs w:val="28"/>
          <w:lang w:val="en-US" w:eastAsia="zh-CN"/>
        </w:rPr>
        <w:t>的截图，</w:t>
      </w:r>
      <w:r>
        <w:rPr>
          <w:rFonts w:hint="eastAsia" w:ascii="宋体" w:hAnsi="宋体" w:eastAsia="宋体" w:cs="宋体"/>
          <w:b/>
          <w:bCs/>
          <w:color w:val="auto"/>
          <w:sz w:val="28"/>
          <w:szCs w:val="28"/>
          <w:lang w:val="en-US" w:eastAsia="zh-CN"/>
        </w:rPr>
        <w:t>否则在符合性审查时按照投标无效处理。</w:t>
      </w:r>
    </w:p>
    <w:p>
      <w:pPr>
        <w:keepNext w:val="0"/>
        <w:keepLines w:val="0"/>
        <w:pageBreakBefore w:val="0"/>
        <w:widowControl w:val="0"/>
        <w:spacing w:line="440" w:lineRule="exact"/>
        <w:ind w:firstLine="562"/>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lang w:eastAsia="zh-CN"/>
        </w:rPr>
        <w:t>、履约考核及履约保证金</w:t>
      </w:r>
    </w:p>
    <w:p>
      <w:pPr>
        <w:keepNext w:val="0"/>
        <w:keepLines w:val="0"/>
        <w:pageBreakBefore w:val="0"/>
        <w:widowControl w:val="0"/>
        <w:spacing w:line="440" w:lineRule="exact"/>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确保本项目平稳运行，提高保险机构服务质量，本项目履约保证金为人民币10万元，由中标人在领取中标通知书前向采购人一次性足额缴纳。采购人可委托第三方机构每季度对承保保险公司开展一次履约考核，如发生违约行为，采购人有权没收履约保证金，违约情况约定以双方签订的服务协议为准。</w:t>
      </w:r>
    </w:p>
    <w:p>
      <w:pPr>
        <w:keepNext w:val="0"/>
        <w:keepLines w:val="0"/>
        <w:pageBreakBefore w:val="0"/>
        <w:widowControl w:val="0"/>
        <w:spacing w:line="440" w:lineRule="exact"/>
        <w:ind w:firstLine="562"/>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rPr>
        <w:t>、其他要求</w:t>
      </w:r>
    </w:p>
    <w:p>
      <w:pPr>
        <w:keepNext w:val="0"/>
        <w:keepLines w:val="0"/>
        <w:pageBreakBefore w:val="0"/>
        <w:widowControl w:val="0"/>
        <w:spacing w:line="44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见招标文件第五章《拟签订的合同文本》。</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6418"/>
    <w:rsid w:val="0E664339"/>
    <w:rsid w:val="6CA6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文本块11"/>
    <w:basedOn w:val="3"/>
    <w:unhideWhenUsed/>
    <w:qFormat/>
    <w:uiPriority w:val="6"/>
    <w:pPr>
      <w:spacing w:after="120"/>
      <w:ind w:left="1440" w:right="1440"/>
    </w:pPr>
  </w:style>
  <w:style w:type="paragraph" w:customStyle="1" w:styleId="3">
    <w:name w:val="正文12"/>
    <w:next w:val="2"/>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styleId="4">
    <w:name w:val="Body Text"/>
    <w:basedOn w:val="1"/>
    <w:next w:val="5"/>
    <w:qFormat/>
    <w:uiPriority w:val="0"/>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7">
    <w:name w:val="段"/>
    <w:basedOn w:val="1"/>
    <w:next w:val="1"/>
    <w:qFormat/>
    <w:uiPriority w:val="0"/>
    <w:pPr>
      <w:widowControl/>
      <w:ind w:firstLine="200"/>
    </w:pPr>
    <w:rPr>
      <w:rFonts w:hint="eastAsia" w:ascii="宋体"/>
      <w:szCs w:val="20"/>
    </w:rPr>
  </w:style>
  <w:style w:type="paragraph" w:styleId="8">
    <w:name w:val="Body Text Indent"/>
    <w:basedOn w:val="1"/>
    <w:next w:val="9"/>
    <w:qFormat/>
    <w:uiPriority w:val="99"/>
    <w:pPr>
      <w:spacing w:after="120"/>
      <w:ind w:left="420"/>
    </w:pPr>
  </w:style>
  <w:style w:type="paragraph" w:styleId="9">
    <w:name w:val="envelope return"/>
    <w:basedOn w:val="1"/>
    <w:qFormat/>
    <w:uiPriority w:val="0"/>
    <w:rPr>
      <w:rFonts w:ascii="Arial" w:hAnsi="Arial"/>
    </w:rPr>
  </w:style>
  <w:style w:type="paragraph" w:styleId="10">
    <w:name w:val="Body Text First Indent"/>
    <w:basedOn w:val="4"/>
    <w:next w:val="11"/>
    <w:qFormat/>
    <w:uiPriority w:val="0"/>
    <w:pPr>
      <w:spacing w:line="360" w:lineRule="auto"/>
      <w:ind w:firstLine="200"/>
    </w:pPr>
    <w:rPr>
      <w:rFonts w:ascii="仿宋_GB2312" w:eastAsia="仿宋_GB2312"/>
      <w:sz w:val="30"/>
      <w:szCs w:val="30"/>
    </w:rPr>
  </w:style>
  <w:style w:type="paragraph" w:styleId="11">
    <w:name w:val="Body Text First Indent 2"/>
    <w:basedOn w:val="8"/>
    <w:next w:val="10"/>
    <w:qFormat/>
    <w:uiPriority w:val="99"/>
    <w:pPr>
      <w:spacing w:after="0" w:line="360" w:lineRule="auto"/>
      <w:ind w:left="0" w:firstLine="420"/>
    </w:pPr>
    <w:rPr>
      <w:rFonts w:ascii="宋体" w:hAnsi="宋体"/>
    </w:rPr>
  </w:style>
  <w:style w:type="paragraph" w:customStyle="1" w:styleId="14">
    <w:name w:val="标题 111"/>
    <w:basedOn w:val="1"/>
    <w:next w:val="1"/>
    <w:qFormat/>
    <w:uiPriority w:val="9"/>
    <w:pPr>
      <w:keepNext/>
      <w:keepLines/>
      <w:spacing w:line="578" w:lineRule="auto"/>
      <w:jc w:val="center"/>
      <w:outlineLvl w:val="0"/>
    </w:pPr>
    <w:rPr>
      <w:rFonts w:eastAsia="新宋体"/>
      <w:b/>
      <w:bCs/>
      <w:sz w:val="30"/>
      <w:szCs w:val="44"/>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2025-10-30T07:17:26Z</dcterms:created>
  <dc:creator>Administrator</dc:creator>
  <cp:lastModifiedBy>       J.</cp:lastModifiedBy>
  <dcterms:modified xsi:type="dcterms:W3CDTF">2025-10-30T07:18:48Z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391E13FFD14A49FAABEA7B3924CA7C7A</vt:lpwstr>
  </property>
</Properties>
</file>