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A0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更正（澄清）内容（一）</w:t>
      </w:r>
    </w:p>
    <w:p w14:paraId="0BF7BA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53CF0B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一、原招标文件中“第九章 附件1、评分细则</w:t>
      </w:r>
    </w:p>
    <w:tbl>
      <w:tblPr>
        <w:tblStyle w:val="7"/>
        <w:tblW w:w="9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1200"/>
        <w:gridCol w:w="7387"/>
      </w:tblGrid>
      <w:tr w14:paraId="7CF0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33" w:type="dxa"/>
            <w:gridSpan w:val="3"/>
            <w:noWrap w:val="0"/>
            <w:vAlign w:val="center"/>
          </w:tcPr>
          <w:p w14:paraId="487AA200">
            <w:pPr>
              <w:pStyle w:val="12"/>
              <w:pageBreakBefore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评分细则</w:t>
            </w:r>
          </w:p>
        </w:tc>
      </w:tr>
      <w:tr w14:paraId="6E53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noWrap w:val="0"/>
            <w:vAlign w:val="center"/>
          </w:tcPr>
          <w:p w14:paraId="015383E4">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价格部分</w:t>
            </w:r>
          </w:p>
          <w:p w14:paraId="1956533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8587" w:type="dxa"/>
            <w:gridSpan w:val="2"/>
            <w:noWrap w:val="0"/>
            <w:vAlign w:val="center"/>
          </w:tcPr>
          <w:p w14:paraId="55707EA7">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14:paraId="271253FB">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磋商报价得分=（磋商基准价/最后磋商报价）×10</w:t>
            </w:r>
          </w:p>
          <w:p w14:paraId="4E527B98">
            <w:pPr>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全部由符合政策要求的小微企业、监狱企业、享受政府采购支持政策的残疾人福利性单位承接的（以供应商提供的《中小企业声明函》、监狱企业证明文件和《残疾人福利性单位声明函》等相关材料为准），给予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%的价格扣除，用扣除后的价格参加评审。该供应商最后磋商报价=最后报价*（100%-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7A0E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restart"/>
            <w:noWrap w:val="0"/>
            <w:vAlign w:val="center"/>
          </w:tcPr>
          <w:p w14:paraId="72D68846">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商务部分</w:t>
            </w:r>
          </w:p>
          <w:p w14:paraId="2386F49A">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（12分）</w:t>
            </w:r>
          </w:p>
        </w:tc>
        <w:tc>
          <w:tcPr>
            <w:tcW w:w="1200" w:type="dxa"/>
            <w:noWrap w:val="0"/>
            <w:vAlign w:val="center"/>
          </w:tcPr>
          <w:p w14:paraId="537F22E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p w14:paraId="2A711AE3">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（4分）</w:t>
            </w:r>
          </w:p>
        </w:tc>
        <w:tc>
          <w:tcPr>
            <w:tcW w:w="7387" w:type="dxa"/>
            <w:noWrap w:val="0"/>
            <w:vAlign w:val="center"/>
          </w:tcPr>
          <w:p w14:paraId="51DFB3B4">
            <w:pPr>
              <w:pStyle w:val="12"/>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年10</w:t>
            </w:r>
            <w:r>
              <w:rPr>
                <w:rFonts w:hint="eastAsia" w:ascii="宋体" w:hAnsi="宋体" w:eastAsia="宋体" w:cs="宋体"/>
                <w:color w:val="000000" w:themeColor="text1"/>
                <w:sz w:val="24"/>
                <w:szCs w:val="24"/>
                <w:highlight w:val="none"/>
                <w14:textFill>
                  <w14:solidFill>
                    <w14:schemeClr w14:val="tx1"/>
                  </w14:solidFill>
                </w14:textFill>
              </w:rPr>
              <w:t>月1日以来承担过相同或类似工程的，响应文件中提供业绩合同扫描件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时间以合同签订日期为准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57ABFD0E">
            <w:pPr>
              <w:pStyle w:val="12"/>
              <w:pageBreakBefore w:val="0"/>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响应文件中提供证明材料原件扫描件。</w:t>
            </w:r>
          </w:p>
        </w:tc>
      </w:tr>
      <w:tr w14:paraId="3F9F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continue"/>
            <w:noWrap w:val="0"/>
            <w:vAlign w:val="center"/>
          </w:tcPr>
          <w:p w14:paraId="6F4AF7A0">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2480C3F">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投标人评价</w:t>
            </w:r>
          </w:p>
          <w:p w14:paraId="0BB721C4">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w:t>
            </w:r>
          </w:p>
        </w:tc>
        <w:tc>
          <w:tcPr>
            <w:tcW w:w="7387" w:type="dxa"/>
            <w:noWrap w:val="0"/>
            <w:vAlign w:val="center"/>
          </w:tcPr>
          <w:p w14:paraId="4F44D5CF">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Cs w:val="21"/>
                <w:lang w:bidi="ar"/>
              </w:rPr>
              <w:t>投标人具备机电工程施工总承包贰级及以上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投标人具备通信工程施工总承包贰级及以上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w:t>
            </w:r>
            <w:r>
              <w:rPr>
                <w:rFonts w:hint="eastAsia" w:ascii="宋体" w:hAnsi="宋体" w:eastAsia="宋体" w:cs="宋体"/>
                <w:b/>
                <w:bCs/>
                <w:color w:val="000000"/>
                <w:szCs w:val="21"/>
                <w:lang w:bidi="ar"/>
              </w:rPr>
              <w:t>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3E05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6" w:type="dxa"/>
            <w:vMerge w:val="continue"/>
            <w:noWrap w:val="0"/>
            <w:vAlign w:val="center"/>
          </w:tcPr>
          <w:p w14:paraId="730A3832">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D0CE556">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项目组成员配备</w:t>
            </w:r>
          </w:p>
          <w:p w14:paraId="1EEAC5D8">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（6分）</w:t>
            </w:r>
          </w:p>
        </w:tc>
        <w:tc>
          <w:tcPr>
            <w:tcW w:w="7387" w:type="dxa"/>
            <w:noWrap w:val="0"/>
            <w:vAlign w:val="center"/>
          </w:tcPr>
          <w:p w14:paraId="1B637403">
            <w:pPr>
              <w:pageBreakBefore w:val="0"/>
              <w:numPr>
                <w:ilvl w:val="0"/>
                <w:numId w:val="0"/>
              </w:numPr>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投标人拟派项目经理具有机电工程一级建造师、CISAW信息安全保障人员认证证书，以上证书均具备的得2分，未提供或提供不全不得分。</w:t>
            </w:r>
          </w:p>
          <w:p w14:paraId="00628837">
            <w:pPr>
              <w:pageBreakBefore w:val="0"/>
              <w:numPr>
                <w:ilvl w:val="0"/>
                <w:numId w:val="0"/>
              </w:numPr>
              <w:spacing w:line="360" w:lineRule="auto"/>
              <w:ind w:left="0" w:leftChars="0" w:firstLine="0" w:firstLineChars="0"/>
              <w:jc w:val="left"/>
              <w:rPr>
                <w:rFonts w:hint="eastAsia" w:ascii="宋体" w:hAnsi="宋体" w:eastAsia="宋体" w:cs="宋体"/>
                <w:color w:val="FF0000"/>
                <w:sz w:val="24"/>
                <w:szCs w:val="24"/>
                <w:highlight w:val="none"/>
                <w:lang w:val="en-US" w:eastAsia="zh-CN" w:bidi="ar-SA"/>
              </w:rPr>
            </w:pPr>
            <w:r>
              <w:rPr>
                <w:rFonts w:hint="eastAsia" w:ascii="宋体" w:hAnsi="宋体" w:eastAsia="宋体" w:cs="宋体"/>
                <w:color w:val="FF0000"/>
                <w:kern w:val="2"/>
                <w:sz w:val="24"/>
                <w:szCs w:val="24"/>
                <w:lang w:val="en-US" w:eastAsia="zh-CN" w:bidi="ar-SA"/>
              </w:rPr>
              <w:t>2、</w:t>
            </w:r>
            <w:r>
              <w:rPr>
                <w:rFonts w:hint="eastAsia" w:ascii="宋体" w:hAnsi="宋体" w:eastAsia="宋体" w:cs="宋体"/>
                <w:color w:val="FF0000"/>
                <w:sz w:val="24"/>
                <w:szCs w:val="24"/>
                <w:highlight w:val="none"/>
                <w:lang w:val="en-US" w:eastAsia="zh-CN" w:bidi="ar-SA"/>
              </w:rPr>
              <w:t>投标人技术负责人，具备机电工程一级建造师、中级项目管理专业人员CSPM-3，以上证书均具备的得2分，未提供或提供不全不得分。</w:t>
            </w:r>
          </w:p>
          <w:p w14:paraId="2F9DCD4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3、投标人除项目经理及技术负责人外拟派项目组其他人员，具有注册信息安全专业人员/CISP)、低压电工、电信机务员（网络通信安全管理员）、施工员（电气）；每</w:t>
            </w:r>
            <w:r>
              <w:rPr>
                <w:rFonts w:hint="eastAsia" w:ascii="宋体" w:hAnsi="宋体" w:eastAsia="宋体" w:cs="宋体"/>
                <w:color w:val="auto"/>
                <w:sz w:val="24"/>
                <w:szCs w:val="24"/>
                <w:highlight w:val="none"/>
                <w:lang w:val="en-US" w:eastAsia="zh-CN" w:bidi="ar-SA"/>
              </w:rPr>
              <w:t>提供1个对应证书</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得0.5分，最多得2分。同一人员具有多个证书的不重复得分，</w:t>
            </w:r>
            <w:r>
              <w:rPr>
                <w:rFonts w:hint="eastAsia" w:ascii="宋体" w:hAnsi="宋体" w:eastAsia="宋体" w:cs="宋体"/>
                <w:color w:val="auto"/>
                <w:sz w:val="24"/>
                <w:szCs w:val="24"/>
                <w:highlight w:val="none"/>
                <w:lang w:val="en-US" w:eastAsia="zh-CN" w:bidi="ar-SA"/>
              </w:rPr>
              <w:t xml:space="preserve">同一证书仅计1次得分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14:paraId="502ED831">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szCs w:val="21"/>
                <w:lang w:bidi="ar"/>
              </w:rPr>
              <w:t>以上拟派人员必须为投标人单位员工，提供相关证书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及开标前6个月内任意1个月（不含开标当月）由本单位缴纳的社保证明材料并加盖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2ABC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1246" w:type="dxa"/>
            <w:vMerge w:val="restart"/>
            <w:noWrap w:val="0"/>
            <w:vAlign w:val="center"/>
          </w:tcPr>
          <w:p w14:paraId="54A30061">
            <w:pPr>
              <w:pageBreakBefore w:val="0"/>
              <w:spacing w:line="360" w:lineRule="auto"/>
              <w:ind w:right="-153"/>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技术部分</w:t>
            </w:r>
          </w:p>
          <w:p w14:paraId="35D420E7">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78</w:t>
            </w:r>
            <w:r>
              <w:rPr>
                <w:rFonts w:hint="eastAsia" w:ascii="宋体" w:hAnsi="宋体" w:eastAsia="宋体" w:cs="宋体"/>
                <w:color w:val="FF0000"/>
                <w:sz w:val="24"/>
                <w:szCs w:val="24"/>
                <w:highlight w:val="none"/>
              </w:rPr>
              <w:t>分）</w:t>
            </w:r>
          </w:p>
        </w:tc>
        <w:tc>
          <w:tcPr>
            <w:tcW w:w="1200" w:type="dxa"/>
            <w:noWrap w:val="0"/>
            <w:vAlign w:val="center"/>
          </w:tcPr>
          <w:p w14:paraId="5B1599A3">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总体施</w:t>
            </w:r>
          </w:p>
          <w:p w14:paraId="1D6793B7">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lang w:val="en-US" w:eastAsia="zh-CN"/>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工方案</w:t>
            </w:r>
          </w:p>
          <w:p w14:paraId="31C4B3B8">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（12分）</w:t>
            </w:r>
          </w:p>
        </w:tc>
        <w:tc>
          <w:tcPr>
            <w:tcW w:w="7387" w:type="dxa"/>
            <w:noWrap w:val="0"/>
            <w:vAlign w:val="center"/>
          </w:tcPr>
          <w:p w14:paraId="629350EB">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评委依据供应商响应文件中施工组织总体设想、方案针对性进行评分：</w:t>
            </w:r>
          </w:p>
          <w:p w14:paraId="6404ABCA">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全面性(4分)：全面具体详实得4分；较全面得2分；不全面得1分。</w:t>
            </w:r>
          </w:p>
          <w:p w14:paraId="0E01D7C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可行性(4分)：符合实际切实可行得4分；较切实可行得2分；可行性欠缺得1分。</w:t>
            </w:r>
          </w:p>
          <w:p w14:paraId="79288C3F">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针对性（4分)：针对性强得4分；针对性较强得2分；针对性不强得1分。</w:t>
            </w:r>
          </w:p>
          <w:p w14:paraId="47B7B7C9">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未提供的不得分，本项最高得12分。</w:t>
            </w:r>
          </w:p>
        </w:tc>
      </w:tr>
      <w:tr w14:paraId="25BA6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1246" w:type="dxa"/>
            <w:vMerge w:val="continue"/>
            <w:noWrap w:val="0"/>
            <w:vAlign w:val="center"/>
          </w:tcPr>
          <w:p w14:paraId="3DE3FEAD">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EE4B041">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进度及</w:t>
            </w:r>
          </w:p>
          <w:p w14:paraId="0B8687F2">
            <w:pPr>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保证措施</w:t>
            </w:r>
          </w:p>
          <w:p w14:paraId="5F7A4B52">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5A37B1AB">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评委依据供应商响应文件中施工进度计划和各阶段进度的保证措施进行评分：</w:t>
            </w:r>
          </w:p>
          <w:p w14:paraId="568EF03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29B66A6D">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4F684940">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4D1A0C79">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3DF6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246" w:type="dxa"/>
            <w:vMerge w:val="continue"/>
            <w:noWrap w:val="0"/>
            <w:vAlign w:val="center"/>
          </w:tcPr>
          <w:p w14:paraId="051327C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58939040">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质量保</w:t>
            </w:r>
          </w:p>
          <w:p w14:paraId="0A0EA999">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证措施</w:t>
            </w:r>
          </w:p>
          <w:p w14:paraId="1A303296">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781A5C98">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评委依据供应商响应文件中质量保证措施及目标进行评分：</w:t>
            </w:r>
          </w:p>
          <w:p w14:paraId="4435A56B">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4EC94CD6">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09AEA632">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5D9EA4C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45A6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 w:hRule="atLeast"/>
        </w:trPr>
        <w:tc>
          <w:tcPr>
            <w:tcW w:w="1246" w:type="dxa"/>
            <w:vMerge w:val="continue"/>
            <w:noWrap w:val="0"/>
            <w:vAlign w:val="center"/>
          </w:tcPr>
          <w:p w14:paraId="71BE59A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5F9BC563">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安全文明</w:t>
            </w:r>
          </w:p>
          <w:p w14:paraId="7647CB81">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施工措施</w:t>
            </w:r>
          </w:p>
          <w:p w14:paraId="37711D6B">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56D5FA8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评委依据供应商响应文件中安全文明施工及环境保护措施进行评分：</w:t>
            </w:r>
          </w:p>
          <w:p w14:paraId="173829F4">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5E418EA9">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661C44CA">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p>
          <w:p w14:paraId="55460BAF">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7264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246" w:type="dxa"/>
            <w:vMerge w:val="continue"/>
            <w:noWrap w:val="0"/>
            <w:vAlign w:val="center"/>
          </w:tcPr>
          <w:p w14:paraId="7117A6B2">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280A066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劳动力、机械设备和材料投入</w:t>
            </w:r>
          </w:p>
          <w:p w14:paraId="58ED3300">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2306927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评委依据供应商响应文件中劳动力、机械设备和材料投入计划进行评分：</w:t>
            </w:r>
          </w:p>
          <w:p w14:paraId="501F9A96">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79CFC8E3">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6AB67AFB">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71524B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24A3C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46" w:type="dxa"/>
            <w:vMerge w:val="continue"/>
            <w:noWrap w:val="0"/>
            <w:vAlign w:val="center"/>
          </w:tcPr>
          <w:p w14:paraId="42E91F73">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4691255">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lang w:val="en-US" w:eastAsia="zh-CN"/>
              </w:rPr>
              <w:t>对接方案（15</w:t>
            </w:r>
            <w:r>
              <w:rPr>
                <w:rFonts w:hint="eastAsia" w:ascii="宋体" w:hAnsi="宋体" w:eastAsia="宋体" w:cs="宋体"/>
                <w:color w:val="FF0000"/>
                <w:sz w:val="24"/>
                <w:szCs w:val="24"/>
                <w:highlight w:val="none"/>
              </w:rPr>
              <w:t>分</w:t>
            </w:r>
            <w:r>
              <w:rPr>
                <w:rFonts w:hint="eastAsia" w:ascii="宋体" w:hAnsi="宋体" w:eastAsia="宋体" w:cs="宋体"/>
                <w:color w:val="FF0000"/>
                <w:sz w:val="24"/>
                <w:szCs w:val="24"/>
                <w:highlight w:val="none"/>
                <w:lang w:val="en-US" w:eastAsia="zh-CN"/>
              </w:rPr>
              <w:t>）</w:t>
            </w:r>
          </w:p>
        </w:tc>
        <w:tc>
          <w:tcPr>
            <w:tcW w:w="7387" w:type="dxa"/>
            <w:noWrap w:val="0"/>
            <w:vAlign w:val="center"/>
          </w:tcPr>
          <w:p w14:paraId="49D50F63">
            <w:pPr>
              <w:keepNext w:val="0"/>
              <w:keepLines w:val="0"/>
              <w:pageBreakBefore w:val="0"/>
              <w:widowControl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2"/>
                <w:highlight w:val="none"/>
                <w:lang w:val="en-US" w:eastAsia="zh-CN"/>
              </w:rPr>
              <w:t>根据项目情况,提供详细的对接方案，内容包含但不限于应用对接方案，数据对接方案，对所需对接应用接口类型、数据类型进行详细说明，方案内容能够全部覆盖本次项目建设所需要的应用接口类型，数据资源，符合铜山交管车辆大数据应用平台现状，根据对接方案的全面性、针对性、可行性进行评价</w:t>
            </w:r>
            <w:r>
              <w:rPr>
                <w:rFonts w:hint="eastAsia" w:ascii="宋体" w:hAnsi="宋体" w:eastAsia="宋体" w:cs="宋体"/>
                <w:color w:val="000000" w:themeColor="text1"/>
                <w:sz w:val="24"/>
                <w:szCs w:val="24"/>
                <w:highlight w:val="none"/>
                <w14:textFill>
                  <w14:solidFill>
                    <w14:schemeClr w14:val="tx1"/>
                  </w14:solidFill>
                </w14:textFill>
              </w:rPr>
              <w:t>：</w:t>
            </w:r>
          </w:p>
          <w:p w14:paraId="622605F4">
            <w:pPr>
              <w:pStyle w:val="12"/>
              <w:pageBreakBefore w:val="0"/>
              <w:spacing w:line="360" w:lineRule="auto"/>
              <w:jc w:val="left"/>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全面性(</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分)：全面具体详实得</w:t>
            </w:r>
            <w:r>
              <w:rPr>
                <w:rFonts w:hint="eastAsia" w:ascii="宋体" w:hAnsi="宋体" w:eastAsia="宋体" w:cs="宋体"/>
                <w:color w:val="FF0000"/>
                <w:sz w:val="24"/>
                <w:szCs w:val="24"/>
                <w:highlight w:val="none"/>
                <w:lang w:val="en-US" w:eastAsia="zh-CN"/>
              </w:rPr>
              <w:t>5</w:t>
            </w:r>
            <w:r>
              <w:rPr>
                <w:rFonts w:hint="eastAsia" w:ascii="宋体" w:hAnsi="宋体" w:eastAsia="宋体" w:cs="宋体"/>
                <w:color w:val="FF0000"/>
                <w:sz w:val="24"/>
                <w:szCs w:val="24"/>
                <w:highlight w:val="none"/>
              </w:rPr>
              <w:t>分；较全面得</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分；不全面得1分。</w:t>
            </w:r>
          </w:p>
          <w:p w14:paraId="6FE7150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分)：符合实际切实可行得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分；较切实可行得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分；可行性欠缺得1分。</w:t>
            </w:r>
          </w:p>
          <w:p w14:paraId="72D20412">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分；针对性较强得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69FE66">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未提供的不得分，本项最高得15分。</w:t>
            </w:r>
          </w:p>
        </w:tc>
      </w:tr>
      <w:tr w14:paraId="0FB65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trPr>
        <w:tc>
          <w:tcPr>
            <w:tcW w:w="1246" w:type="dxa"/>
            <w:vMerge w:val="continue"/>
            <w:noWrap w:val="0"/>
            <w:vAlign w:val="center"/>
          </w:tcPr>
          <w:p w14:paraId="2072F257">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tcBorders>
              <w:right w:val="single" w:color="auto" w:sz="4" w:space="0"/>
            </w:tcBorders>
            <w:noWrap w:val="0"/>
            <w:vAlign w:val="center"/>
          </w:tcPr>
          <w:p w14:paraId="79F90C44">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关键施工技术、工艺及工程项目实施的重点、难点和解决方案</w:t>
            </w:r>
          </w:p>
          <w:p w14:paraId="4180DC9A">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tcBorders>
              <w:left w:val="single" w:color="auto" w:sz="4" w:space="0"/>
            </w:tcBorders>
            <w:noWrap w:val="0"/>
            <w:vAlign w:val="center"/>
          </w:tcPr>
          <w:p w14:paraId="7083468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评委依据供应商响应文件中关键施工技术、工艺及工程项目实施的重点、难点和解决方案进行评分：</w:t>
            </w:r>
          </w:p>
          <w:p w14:paraId="1DA9650C">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5388490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3ABC9C3A">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D4EFF7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4A18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46" w:type="dxa"/>
            <w:vMerge w:val="continue"/>
            <w:noWrap w:val="0"/>
            <w:vAlign w:val="center"/>
          </w:tcPr>
          <w:p w14:paraId="57FE07D0">
            <w:pPr>
              <w:pStyle w:val="13"/>
              <w:pageBreakBefore w:val="0"/>
              <w:spacing w:line="360" w:lineRule="auto"/>
              <w:ind w:firstLine="0"/>
              <w:jc w:val="center"/>
              <w:rPr>
                <w:rFonts w:hint="eastAsia" w:ascii="宋体" w:hAnsi="宋体" w:eastAsia="宋体" w:cs="宋体"/>
                <w:color w:val="000000"/>
                <w:sz w:val="24"/>
                <w:highlight w:val="none"/>
                <w:lang w:val="en-US" w:eastAsia="zh-CN"/>
              </w:rPr>
            </w:pPr>
          </w:p>
        </w:tc>
        <w:tc>
          <w:tcPr>
            <w:tcW w:w="1200" w:type="dxa"/>
            <w:noWrap w:val="0"/>
            <w:vAlign w:val="center"/>
          </w:tcPr>
          <w:p w14:paraId="2988981A">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售后服务方案</w:t>
            </w:r>
          </w:p>
          <w:p w14:paraId="626641C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(6分）</w:t>
            </w:r>
          </w:p>
        </w:tc>
        <w:tc>
          <w:tcPr>
            <w:tcW w:w="7387" w:type="dxa"/>
            <w:noWrap w:val="0"/>
            <w:vAlign w:val="center"/>
          </w:tcPr>
          <w:p w14:paraId="1B8A64FF">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根据响应文件中的售后服务方案进行综合评价。</w:t>
            </w:r>
          </w:p>
          <w:p w14:paraId="3ED14A64">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全面性(2分)：全面详实的得2分；较全面的得1分；基本具备的得0.5分。</w:t>
            </w:r>
          </w:p>
          <w:p w14:paraId="02B3297C">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针对性（2分)：针对性强得2分；针对性较强得1分；欠缺针对性的得0.5分。</w:t>
            </w:r>
          </w:p>
          <w:p w14:paraId="12AC432F">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可操作性（2分）：操作性强的得2分，操作性较强的得1分，操作性欠缺的得0.5分。</w:t>
            </w:r>
          </w:p>
          <w:p w14:paraId="372B750D">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未提供的不得分，最高得6分。</w:t>
            </w:r>
          </w:p>
        </w:tc>
      </w:tr>
    </w:tbl>
    <w:p w14:paraId="409916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B33E6C6">
      <w:pPr>
        <w:rPr>
          <w:rFonts w:hint="eastAsia" w:ascii="宋体" w:hAnsi="宋体" w:eastAsia="宋体" w:cs="宋体"/>
          <w:color w:val="FF0000"/>
          <w:kern w:val="0"/>
          <w:sz w:val="24"/>
          <w:szCs w:val="24"/>
          <w:highlight w:val="none"/>
          <w:lang w:eastAsia="zh-CN"/>
        </w:rPr>
      </w:pPr>
    </w:p>
    <w:p w14:paraId="0E59FF51">
      <w:pPr>
        <w:rPr>
          <w:rFonts w:hint="eastAsia" w:ascii="宋体" w:hAnsi="宋体" w:eastAsia="宋体" w:cs="宋体"/>
          <w:color w:val="FF0000"/>
          <w:kern w:val="0"/>
          <w:sz w:val="24"/>
          <w:szCs w:val="24"/>
          <w:highlight w:val="none"/>
          <w:lang w:eastAsia="zh-CN"/>
        </w:rPr>
      </w:pPr>
    </w:p>
    <w:p w14:paraId="3CF0FD53">
      <w:pPr>
        <w:rPr>
          <w:rFonts w:hint="eastAsia" w:ascii="宋体" w:hAnsi="宋体" w:eastAsia="宋体" w:cs="宋体"/>
          <w:color w:val="FF0000"/>
          <w:kern w:val="0"/>
          <w:sz w:val="24"/>
          <w:szCs w:val="24"/>
          <w:highlight w:val="none"/>
          <w:lang w:eastAsia="zh-CN"/>
        </w:rPr>
      </w:pPr>
    </w:p>
    <w:p w14:paraId="4E691786">
      <w:pPr>
        <w:rPr>
          <w:rFonts w:hint="eastAsia" w:ascii="宋体" w:hAnsi="宋体" w:eastAsia="宋体" w:cs="宋体"/>
          <w:color w:val="FF0000"/>
          <w:kern w:val="0"/>
          <w:sz w:val="24"/>
          <w:szCs w:val="24"/>
          <w:highlight w:val="none"/>
          <w:lang w:eastAsia="zh-CN"/>
        </w:rPr>
      </w:pPr>
    </w:p>
    <w:p w14:paraId="0F9CFB4A">
      <w:pPr>
        <w:rPr>
          <w:rFonts w:hint="eastAsia" w:ascii="宋体" w:hAnsi="宋体" w:eastAsia="宋体" w:cs="宋体"/>
          <w:color w:val="FF0000"/>
          <w:kern w:val="0"/>
          <w:sz w:val="24"/>
          <w:szCs w:val="24"/>
          <w:highlight w:val="none"/>
          <w:lang w:eastAsia="zh-CN"/>
        </w:rPr>
      </w:pPr>
    </w:p>
    <w:p w14:paraId="73B844A1">
      <w:pPr>
        <w:rPr>
          <w:rFonts w:hint="eastAsia" w:ascii="宋体" w:hAnsi="宋体" w:eastAsia="宋体" w:cs="宋体"/>
          <w:color w:val="FF0000"/>
          <w:kern w:val="0"/>
          <w:sz w:val="24"/>
          <w:szCs w:val="24"/>
          <w:highlight w:val="none"/>
          <w:lang w:eastAsia="zh-CN"/>
        </w:rPr>
      </w:pPr>
    </w:p>
    <w:p w14:paraId="3BF1232A">
      <w:pPr>
        <w:pStyle w:val="6"/>
        <w:rPr>
          <w:rFonts w:hint="eastAsia" w:ascii="宋体" w:hAnsi="宋体" w:eastAsia="宋体" w:cs="宋体"/>
          <w:color w:val="FF0000"/>
          <w:kern w:val="0"/>
          <w:sz w:val="24"/>
          <w:szCs w:val="24"/>
          <w:highlight w:val="none"/>
          <w:lang w:eastAsia="zh-CN"/>
        </w:rPr>
      </w:pPr>
    </w:p>
    <w:p w14:paraId="120126BE">
      <w:pPr>
        <w:rPr>
          <w:rFonts w:hint="eastAsia" w:ascii="宋体" w:hAnsi="宋体" w:eastAsia="宋体" w:cs="宋体"/>
          <w:color w:val="FF0000"/>
          <w:kern w:val="0"/>
          <w:sz w:val="24"/>
          <w:szCs w:val="24"/>
          <w:highlight w:val="none"/>
          <w:lang w:eastAsia="zh-CN"/>
        </w:rPr>
      </w:pPr>
    </w:p>
    <w:p w14:paraId="181B043A">
      <w:pPr>
        <w:pStyle w:val="6"/>
        <w:rPr>
          <w:rFonts w:hint="eastAsia" w:ascii="宋体" w:hAnsi="宋体" w:eastAsia="宋体" w:cs="宋体"/>
          <w:color w:val="FF0000"/>
          <w:kern w:val="0"/>
          <w:sz w:val="24"/>
          <w:szCs w:val="24"/>
          <w:highlight w:val="none"/>
          <w:lang w:eastAsia="zh-CN"/>
        </w:rPr>
      </w:pPr>
    </w:p>
    <w:p w14:paraId="5ABE6FE2">
      <w:pPr>
        <w:rPr>
          <w:rFonts w:hint="eastAsia" w:ascii="宋体" w:hAnsi="宋体" w:eastAsia="宋体" w:cs="宋体"/>
          <w:color w:val="FF0000"/>
          <w:kern w:val="0"/>
          <w:sz w:val="24"/>
          <w:szCs w:val="24"/>
          <w:highlight w:val="none"/>
          <w:lang w:eastAsia="zh-CN"/>
        </w:rPr>
      </w:pPr>
    </w:p>
    <w:p w14:paraId="3E7D6E38">
      <w:pPr>
        <w:pStyle w:val="6"/>
        <w:rPr>
          <w:rFonts w:hint="eastAsia"/>
          <w:lang w:eastAsia="zh-CN"/>
        </w:rPr>
      </w:pPr>
    </w:p>
    <w:p w14:paraId="5C1B3651">
      <w:pPr>
        <w:rPr>
          <w:rFonts w:hint="eastAsia" w:ascii="宋体" w:hAnsi="宋体" w:eastAsia="宋体" w:cs="宋体"/>
          <w:b/>
          <w:bCs/>
          <w:color w:val="FF0000"/>
          <w:kern w:val="0"/>
          <w:sz w:val="24"/>
          <w:szCs w:val="24"/>
          <w:highlight w:val="none"/>
          <w:lang w:eastAsia="zh-CN"/>
        </w:rPr>
      </w:pPr>
    </w:p>
    <w:p w14:paraId="247EF637">
      <w:pPr>
        <w:rPr>
          <w:rFonts w:hint="eastAsia" w:ascii="宋体" w:hAnsi="宋体" w:eastAsia="宋体" w:cs="宋体"/>
          <w:b/>
          <w:bCs/>
          <w:color w:val="FF0000"/>
          <w:kern w:val="0"/>
          <w:sz w:val="24"/>
          <w:szCs w:val="24"/>
          <w:highlight w:val="none"/>
          <w:lang w:eastAsia="zh-CN"/>
        </w:rPr>
      </w:pPr>
    </w:p>
    <w:p w14:paraId="2DABAB8D">
      <w:pPr>
        <w:rPr>
          <w:rFonts w:hint="eastAsia" w:ascii="宋体" w:hAnsi="宋体" w:eastAsia="宋体" w:cs="宋体"/>
          <w:b/>
          <w:bCs/>
          <w:color w:val="FF0000"/>
          <w:kern w:val="0"/>
          <w:sz w:val="24"/>
          <w:szCs w:val="24"/>
          <w:highlight w:val="none"/>
          <w:lang w:eastAsia="zh-CN"/>
        </w:rPr>
      </w:pPr>
    </w:p>
    <w:p w14:paraId="61368957">
      <w:pPr>
        <w:rPr>
          <w:rFonts w:hint="eastAsia" w:ascii="宋体" w:hAnsi="宋体" w:eastAsia="宋体" w:cs="宋体"/>
          <w:b/>
          <w:bCs/>
          <w:color w:val="FF0000"/>
          <w:kern w:val="0"/>
          <w:sz w:val="24"/>
          <w:szCs w:val="24"/>
          <w:highlight w:val="none"/>
          <w:lang w:eastAsia="zh-CN"/>
        </w:rPr>
      </w:pPr>
    </w:p>
    <w:p w14:paraId="4272CDA1">
      <w:pPr>
        <w:rPr>
          <w:rFonts w:hint="eastAsia" w:ascii="宋体" w:hAnsi="宋体" w:eastAsia="宋体" w:cs="宋体"/>
          <w:b/>
          <w:bCs/>
          <w:color w:val="FF0000"/>
          <w:kern w:val="0"/>
          <w:sz w:val="24"/>
          <w:szCs w:val="24"/>
          <w:highlight w:val="none"/>
          <w:lang w:eastAsia="zh-CN"/>
        </w:rPr>
      </w:pPr>
    </w:p>
    <w:p w14:paraId="42D663F1">
      <w:pPr>
        <w:rPr>
          <w:rFonts w:hint="eastAsia" w:ascii="宋体" w:hAnsi="宋体" w:eastAsia="宋体" w:cs="宋体"/>
          <w:b/>
          <w:bCs/>
          <w:color w:val="FF0000"/>
          <w:kern w:val="0"/>
          <w:sz w:val="24"/>
          <w:szCs w:val="24"/>
          <w:highlight w:val="none"/>
          <w:lang w:eastAsia="zh-CN"/>
        </w:rPr>
      </w:pPr>
    </w:p>
    <w:p w14:paraId="023AE60C">
      <w:pPr>
        <w:rPr>
          <w:rFonts w:hint="eastAsia" w:ascii="宋体" w:hAnsi="宋体" w:eastAsia="宋体" w:cs="宋体"/>
          <w:b/>
          <w:bCs/>
          <w:color w:val="FF0000"/>
          <w:kern w:val="0"/>
          <w:sz w:val="24"/>
          <w:szCs w:val="24"/>
          <w:highlight w:val="none"/>
          <w:lang w:eastAsia="zh-CN"/>
        </w:rPr>
      </w:pPr>
    </w:p>
    <w:p w14:paraId="10F9AAFF">
      <w:pPr>
        <w:rPr>
          <w:rFonts w:hint="eastAsia" w:ascii="宋体" w:hAnsi="宋体" w:eastAsia="宋体" w:cs="宋体"/>
          <w:b/>
          <w:bCs/>
          <w:color w:val="FF0000"/>
          <w:kern w:val="0"/>
          <w:sz w:val="24"/>
          <w:szCs w:val="24"/>
          <w:highlight w:val="none"/>
          <w:lang w:eastAsia="zh-CN"/>
        </w:rPr>
      </w:pPr>
    </w:p>
    <w:p w14:paraId="233CCACF">
      <w:pPr>
        <w:rPr>
          <w:rFonts w:hint="eastAsia" w:ascii="宋体" w:hAnsi="宋体" w:eastAsia="宋体" w:cs="宋体"/>
          <w:b/>
          <w:bCs/>
          <w:color w:val="FF0000"/>
          <w:kern w:val="0"/>
          <w:sz w:val="24"/>
          <w:szCs w:val="24"/>
          <w:highlight w:val="none"/>
          <w:lang w:eastAsia="zh-CN"/>
        </w:rPr>
      </w:pPr>
    </w:p>
    <w:p w14:paraId="12FA2F0D">
      <w:pPr>
        <w:rPr>
          <w:rFonts w:hint="eastAsia" w:ascii="宋体" w:hAnsi="宋体" w:eastAsia="宋体" w:cs="宋体"/>
          <w:b/>
          <w:bCs/>
          <w:color w:val="FF0000"/>
          <w:kern w:val="0"/>
          <w:sz w:val="24"/>
          <w:szCs w:val="24"/>
          <w:highlight w:val="none"/>
          <w:lang w:eastAsia="zh-CN"/>
        </w:rPr>
      </w:pPr>
    </w:p>
    <w:p w14:paraId="6997B2E2">
      <w:pPr>
        <w:rPr>
          <w:rFonts w:hint="eastAsia" w:ascii="宋体" w:hAnsi="宋体" w:eastAsia="宋体" w:cs="宋体"/>
          <w:b/>
          <w:bCs/>
          <w:color w:val="FF0000"/>
          <w:kern w:val="0"/>
          <w:sz w:val="24"/>
          <w:szCs w:val="24"/>
          <w:highlight w:val="none"/>
          <w:lang w:eastAsia="zh-CN"/>
        </w:rPr>
      </w:pPr>
    </w:p>
    <w:p w14:paraId="60002E00">
      <w:pPr>
        <w:rPr>
          <w:rFonts w:hint="eastAsia" w:ascii="宋体" w:hAnsi="宋体" w:eastAsia="宋体" w:cs="宋体"/>
          <w:b/>
          <w:bCs/>
          <w:color w:val="FF0000"/>
          <w:kern w:val="0"/>
          <w:sz w:val="24"/>
          <w:szCs w:val="24"/>
          <w:highlight w:val="none"/>
          <w:lang w:eastAsia="zh-CN"/>
        </w:rPr>
      </w:pPr>
    </w:p>
    <w:p w14:paraId="190C61E5">
      <w:pPr>
        <w:rPr>
          <w:rFonts w:hint="eastAsia" w:ascii="宋体" w:hAnsi="宋体" w:eastAsia="宋体" w:cs="宋体"/>
          <w:b/>
          <w:bCs/>
          <w:color w:val="FF0000"/>
          <w:kern w:val="0"/>
          <w:sz w:val="24"/>
          <w:szCs w:val="24"/>
          <w:highlight w:val="none"/>
          <w:lang w:eastAsia="zh-CN"/>
        </w:rPr>
      </w:pPr>
    </w:p>
    <w:p w14:paraId="4FC70375">
      <w:pPr>
        <w:rPr>
          <w:rFonts w:hint="eastAsia" w:ascii="宋体" w:hAnsi="宋体" w:eastAsia="宋体" w:cs="宋体"/>
          <w:b/>
          <w:bCs/>
          <w:color w:val="FF0000"/>
          <w:kern w:val="0"/>
          <w:sz w:val="24"/>
          <w:szCs w:val="24"/>
          <w:highlight w:val="none"/>
          <w:lang w:eastAsia="zh-CN"/>
        </w:rPr>
      </w:pPr>
    </w:p>
    <w:p w14:paraId="4C1FFC0B">
      <w:pPr>
        <w:rPr>
          <w:rFonts w:hint="eastAsia" w:ascii="宋体" w:hAnsi="宋体" w:eastAsia="宋体" w:cs="宋体"/>
          <w:b/>
          <w:bCs/>
          <w:color w:val="FF0000"/>
          <w:kern w:val="0"/>
          <w:sz w:val="24"/>
          <w:szCs w:val="24"/>
          <w:highlight w:val="none"/>
          <w:lang w:eastAsia="zh-CN"/>
        </w:rPr>
      </w:pPr>
    </w:p>
    <w:p w14:paraId="7348BCAE">
      <w:pPr>
        <w:rPr>
          <w:rFonts w:hint="eastAsia" w:ascii="宋体" w:hAnsi="宋体" w:eastAsia="宋体" w:cs="宋体"/>
          <w:b/>
          <w:bCs/>
          <w:color w:val="FF0000"/>
          <w:kern w:val="0"/>
          <w:sz w:val="24"/>
          <w:szCs w:val="24"/>
          <w:highlight w:val="none"/>
          <w:lang w:eastAsia="zh-CN"/>
        </w:rPr>
      </w:pPr>
      <w:bookmarkStart w:id="0" w:name="_GoBack"/>
      <w:bookmarkEnd w:id="0"/>
      <w:r>
        <w:rPr>
          <w:rFonts w:hint="eastAsia" w:ascii="宋体" w:hAnsi="宋体" w:eastAsia="宋体" w:cs="宋体"/>
          <w:b/>
          <w:bCs/>
          <w:color w:val="FF0000"/>
          <w:kern w:val="0"/>
          <w:sz w:val="24"/>
          <w:szCs w:val="24"/>
          <w:highlight w:val="none"/>
          <w:lang w:eastAsia="zh-CN"/>
        </w:rPr>
        <w:t>现更正为：</w:t>
      </w:r>
    </w:p>
    <w:p w14:paraId="61D606A6">
      <w:pPr>
        <w:pStyle w:val="6"/>
        <w:rPr>
          <w:rFonts w:hint="eastAsia"/>
          <w:lang w:eastAsia="zh-CN"/>
        </w:rPr>
      </w:pPr>
    </w:p>
    <w:tbl>
      <w:tblPr>
        <w:tblStyle w:val="7"/>
        <w:tblW w:w="9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6"/>
        <w:gridCol w:w="1200"/>
        <w:gridCol w:w="7387"/>
      </w:tblGrid>
      <w:tr w14:paraId="2588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833" w:type="dxa"/>
            <w:gridSpan w:val="3"/>
            <w:noWrap w:val="0"/>
            <w:vAlign w:val="center"/>
          </w:tcPr>
          <w:p w14:paraId="19439445">
            <w:pPr>
              <w:pStyle w:val="12"/>
              <w:pageBreakBefore w:val="0"/>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评分细则</w:t>
            </w:r>
          </w:p>
        </w:tc>
      </w:tr>
      <w:tr w14:paraId="52F0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noWrap w:val="0"/>
            <w:vAlign w:val="center"/>
          </w:tcPr>
          <w:p w14:paraId="45534C2E">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价格部分</w:t>
            </w:r>
          </w:p>
          <w:p w14:paraId="4925F709">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8587" w:type="dxa"/>
            <w:gridSpan w:val="2"/>
            <w:noWrap w:val="0"/>
            <w:vAlign w:val="center"/>
          </w:tcPr>
          <w:p w14:paraId="3F4424AE">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14:paraId="5AEBEC08">
            <w:pPr>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磋商报价得分=（磋商基准价/最后磋商报价）×10</w:t>
            </w:r>
          </w:p>
          <w:p w14:paraId="6E3EDFB3">
            <w:pPr>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全部由符合政策要求的小微企业、监狱企业、享受政府采购支持政策的残疾人福利性单位承接的（以供应商提供的《中小企业声明函》、监狱企业证明文件和《残疾人福利性单位声明函》等相关材料为准），给予</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%的价格扣除，用扣除后的价格参加评审。该供应商最后磋商报价=最后报价*（100%-</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2BE3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restart"/>
            <w:noWrap w:val="0"/>
            <w:vAlign w:val="center"/>
          </w:tcPr>
          <w:p w14:paraId="250C2332">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商务部分</w:t>
            </w:r>
          </w:p>
          <w:p w14:paraId="0415F033">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（1</w:t>
            </w:r>
            <w:r>
              <w:rPr>
                <w:rFonts w:hint="eastAsia" w:ascii="宋体" w:hAnsi="宋体" w:cs="宋体"/>
                <w:color w:val="FF0000"/>
                <w:sz w:val="24"/>
                <w:szCs w:val="24"/>
                <w:highlight w:val="none"/>
                <w:lang w:val="en-US" w:eastAsia="zh-CN"/>
              </w:rPr>
              <w:t>1</w:t>
            </w:r>
            <w:r>
              <w:rPr>
                <w:rFonts w:hint="eastAsia" w:ascii="宋体" w:hAnsi="宋体" w:eastAsia="宋体" w:cs="宋体"/>
                <w:color w:val="FF0000"/>
                <w:sz w:val="24"/>
                <w:szCs w:val="24"/>
                <w:highlight w:val="none"/>
                <w:lang w:val="en-US" w:eastAsia="zh-CN"/>
              </w:rPr>
              <w:t>分）</w:t>
            </w:r>
          </w:p>
        </w:tc>
        <w:tc>
          <w:tcPr>
            <w:tcW w:w="1200" w:type="dxa"/>
            <w:noWrap w:val="0"/>
            <w:vAlign w:val="center"/>
          </w:tcPr>
          <w:p w14:paraId="4001B158">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p w14:paraId="3656E93B">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（4分）</w:t>
            </w:r>
          </w:p>
        </w:tc>
        <w:tc>
          <w:tcPr>
            <w:tcW w:w="7387" w:type="dxa"/>
            <w:noWrap w:val="0"/>
            <w:vAlign w:val="center"/>
          </w:tcPr>
          <w:p w14:paraId="4922DDD6">
            <w:pPr>
              <w:pStyle w:val="12"/>
              <w:pageBreakBefore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年10</w:t>
            </w:r>
            <w:r>
              <w:rPr>
                <w:rFonts w:hint="eastAsia" w:ascii="宋体" w:hAnsi="宋体" w:eastAsia="宋体" w:cs="宋体"/>
                <w:color w:val="000000" w:themeColor="text1"/>
                <w:sz w:val="24"/>
                <w:szCs w:val="24"/>
                <w:highlight w:val="none"/>
                <w14:textFill>
                  <w14:solidFill>
                    <w14:schemeClr w14:val="tx1"/>
                  </w14:solidFill>
                </w14:textFill>
              </w:rPr>
              <w:t>月1日以来承担过相同或类似工程的，响应文件中提供业绩合同扫描件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时间以合同签订日期为准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4D1C6399">
            <w:pPr>
              <w:pStyle w:val="12"/>
              <w:pageBreakBefore w:val="0"/>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响应文件中提供证明材料原件扫描件。</w:t>
            </w:r>
          </w:p>
        </w:tc>
      </w:tr>
      <w:tr w14:paraId="2BD3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1246" w:type="dxa"/>
            <w:vMerge w:val="continue"/>
            <w:noWrap w:val="0"/>
            <w:vAlign w:val="center"/>
          </w:tcPr>
          <w:p w14:paraId="4F4F986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39486054">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投标人评价</w:t>
            </w:r>
          </w:p>
          <w:p w14:paraId="48524CA5">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（2分）</w:t>
            </w:r>
          </w:p>
        </w:tc>
        <w:tc>
          <w:tcPr>
            <w:tcW w:w="7387" w:type="dxa"/>
            <w:noWrap w:val="0"/>
            <w:vAlign w:val="center"/>
          </w:tcPr>
          <w:p w14:paraId="7E2A4589">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Cs w:val="21"/>
                <w:lang w:bidi="ar"/>
              </w:rPr>
              <w:t>投标人具备机电工程施工总承包贰级及以上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投标人具备通信工程施工总承包贰级及以上</w:t>
            </w:r>
            <w:r>
              <w:rPr>
                <w:rFonts w:hint="eastAsia" w:ascii="宋体" w:hAnsi="宋体" w:eastAsia="宋体" w:cs="宋体"/>
                <w:color w:val="000000"/>
                <w:szCs w:val="21"/>
                <w:lang w:val="en-US" w:eastAsia="zh-CN" w:bidi="ar"/>
              </w:rPr>
              <w:t>资质</w:t>
            </w:r>
            <w:r>
              <w:rPr>
                <w:rFonts w:hint="eastAsia" w:ascii="宋体" w:hAnsi="宋体" w:eastAsia="宋体" w:cs="宋体"/>
                <w:color w:val="000000"/>
                <w:szCs w:val="21"/>
                <w:lang w:bidi="ar"/>
              </w:rPr>
              <w:t>证书得1分，</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未提供</w:t>
            </w:r>
            <w:r>
              <w:rPr>
                <w:rFonts w:hint="eastAsia" w:ascii="宋体" w:hAnsi="宋体" w:eastAsia="宋体" w:cs="宋体"/>
                <w:color w:val="000000"/>
                <w:szCs w:val="21"/>
                <w:lang w:bidi="ar"/>
              </w:rPr>
              <w:t>不得分。</w:t>
            </w:r>
            <w:r>
              <w:rPr>
                <w:rFonts w:hint="eastAsia" w:ascii="宋体" w:hAnsi="宋体" w:eastAsia="宋体" w:cs="宋体"/>
                <w:color w:val="000000"/>
                <w:szCs w:val="21"/>
                <w:lang w:bidi="ar"/>
              </w:rPr>
              <w:br w:type="textWrapping"/>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响应文件中</w:t>
            </w:r>
            <w:r>
              <w:rPr>
                <w:rFonts w:hint="eastAsia" w:ascii="宋体" w:hAnsi="宋体" w:eastAsia="宋体" w:cs="宋体"/>
                <w:b/>
                <w:bCs/>
                <w:color w:val="000000"/>
                <w:szCs w:val="21"/>
                <w:lang w:bidi="ar"/>
              </w:rPr>
              <w:t>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3BAE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6" w:type="dxa"/>
            <w:vMerge w:val="continue"/>
            <w:noWrap w:val="0"/>
            <w:vAlign w:val="center"/>
          </w:tcPr>
          <w:p w14:paraId="2EB21047">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03260A66">
            <w:pPr>
              <w:pStyle w:val="12"/>
              <w:pageBreakBefore w:val="0"/>
              <w:spacing w:line="360" w:lineRule="auto"/>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项目组成员配备</w:t>
            </w:r>
          </w:p>
          <w:p w14:paraId="0B727DAF">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5</w:t>
            </w:r>
            <w:r>
              <w:rPr>
                <w:rFonts w:hint="eastAsia" w:ascii="宋体" w:hAnsi="宋体" w:eastAsia="宋体" w:cs="宋体"/>
                <w:color w:val="FF0000"/>
                <w:sz w:val="24"/>
                <w:szCs w:val="24"/>
                <w:highlight w:val="none"/>
                <w:lang w:val="en-US" w:eastAsia="zh-CN"/>
              </w:rPr>
              <w:t>分）</w:t>
            </w:r>
          </w:p>
        </w:tc>
        <w:tc>
          <w:tcPr>
            <w:tcW w:w="7387" w:type="dxa"/>
            <w:noWrap w:val="0"/>
            <w:vAlign w:val="center"/>
          </w:tcPr>
          <w:p w14:paraId="00FE9027">
            <w:pPr>
              <w:pageBreakBefore w:val="0"/>
              <w:numPr>
                <w:ilvl w:val="0"/>
                <w:numId w:val="0"/>
              </w:numPr>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投标人拟派项目经理具有机电工程一级建造师、CISAW信息安全保障人员认证证书，以上证书均具备的得2分，未提供或提供不全不得分。</w:t>
            </w:r>
          </w:p>
          <w:p w14:paraId="307C6610">
            <w:pPr>
              <w:pageBreakBefore w:val="0"/>
              <w:numPr>
                <w:ilvl w:val="0"/>
                <w:numId w:val="0"/>
              </w:numPr>
              <w:spacing w:line="360" w:lineRule="auto"/>
              <w:ind w:left="0" w:leftChars="0" w:firstLine="0" w:firstLineChars="0"/>
              <w:jc w:val="left"/>
              <w:rPr>
                <w:rFonts w:hint="eastAsia" w:ascii="宋体" w:hAnsi="宋体" w:eastAsia="宋体" w:cs="宋体"/>
                <w:color w:val="FF0000"/>
                <w:sz w:val="24"/>
                <w:szCs w:val="24"/>
                <w:highlight w:val="none"/>
                <w:lang w:val="en-US" w:eastAsia="zh-CN" w:bidi="ar-SA"/>
              </w:rPr>
            </w:pPr>
            <w:r>
              <w:rPr>
                <w:rFonts w:hint="eastAsia" w:ascii="宋体" w:hAnsi="宋体" w:cs="宋体"/>
                <w:color w:val="FF0000"/>
                <w:kern w:val="2"/>
                <w:sz w:val="24"/>
                <w:szCs w:val="24"/>
                <w:lang w:val="en-US" w:eastAsia="zh-CN" w:bidi="ar-SA"/>
              </w:rPr>
              <w:t>2</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sz w:val="24"/>
                <w:szCs w:val="24"/>
                <w:highlight w:val="none"/>
                <w:lang w:val="en-US" w:eastAsia="zh-CN" w:bidi="ar-SA"/>
              </w:rPr>
              <w:t>投标人技术负责人，具备机电工程一级建造师得</w:t>
            </w:r>
            <w:r>
              <w:rPr>
                <w:rFonts w:hint="eastAsia" w:ascii="宋体" w:hAnsi="宋体" w:cs="宋体"/>
                <w:color w:val="FF0000"/>
                <w:sz w:val="24"/>
                <w:szCs w:val="24"/>
                <w:highlight w:val="none"/>
                <w:lang w:val="en-US" w:eastAsia="zh-CN" w:bidi="ar-SA"/>
              </w:rPr>
              <w:t>1</w:t>
            </w:r>
            <w:r>
              <w:rPr>
                <w:rFonts w:hint="eastAsia" w:ascii="宋体" w:hAnsi="宋体" w:eastAsia="宋体" w:cs="宋体"/>
                <w:color w:val="FF0000"/>
                <w:sz w:val="24"/>
                <w:szCs w:val="24"/>
                <w:highlight w:val="none"/>
                <w:lang w:val="en-US" w:eastAsia="zh-CN" w:bidi="ar-SA"/>
              </w:rPr>
              <w:t>分，未提供不得分。</w:t>
            </w:r>
          </w:p>
          <w:p w14:paraId="7EBB0AAA">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、投标人除项目经理及技术负责人外拟派项目组其他人员，具有注册信息安全专业人员/CISP)、低压电工、电信机务员（网络通信安全管理员）、施工员（电气）；每</w:t>
            </w:r>
            <w:r>
              <w:rPr>
                <w:rFonts w:hint="eastAsia" w:ascii="宋体" w:hAnsi="宋体" w:eastAsia="宋体" w:cs="宋体"/>
                <w:color w:val="auto"/>
                <w:sz w:val="24"/>
                <w:szCs w:val="24"/>
                <w:highlight w:val="none"/>
                <w:lang w:val="en-US" w:eastAsia="zh-CN" w:bidi="ar-SA"/>
              </w:rPr>
              <w:t>提供1个对应证书</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得0.5分，最多得2分。同一人员具有多个证书的不重复得分，</w:t>
            </w:r>
            <w:r>
              <w:rPr>
                <w:rFonts w:hint="eastAsia" w:ascii="宋体" w:hAnsi="宋体" w:eastAsia="宋体" w:cs="宋体"/>
                <w:color w:val="auto"/>
                <w:sz w:val="24"/>
                <w:szCs w:val="24"/>
                <w:highlight w:val="none"/>
                <w:lang w:val="en-US" w:eastAsia="zh-CN" w:bidi="ar-SA"/>
              </w:rPr>
              <w:t xml:space="preserve">同一证书仅计1次得分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14:paraId="4D364C1F">
            <w:pPr>
              <w:pStyle w:val="12"/>
              <w:pageBreakBefore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szCs w:val="21"/>
                <w:lang w:bidi="ar"/>
              </w:rPr>
              <w:t>以上拟派人员必须为投标人单位员工，提供相关证书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原件扫描件</w:t>
            </w:r>
            <w:r>
              <w:rPr>
                <w:rFonts w:hint="eastAsia" w:ascii="宋体" w:hAnsi="宋体" w:eastAsia="宋体" w:cs="宋体"/>
                <w:b/>
                <w:bCs/>
                <w:color w:val="000000"/>
                <w:szCs w:val="21"/>
                <w:lang w:bidi="ar"/>
              </w:rPr>
              <w:t>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及开标前6个月内任意1个月（不含开标当月）由本单位缴纳的社保证明材料并加盖</w:t>
            </w:r>
            <w:r>
              <w:rPr>
                <w:rFonts w:hint="eastAsia" w:ascii="宋体" w:hAnsi="宋体" w:eastAsia="宋体" w:cs="宋体"/>
                <w:b/>
                <w:bCs/>
                <w:color w:val="000000"/>
                <w:szCs w:val="21"/>
                <w:lang w:val="en-US" w:eastAsia="zh-CN" w:bidi="ar"/>
              </w:rPr>
              <w:t>电子签章</w:t>
            </w:r>
            <w:r>
              <w:rPr>
                <w:rFonts w:hint="eastAsia" w:ascii="宋体" w:hAnsi="宋体" w:eastAsia="宋体" w:cs="宋体"/>
                <w:b/>
                <w:bCs/>
                <w:color w:val="000000"/>
                <w:szCs w:val="21"/>
                <w:lang w:bidi="ar"/>
              </w:rPr>
              <w:t>。</w:t>
            </w:r>
          </w:p>
        </w:tc>
      </w:tr>
      <w:tr w14:paraId="5146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trPr>
        <w:tc>
          <w:tcPr>
            <w:tcW w:w="1246" w:type="dxa"/>
            <w:vMerge w:val="restart"/>
            <w:noWrap w:val="0"/>
            <w:vAlign w:val="center"/>
          </w:tcPr>
          <w:p w14:paraId="30CE0E13">
            <w:pPr>
              <w:pageBreakBefore w:val="0"/>
              <w:spacing w:line="360" w:lineRule="auto"/>
              <w:ind w:right="-153"/>
              <w:jc w:val="center"/>
              <w:rPr>
                <w:rFonts w:hint="eastAsia" w:ascii="宋体" w:hAnsi="宋体" w:eastAsia="宋体" w:cs="宋体"/>
                <w:color w:val="FF0000"/>
                <w:sz w:val="24"/>
                <w:szCs w:val="24"/>
                <w:highlight w:val="none"/>
                <w:lang w:eastAsia="zh-CN"/>
              </w:rPr>
            </w:pPr>
            <w:r>
              <w:rPr>
                <w:rFonts w:hint="eastAsia" w:ascii="宋体" w:hAnsi="宋体" w:eastAsia="宋体" w:cs="宋体"/>
                <w:color w:val="FF0000"/>
                <w:sz w:val="24"/>
                <w:szCs w:val="24"/>
                <w:highlight w:val="none"/>
                <w:lang w:eastAsia="zh-CN"/>
              </w:rPr>
              <w:t>技术部分</w:t>
            </w:r>
          </w:p>
          <w:p w14:paraId="375BEB34">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7</w:t>
            </w:r>
            <w:r>
              <w:rPr>
                <w:rFonts w:hint="eastAsia" w:ascii="宋体" w:hAnsi="宋体" w:cs="宋体"/>
                <w:color w:val="FF0000"/>
                <w:sz w:val="24"/>
                <w:szCs w:val="24"/>
                <w:highlight w:val="none"/>
                <w:lang w:val="en-US" w:eastAsia="zh-CN"/>
              </w:rPr>
              <w:t>9</w:t>
            </w:r>
            <w:r>
              <w:rPr>
                <w:rFonts w:hint="eastAsia" w:ascii="宋体" w:hAnsi="宋体" w:eastAsia="宋体" w:cs="宋体"/>
                <w:color w:val="FF0000"/>
                <w:sz w:val="24"/>
                <w:szCs w:val="24"/>
                <w:highlight w:val="none"/>
              </w:rPr>
              <w:t>分）</w:t>
            </w:r>
          </w:p>
        </w:tc>
        <w:tc>
          <w:tcPr>
            <w:tcW w:w="1200" w:type="dxa"/>
            <w:noWrap w:val="0"/>
            <w:vAlign w:val="center"/>
          </w:tcPr>
          <w:p w14:paraId="23215878">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总体施</w:t>
            </w:r>
          </w:p>
          <w:p w14:paraId="3A733D9F">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lang w:val="en-US" w:eastAsia="zh-CN"/>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工方案</w:t>
            </w:r>
          </w:p>
          <w:p w14:paraId="03C7FB15">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（12分）</w:t>
            </w:r>
          </w:p>
        </w:tc>
        <w:tc>
          <w:tcPr>
            <w:tcW w:w="7387" w:type="dxa"/>
            <w:noWrap w:val="0"/>
            <w:vAlign w:val="center"/>
          </w:tcPr>
          <w:p w14:paraId="533E4DA9">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评委依据供应商响应文件中施工组织总体设想、方案针对性进行评分：</w:t>
            </w:r>
          </w:p>
          <w:p w14:paraId="089B8F81">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全面性(4分)：全面具体详实得4分；较全面得2分；不全面得1分。</w:t>
            </w:r>
          </w:p>
          <w:p w14:paraId="17CDA2E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可行性(4分)：符合实际切实可行得4分；较切实可行得2分；可行性欠缺得1分。</w:t>
            </w:r>
          </w:p>
          <w:p w14:paraId="075BC1A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针对性（4分)：针对性强得4分；针对性较强得2分；针对性不强得1分。</w:t>
            </w:r>
          </w:p>
          <w:p w14:paraId="58FD0A08">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未提供的不得分，本项最高得12分。</w:t>
            </w:r>
          </w:p>
        </w:tc>
      </w:tr>
      <w:tr w14:paraId="7BF4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1246" w:type="dxa"/>
            <w:vMerge w:val="continue"/>
            <w:noWrap w:val="0"/>
            <w:vAlign w:val="center"/>
          </w:tcPr>
          <w:p w14:paraId="19E2165D">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66B3359">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进度及</w:t>
            </w:r>
          </w:p>
          <w:p w14:paraId="79DA0606">
            <w:pPr>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保证措施</w:t>
            </w:r>
          </w:p>
          <w:p w14:paraId="59B8576D">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562EAE17">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评委依据供应商响应文件中施工进度计划和各阶段进度的保证措施进行评分：</w:t>
            </w:r>
          </w:p>
          <w:p w14:paraId="6E375426">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35093858">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7E5170A2">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5FE2F49D">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096C7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1246" w:type="dxa"/>
            <w:vMerge w:val="continue"/>
            <w:noWrap w:val="0"/>
            <w:vAlign w:val="center"/>
          </w:tcPr>
          <w:p w14:paraId="4E1E9161">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5CFE06EC">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质量保</w:t>
            </w:r>
          </w:p>
          <w:p w14:paraId="130555AE">
            <w:pPr>
              <w:pageBreakBefore w:val="0"/>
              <w:pBdr>
                <w:top w:val="none" w:color="000000" w:sz="0" w:space="0"/>
                <w:left w:val="none" w:color="000000" w:sz="0" w:space="0"/>
                <w:bottom w:val="none" w:color="000000" w:sz="0" w:space="0"/>
                <w:right w:val="none" w:color="000000" w:sz="0" w:space="0"/>
              </w:pBdr>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证措施</w:t>
            </w:r>
          </w:p>
          <w:p w14:paraId="76308E83">
            <w:pPr>
              <w:pStyle w:val="12"/>
              <w:pageBreakBefore w:val="0"/>
              <w:spacing w:line="360" w:lineRule="auto"/>
              <w:jc w:val="cente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（9分）</w:t>
            </w:r>
          </w:p>
        </w:tc>
        <w:tc>
          <w:tcPr>
            <w:tcW w:w="7387" w:type="dxa"/>
            <w:noWrap w:val="0"/>
            <w:vAlign w:val="center"/>
          </w:tcPr>
          <w:p w14:paraId="3160C06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评委依据供应商响应文件中质量保证措施及目标进行评分：</w:t>
            </w:r>
          </w:p>
          <w:p w14:paraId="0FCFB534">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全面性(3分)：全面具体详实得3分；较全面得2分；不全面得1分。</w:t>
            </w:r>
          </w:p>
          <w:p w14:paraId="061C22BA">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可行性(3分)：符合实际切实可行得3分；较切实可行得2分；可行性欠缺得1分。</w:t>
            </w:r>
          </w:p>
          <w:p w14:paraId="5EC5ACC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针对性(3分)：针对性强得3分；针对性较强得2分；针对性不强得1分。</w:t>
            </w:r>
          </w:p>
          <w:p w14:paraId="0C78B345">
            <w:pPr>
              <w:pageBreakBefore w:val="0"/>
              <w:spacing w:line="360" w:lineRule="auto"/>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未提供的不得分，本项最高得9分。</w:t>
            </w:r>
          </w:p>
        </w:tc>
      </w:tr>
      <w:tr w14:paraId="4E0B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46" w:type="dxa"/>
            <w:vMerge w:val="continue"/>
            <w:noWrap w:val="0"/>
            <w:vAlign w:val="center"/>
          </w:tcPr>
          <w:p w14:paraId="43EBF279">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4EF7D49">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安全文明</w:t>
            </w:r>
          </w:p>
          <w:p w14:paraId="27DFA445">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施工措施</w:t>
            </w:r>
          </w:p>
          <w:p w14:paraId="3594861B">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26C8FFD7">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评委依据供应商响应文件中安全文明施工及环境保护措施进行评分：</w:t>
            </w:r>
          </w:p>
          <w:p w14:paraId="37EB352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3883CBD8">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7C925CFD">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p>
          <w:p w14:paraId="5B67EAB2">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61C33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1246" w:type="dxa"/>
            <w:vMerge w:val="continue"/>
            <w:noWrap w:val="0"/>
            <w:vAlign w:val="center"/>
          </w:tcPr>
          <w:p w14:paraId="24A6026B">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4CEA5463">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劳动力、机械设备和材料投入</w:t>
            </w:r>
          </w:p>
          <w:p w14:paraId="718F408D">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noWrap w:val="0"/>
            <w:vAlign w:val="center"/>
          </w:tcPr>
          <w:p w14:paraId="066C992F">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评委依据供应商响应文件中劳动力、机械设备和材料投入计划进行评分：</w:t>
            </w:r>
          </w:p>
          <w:p w14:paraId="74B5A6D1">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795093E0">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4B379365">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0DB156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4068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46" w:type="dxa"/>
            <w:vMerge w:val="continue"/>
            <w:noWrap w:val="0"/>
            <w:vAlign w:val="center"/>
          </w:tcPr>
          <w:p w14:paraId="2A5A519F">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noWrap w:val="0"/>
            <w:vAlign w:val="center"/>
          </w:tcPr>
          <w:p w14:paraId="7ECCBA09">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sz w:val="24"/>
                <w:szCs w:val="24"/>
                <w:highlight w:val="none"/>
                <w:lang w:val="en-US" w:eastAsia="zh-CN"/>
              </w:rPr>
              <w:t>对接方案（1</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rPr>
              <w:t>分</w:t>
            </w:r>
            <w:r>
              <w:rPr>
                <w:rFonts w:hint="eastAsia" w:ascii="宋体" w:hAnsi="宋体" w:eastAsia="宋体" w:cs="宋体"/>
                <w:color w:val="FF0000"/>
                <w:sz w:val="24"/>
                <w:szCs w:val="24"/>
                <w:highlight w:val="none"/>
                <w:lang w:val="en-US" w:eastAsia="zh-CN"/>
              </w:rPr>
              <w:t>）</w:t>
            </w:r>
          </w:p>
        </w:tc>
        <w:tc>
          <w:tcPr>
            <w:tcW w:w="7387" w:type="dxa"/>
            <w:noWrap w:val="0"/>
            <w:vAlign w:val="center"/>
          </w:tcPr>
          <w:p w14:paraId="39E28886">
            <w:pPr>
              <w:keepNext w:val="0"/>
              <w:keepLines w:val="0"/>
              <w:pageBreakBefore w:val="0"/>
              <w:widowControl w:val="0"/>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2"/>
                <w:highlight w:val="none"/>
                <w:lang w:val="en-US" w:eastAsia="zh-CN"/>
              </w:rPr>
              <w:t>根据项目情况,提供详细的对接方案，内容包含但不限于应用对接方案，数据对接方案，对所需对接应用接口类型、数据类型进行详细说明，方案内容能够全部覆盖本次项目建设所需要的应用接口类型，数据资源，符合铜山交管车辆大数据应用平台现状，根据对接方案的全面性、针对性、可行性进行评价</w:t>
            </w:r>
            <w:r>
              <w:rPr>
                <w:rFonts w:hint="eastAsia" w:ascii="宋体" w:hAnsi="宋体" w:eastAsia="宋体" w:cs="宋体"/>
                <w:color w:val="000000" w:themeColor="text1"/>
                <w:sz w:val="24"/>
                <w:szCs w:val="24"/>
                <w:highlight w:val="none"/>
                <w14:textFill>
                  <w14:solidFill>
                    <w14:schemeClr w14:val="tx1"/>
                  </w14:solidFill>
                </w14:textFill>
              </w:rPr>
              <w:t>：</w:t>
            </w:r>
          </w:p>
          <w:p w14:paraId="12C2DBC7">
            <w:pPr>
              <w:pStyle w:val="12"/>
              <w:pageBreakBefore w:val="0"/>
              <w:spacing w:line="360" w:lineRule="auto"/>
              <w:jc w:val="left"/>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全面性(</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rPr>
              <w:t>分)：全面具体详实得</w:t>
            </w:r>
            <w:r>
              <w:rPr>
                <w:rFonts w:hint="eastAsia" w:ascii="宋体" w:hAnsi="宋体" w:cs="宋体"/>
                <w:color w:val="FF0000"/>
                <w:sz w:val="24"/>
                <w:szCs w:val="24"/>
                <w:highlight w:val="none"/>
                <w:lang w:val="en-US" w:eastAsia="zh-CN"/>
              </w:rPr>
              <w:t>6</w:t>
            </w:r>
            <w:r>
              <w:rPr>
                <w:rFonts w:hint="eastAsia" w:ascii="宋体" w:hAnsi="宋体" w:eastAsia="宋体" w:cs="宋体"/>
                <w:color w:val="FF0000"/>
                <w:sz w:val="24"/>
                <w:szCs w:val="24"/>
                <w:highlight w:val="none"/>
              </w:rPr>
              <w:t>分；较全面得</w:t>
            </w:r>
            <w:r>
              <w:rPr>
                <w:rFonts w:hint="eastAsia" w:ascii="宋体" w:hAnsi="宋体" w:eastAsia="宋体" w:cs="宋体"/>
                <w:color w:val="FF0000"/>
                <w:sz w:val="24"/>
                <w:szCs w:val="24"/>
                <w:highlight w:val="none"/>
                <w:lang w:val="en-US" w:eastAsia="zh-CN"/>
              </w:rPr>
              <w:t>3</w:t>
            </w:r>
            <w:r>
              <w:rPr>
                <w:rFonts w:hint="eastAsia" w:ascii="宋体" w:hAnsi="宋体" w:eastAsia="宋体" w:cs="宋体"/>
                <w:color w:val="FF0000"/>
                <w:sz w:val="24"/>
                <w:szCs w:val="24"/>
                <w:highlight w:val="none"/>
              </w:rPr>
              <w:t>分；不全面得1分。</w:t>
            </w:r>
          </w:p>
          <w:p w14:paraId="3685A2A2">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分)：符合实际切实可行得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分；较切实可行得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分；可行性欠缺得1分。</w:t>
            </w:r>
          </w:p>
          <w:p w14:paraId="3E9A0182">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分；针对性较强得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C53D21C">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w:t>
            </w:r>
            <w:r>
              <w:rPr>
                <w:rFonts w:hint="eastAsia" w:ascii="宋体" w:hAnsi="宋体" w:cs="宋体"/>
                <w:b/>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r>
      <w:tr w14:paraId="71664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246" w:type="dxa"/>
            <w:vMerge w:val="continue"/>
            <w:noWrap w:val="0"/>
            <w:vAlign w:val="center"/>
          </w:tcPr>
          <w:p w14:paraId="023E12E0">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00" w:type="dxa"/>
            <w:tcBorders>
              <w:right w:val="single" w:color="auto" w:sz="4" w:space="0"/>
            </w:tcBorders>
            <w:noWrap w:val="0"/>
            <w:vAlign w:val="center"/>
          </w:tcPr>
          <w:p w14:paraId="7EBB875A">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关键施工技术、工艺及工程项目实施的重点、难点和解决方案</w:t>
            </w:r>
          </w:p>
          <w:p w14:paraId="2A5BCFBA">
            <w:pPr>
              <w:pStyle w:val="12"/>
              <w:pageBreakBefore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7387" w:type="dxa"/>
            <w:tcBorders>
              <w:left w:val="single" w:color="auto" w:sz="4" w:space="0"/>
            </w:tcBorders>
            <w:noWrap w:val="0"/>
            <w:vAlign w:val="center"/>
          </w:tcPr>
          <w:p w14:paraId="2A0D125B">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评委依据供应商响应文件中关键施工技术、工艺及工程项目实施的重点、难点和解决方案进行评分：</w:t>
            </w:r>
          </w:p>
          <w:p w14:paraId="514B9389">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全面性(3分)：全面具体详实得3分；较全面得2分；不全面得1分。</w:t>
            </w:r>
          </w:p>
          <w:p w14:paraId="6C4875BE">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可行性(3分)：符合实际切实可行得3分；较切实可行得2分；可行性欠缺得1分。</w:t>
            </w:r>
          </w:p>
          <w:p w14:paraId="2EC4C010">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针对性(3分)：针对性强得3分；针对性较强得2分；针对性不强得1分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49881E9">
            <w:pPr>
              <w:pStyle w:val="12"/>
              <w:pageBreakBefor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未提供的不得分，本项最高得9分。</w:t>
            </w:r>
          </w:p>
        </w:tc>
      </w:tr>
      <w:tr w14:paraId="7FB9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46" w:type="dxa"/>
            <w:vMerge w:val="continue"/>
            <w:noWrap w:val="0"/>
            <w:vAlign w:val="center"/>
          </w:tcPr>
          <w:p w14:paraId="6D3ED640">
            <w:pPr>
              <w:pStyle w:val="13"/>
              <w:pageBreakBefore w:val="0"/>
              <w:spacing w:line="360" w:lineRule="auto"/>
              <w:ind w:firstLine="0"/>
              <w:jc w:val="center"/>
              <w:rPr>
                <w:rFonts w:hint="eastAsia" w:ascii="宋体" w:hAnsi="宋体" w:eastAsia="宋体" w:cs="宋体"/>
                <w:color w:val="000000"/>
                <w:sz w:val="24"/>
                <w:highlight w:val="none"/>
                <w:lang w:val="en-US" w:eastAsia="zh-CN"/>
              </w:rPr>
            </w:pPr>
          </w:p>
        </w:tc>
        <w:tc>
          <w:tcPr>
            <w:tcW w:w="1200" w:type="dxa"/>
            <w:noWrap w:val="0"/>
            <w:vAlign w:val="center"/>
          </w:tcPr>
          <w:p w14:paraId="40C57CFF">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售后服务方案</w:t>
            </w:r>
          </w:p>
          <w:p w14:paraId="31432E69">
            <w:pPr>
              <w:pStyle w:val="12"/>
              <w:pageBreakBefore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(6分）</w:t>
            </w:r>
          </w:p>
        </w:tc>
        <w:tc>
          <w:tcPr>
            <w:tcW w:w="7387" w:type="dxa"/>
            <w:noWrap w:val="0"/>
            <w:vAlign w:val="center"/>
          </w:tcPr>
          <w:p w14:paraId="62A3B7A7">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根据响应文件中的售后服务方案进行综合评价。</w:t>
            </w:r>
          </w:p>
          <w:p w14:paraId="1717D618">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全面性(2分)：全面详实的得2分；较全面的得1分；基本具备的得0.5分。</w:t>
            </w:r>
          </w:p>
          <w:p w14:paraId="01529470">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针对性（2分)：针对性强得2分；针对性较强得1分；欠缺针对性的得0.5分。</w:t>
            </w:r>
          </w:p>
          <w:p w14:paraId="3537FFDC">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可操作性（2分）：操作性强的得2分，操作性较强的得1分，操作性欠缺的得0.5分。</w:t>
            </w:r>
          </w:p>
          <w:p w14:paraId="38AEBA73">
            <w:pPr>
              <w:pStyle w:val="12"/>
              <w:pageBreakBefore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未提供的不得分，最高得6分。</w:t>
            </w:r>
          </w:p>
        </w:tc>
      </w:tr>
    </w:tbl>
    <w:p w14:paraId="6CE24A95">
      <w:pPr>
        <w:pStyle w:val="6"/>
        <w:rPr>
          <w:rFonts w:hint="eastAsia" w:ascii="宋体" w:hAnsi="宋体" w:eastAsia="宋体" w:cs="宋体"/>
          <w:sz w:val="24"/>
          <w:szCs w:val="24"/>
          <w:lang w:eastAsia="zh-CN"/>
        </w:rPr>
      </w:pPr>
    </w:p>
    <w:p w14:paraId="02D0AFFC">
      <w:pPr>
        <w:rPr>
          <w:rFonts w:hint="eastAsia" w:ascii="宋体" w:hAnsi="宋体" w:eastAsia="宋体" w:cs="宋体"/>
          <w:sz w:val="24"/>
          <w:szCs w:val="24"/>
        </w:rPr>
      </w:pPr>
    </w:p>
    <w:p w14:paraId="77E5057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其他内容不变。</w:t>
      </w:r>
    </w:p>
    <w:p w14:paraId="429B132A">
      <w:pPr>
        <w:pStyle w:val="6"/>
        <w:numPr>
          <w:ilvl w:val="0"/>
          <w:numId w:val="0"/>
        </w:numPr>
        <w:rPr>
          <w:rFonts w:hint="eastAsia"/>
          <w:lang w:val="en-US" w:eastAsia="zh-CN"/>
        </w:rPr>
      </w:pPr>
    </w:p>
    <w:p w14:paraId="003B1983">
      <w:pPr>
        <w:rPr>
          <w:rFonts w:hint="eastAsia"/>
          <w:lang w:val="en-US" w:eastAsia="zh-CN"/>
        </w:rPr>
      </w:pPr>
    </w:p>
    <w:p w14:paraId="7BC22106">
      <w:pPr>
        <w:pStyle w:val="6"/>
        <w:rPr>
          <w:rFonts w:hint="eastAsia"/>
          <w:lang w:val="en-US" w:eastAsia="zh-CN"/>
        </w:rPr>
      </w:pPr>
    </w:p>
    <w:p w14:paraId="56E13438">
      <w:pPr>
        <w:rPr>
          <w:rFonts w:hint="eastAsia"/>
          <w:lang w:val="en-US" w:eastAsia="zh-CN"/>
        </w:rPr>
      </w:pPr>
    </w:p>
    <w:p w14:paraId="32282EB9">
      <w:pPr>
        <w:pStyle w:val="6"/>
        <w:rPr>
          <w:rFonts w:hint="eastAsia"/>
          <w:lang w:val="en-US" w:eastAsia="zh-CN"/>
        </w:rPr>
      </w:pPr>
    </w:p>
    <w:p w14:paraId="50BFA7C0">
      <w:pPr>
        <w:rPr>
          <w:rFonts w:hint="eastAsia"/>
          <w:lang w:val="en-US" w:eastAsia="zh-CN"/>
        </w:rPr>
      </w:pPr>
    </w:p>
    <w:p w14:paraId="4420EE80">
      <w:pPr>
        <w:pStyle w:val="6"/>
        <w:rPr>
          <w:rFonts w:hint="eastAsia"/>
          <w:lang w:val="en-US" w:eastAsia="zh-CN"/>
        </w:rPr>
      </w:pPr>
    </w:p>
    <w:p w14:paraId="243DA513">
      <w:pPr>
        <w:rPr>
          <w:rFonts w:hint="eastAsia"/>
          <w:lang w:val="en-US" w:eastAsia="zh-CN"/>
        </w:rPr>
      </w:pPr>
    </w:p>
    <w:p w14:paraId="75DA63B7">
      <w:pPr>
        <w:pStyle w:val="4"/>
        <w:jc w:val="righ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江苏瑞阳工程咨询有限公司</w:t>
      </w:r>
    </w:p>
    <w:p w14:paraId="5BE36A7E">
      <w:pPr>
        <w:pStyle w:val="5"/>
        <w:jc w:val="righ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2025年10月</w:t>
      </w:r>
      <w:r>
        <w:rPr>
          <w:rFonts w:hint="eastAsia" w:ascii="宋体" w:eastAsia="宋体" w:cs="宋体"/>
          <w:color w:val="000000" w:themeColor="text1"/>
          <w:kern w:val="0"/>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日</w:t>
      </w:r>
    </w:p>
    <w:p w14:paraId="750F00AD">
      <w:pPr>
        <w:pStyle w:val="6"/>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6B064"/>
    <w:multiLevelType w:val="singleLevel"/>
    <w:tmpl w:val="F586B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55C81"/>
    <w:rsid w:val="13012442"/>
    <w:rsid w:val="1571543C"/>
    <w:rsid w:val="17C55C81"/>
    <w:rsid w:val="1C1520B9"/>
    <w:rsid w:val="23C20856"/>
    <w:rsid w:val="39476718"/>
    <w:rsid w:val="5A420BA5"/>
    <w:rsid w:val="62A368A6"/>
    <w:rsid w:val="7DC97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信息标题1"/>
    <w:next w:val="3"/>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3">
    <w:name w:val="正文文本12"/>
    <w:next w:val="1"/>
    <w:qFormat/>
    <w:uiPriority w:val="99"/>
    <w:pPr>
      <w:widowControl w:val="0"/>
      <w:spacing w:after="120"/>
      <w:jc w:val="both"/>
    </w:pPr>
    <w:rPr>
      <w:rFonts w:hint="default" w:ascii="Times New Roman" w:hAnsi="Times New Roman" w:eastAsia="宋体" w:cs="Times New Roman"/>
      <w:sz w:val="21"/>
      <w:szCs w:val="24"/>
      <w:lang w:val="en-US" w:eastAsia="zh-CN" w:bidi="ar-SA"/>
    </w:rPr>
  </w:style>
  <w:style w:type="paragraph" w:styleId="4">
    <w:name w:val="Body Text"/>
    <w:next w:val="5"/>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5">
    <w:name w:val="一级条标题"/>
    <w:next w:val="1"/>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paragraph" w:styleId="6">
    <w:name w:val="toc 1"/>
    <w:next w:val="1"/>
    <w:unhideWhenUsed/>
    <w:qFormat/>
    <w:uiPriority w:val="39"/>
    <w:pPr>
      <w:widowControl w:val="0"/>
      <w:spacing w:after="57" w:line="278" w:lineRule="auto"/>
      <w:jc w:val="both"/>
    </w:pPr>
    <w:rPr>
      <w:rFonts w:ascii="Times New Roman" w:hAnsi="Times New Roman" w:eastAsia="宋体" w:cs="Times New Roman"/>
      <w:kern w:val="2"/>
      <w:sz w:val="21"/>
      <w:szCs w:val="24"/>
      <w:lang w:val="en-US" w:eastAsia="zh-CN" w:bidi="ar-SA"/>
    </w:rPr>
  </w:style>
  <w:style w:type="table" w:styleId="8">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正文111"/>
    <w:next w:val="11"/>
    <w:qFormat/>
    <w:uiPriority w:val="0"/>
    <w:pPr>
      <w:widowControl w:val="0"/>
      <w:jc w:val="both"/>
    </w:pPr>
    <w:rPr>
      <w:rFonts w:hint="default" w:ascii="Times New Roman" w:hAnsi="Times New Roman" w:eastAsia="宋体" w:cs="Times New Roman"/>
      <w:sz w:val="21"/>
      <w:szCs w:val="24"/>
    </w:rPr>
  </w:style>
  <w:style w:type="paragraph" w:customStyle="1" w:styleId="11">
    <w:name w:val="目录 111"/>
    <w:basedOn w:val="1"/>
    <w:next w:val="10"/>
    <w:unhideWhenUsed/>
    <w:qFormat/>
    <w:uiPriority w:val="39"/>
    <w:pPr>
      <w:spacing w:after="57"/>
    </w:pPr>
  </w:style>
  <w:style w:type="paragraph" w:customStyle="1" w:styleId="12">
    <w:name w:val="Default"/>
    <w:qFormat/>
    <w:uiPriority w:val="0"/>
    <w:pPr>
      <w:widowControl w:val="0"/>
    </w:pPr>
    <w:rPr>
      <w:rFonts w:hint="default" w:ascii="Times New Roman" w:hAnsi="Times New Roman" w:eastAsia="宋体" w:cs="Times New Roman"/>
      <w:sz w:val="24"/>
    </w:rPr>
  </w:style>
  <w:style w:type="paragraph" w:customStyle="1" w:styleId="13">
    <w:name w:val="彩色列表 - 着色 11"/>
    <w:basedOn w:val="1"/>
    <w:qFormat/>
    <w:uiPriority w:val="0"/>
    <w:pPr>
      <w:ind w:firstLine="420"/>
    </w:pPr>
    <w:rPr>
      <w:rFonts w:ascii="Times New Roman" w:hAnsi="Times New Roman"/>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4375</Words>
  <Characters>4501</Characters>
  <Lines>0</Lines>
  <Paragraphs>0</Paragraphs>
  <TotalTime>14</TotalTime>
  <ScaleCrop>false</ScaleCrop>
  <LinksUpToDate>false</LinksUpToDate>
  <CharactersWithSpaces>4504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dc:creator>宋雅</dc:creator>
  <cp:lastModifiedBy>瑞阳及中鸿亿博专用</cp:lastModifiedBy>
  <dcterms:modified xsi:type="dcterms:W3CDTF">2025-10-27T07:41:46Z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9754DA437BFF4279B497F38952714A61_13</vt:lpwstr>
  </property>
  <property fmtid="{D5CDD505-2E9C-101B-9397-08002B2CF9AE}" pid="4" name="KSOTemplateDocerSaveRecord">
    <vt:lpwstr>eyJoZGlkIjoiMTM4ZWI2MTk2ZTM3MTgxMTEzMDE4ZWE1ZmExYjViNmIiLCJ1c2VySWQiOiIzOTg0NjQxMDYifQ==</vt:lpwstr>
  </property>
</Properties>
</file>