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B817">
      <w:pPr>
        <w:spacing w:line="440" w:lineRule="exact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如有建议或意见，请以书面形式并加盖公章、注明联系人、联系方式，于20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日17:00之前送至我单位，逾期不受理（如邮寄，20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日17:00之后到达本公司的邮件将不再受理）</w:t>
      </w:r>
    </w:p>
    <w:p w14:paraId="63C84BCF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637CDA00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6E709DF5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42CFCED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266B6EC4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3427BAC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30FFD7D3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5A1B780C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C5386FB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25C7130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0BB8304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1D63A0E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B3BB7C7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18C9F7E7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1DCCD07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210490F7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6292718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1FF4E3C0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08900A6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5636F6DF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78E22AB4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15094730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0DCF858D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213D73CD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1BC83645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2395C8D8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6F69CC72">
      <w:pPr>
        <w:spacing w:line="440" w:lineRule="exact"/>
        <w:ind w:firstLine="1668" w:firstLineChars="695"/>
        <w:jc w:val="both"/>
        <w:rPr>
          <w:rFonts w:hint="eastAsia" w:ascii="宋体" w:hAnsi="宋体" w:cs="宋体"/>
          <w:sz w:val="24"/>
          <w:highlight w:val="none"/>
        </w:rPr>
      </w:pPr>
    </w:p>
    <w:p w14:paraId="6B355025">
      <w:pPr>
        <w:spacing w:line="440" w:lineRule="exact"/>
        <w:ind w:left="0" w:leftChars="0" w:firstLine="0" w:firstLineChars="0"/>
        <w:jc w:val="both"/>
        <w:rPr>
          <w:rFonts w:hint="eastAsia" w:ascii="宋体" w:hAnsi="宋体" w:cs="宋体"/>
          <w:sz w:val="24"/>
          <w:highlight w:val="none"/>
        </w:rPr>
      </w:pPr>
    </w:p>
    <w:p w14:paraId="54F24993">
      <w:pPr>
        <w:spacing w:line="440" w:lineRule="exact"/>
        <w:ind w:firstLine="3231" w:firstLineChars="894"/>
        <w:jc w:val="both"/>
        <w:rPr>
          <w:rStyle w:val="4"/>
          <w:rFonts w:hint="eastAsia" w:ascii="宋体" w:hAnsi="宋体" w:eastAsia="宋体" w:cs="宋体"/>
          <w:b/>
          <w:bCs/>
          <w:sz w:val="36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36"/>
        </w:rPr>
        <w:t>采购需求</w:t>
      </w:r>
    </w:p>
    <w:p w14:paraId="620E4CC2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一、项目概况</w:t>
      </w:r>
    </w:p>
    <w:p w14:paraId="558D7747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firstLine="482" w:firstLineChars="2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Style w:val="4"/>
          <w:rFonts w:hint="eastAsia" w:ascii="宋体" w:hAnsi="宋体" w:cs="宋体"/>
          <w:b/>
          <w:bCs/>
          <w:sz w:val="24"/>
          <w:lang w:val="en-US" w:eastAsia="zh-CN"/>
        </w:rPr>
        <w:t>2025年路灯</w:t>
      </w:r>
      <w:r>
        <w:rPr>
          <w:rStyle w:val="4"/>
          <w:rFonts w:hint="eastAsia" w:ascii="宋体" w:hAnsi="宋体" w:eastAsia="宋体" w:cs="宋体"/>
          <w:b/>
          <w:bCs/>
          <w:sz w:val="24"/>
          <w:lang w:eastAsia="zh-CN"/>
        </w:rPr>
        <w:t>维修养护劳务项目</w:t>
      </w:r>
      <w:r>
        <w:rPr>
          <w:rStyle w:val="4"/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Style w:val="4"/>
          <w:rFonts w:hint="eastAsia" w:ascii="宋体" w:hAnsi="宋体" w:cs="宋体"/>
          <w:b/>
          <w:bCs/>
          <w:sz w:val="24"/>
          <w:lang w:val="en-US" w:eastAsia="zh-CN"/>
        </w:rPr>
        <w:t>维护期2025.11-2028.10</w:t>
      </w:r>
      <w:r>
        <w:rPr>
          <w:rStyle w:val="4"/>
          <w:rFonts w:hint="eastAsia" w:ascii="宋体" w:hAnsi="宋体" w:cs="宋体"/>
          <w:b/>
          <w:bCs/>
          <w:sz w:val="24"/>
          <w:lang w:eastAsia="zh-CN"/>
        </w:rPr>
        <w:t>）</w:t>
      </w:r>
    </w:p>
    <w:p w14:paraId="41E7DDBB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本项目不接受超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过项目预算金额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384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元</w:t>
      </w:r>
      <w:r>
        <w:rPr>
          <w:rFonts w:hint="eastAsia" w:ascii="宋体" w:hAnsi="宋体" w:eastAsia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每年不超过128万元</w:t>
      </w:r>
      <w:r>
        <w:rPr>
          <w:rFonts w:hint="eastAsia" w:ascii="宋体" w:hAnsi="宋体" w:eastAsia="宋体" w:cs="宋体"/>
          <w:b/>
          <w:bCs/>
          <w:sz w:val="24"/>
        </w:rPr>
        <w:t>人民币）的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4"/>
        </w:rPr>
        <w:t>报价</w:t>
      </w:r>
      <w:r>
        <w:rPr>
          <w:rFonts w:hint="eastAsia" w:ascii="宋体" w:hAnsi="宋体" w:eastAsia="宋体" w:cs="宋体"/>
          <w:b/>
          <w:sz w:val="24"/>
        </w:rPr>
        <w:t>。</w:t>
      </w:r>
      <w:r>
        <w:rPr>
          <w:rFonts w:hint="eastAsia" w:ascii="宋体" w:hAnsi="宋体" w:eastAsia="宋体" w:cs="宋体"/>
          <w:b/>
          <w:bCs/>
          <w:sz w:val="24"/>
        </w:rPr>
        <w:t>报价包括但不限于产品价、税金、运费、服务、供应商的利润、防疫、等全部费用。采购人不再支付报价以外的任何费用。</w:t>
      </w:r>
    </w:p>
    <w:p w14:paraId="724BF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项目概述：</w:t>
      </w:r>
    </w:p>
    <w:p w14:paraId="54D67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4"/>
          <w:szCs w:val="24"/>
        </w:rPr>
        <w:t>项目内容</w:t>
      </w:r>
      <w:r>
        <w:rPr>
          <w:rFonts w:hint="eastAsia" w:ascii="宋体" w:hAnsi="宋体" w:eastAsia="宋体" w:cs="宋体"/>
          <w:sz w:val="24"/>
          <w:szCs w:val="24"/>
        </w:rPr>
        <w:t xml:space="preserve">：路灯管理所目前管理着新、老城区、中心商贸区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 xml:space="preserve">0 余条主次干道的路灯，装灯里程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 xml:space="preserve">0余公里，路灯地下电缆里程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34</w:t>
      </w:r>
      <w:r>
        <w:rPr>
          <w:rFonts w:hint="eastAsia" w:ascii="宋体" w:hAnsi="宋体" w:eastAsia="宋体" w:cs="宋体"/>
          <w:sz w:val="24"/>
          <w:szCs w:val="24"/>
        </w:rPr>
        <w:t>0 余公里。</w:t>
      </w:r>
    </w:p>
    <w:p w14:paraId="2BF6A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年最新统计数据显示，现有路灯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270</w:t>
      </w:r>
      <w:r>
        <w:rPr>
          <w:rFonts w:hint="eastAsia" w:ascii="宋体" w:hAnsi="宋体" w:eastAsia="宋体" w:cs="宋体"/>
          <w:sz w:val="24"/>
          <w:szCs w:val="24"/>
        </w:rPr>
        <w:t>00 余盏（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EMC 合同内数据还有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余盏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将于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2026年6月底合同期满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），灯杆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86</w:t>
      </w:r>
      <w:r>
        <w:rPr>
          <w:rFonts w:hint="eastAsia" w:ascii="宋体" w:hAnsi="宋体" w:eastAsia="宋体" w:cs="宋体"/>
          <w:sz w:val="24"/>
          <w:szCs w:val="24"/>
        </w:rPr>
        <w:t xml:space="preserve">00 </w:t>
      </w:r>
      <w:r>
        <w:rPr>
          <w:rFonts w:hint="eastAsia" w:ascii="宋体" w:hAnsi="宋体" w:cs="宋体"/>
          <w:sz w:val="24"/>
          <w:szCs w:val="24"/>
          <w:lang w:eastAsia="zh-CN"/>
        </w:rPr>
        <w:t>余</w:t>
      </w:r>
      <w:r>
        <w:rPr>
          <w:rFonts w:hint="eastAsia" w:ascii="宋体" w:hAnsi="宋体" w:eastAsia="宋体" w:cs="宋体"/>
          <w:sz w:val="24"/>
          <w:szCs w:val="24"/>
        </w:rPr>
        <w:t>根</w:t>
      </w:r>
      <w:r>
        <w:rPr>
          <w:rFonts w:hint="eastAsia" w:ascii="宋体" w:hAnsi="宋体" w:cs="宋体"/>
          <w:sz w:val="24"/>
          <w:szCs w:val="24"/>
          <w:lang w:eastAsia="zh-CN"/>
        </w:rPr>
        <w:t>（含中杆灯）</w:t>
      </w:r>
      <w:r>
        <w:rPr>
          <w:rFonts w:hint="eastAsia" w:ascii="宋体" w:hAnsi="宋体" w:eastAsia="宋体" w:cs="宋体"/>
          <w:sz w:val="24"/>
          <w:szCs w:val="24"/>
        </w:rPr>
        <w:t xml:space="preserve">，路灯专变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</w:rPr>
        <w:t xml:space="preserve">台，路灯控制柜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150</w:t>
      </w:r>
      <w:r>
        <w:rPr>
          <w:rFonts w:hint="eastAsia" w:ascii="宋体" w:hAnsi="宋体" w:eastAsia="宋体" w:cs="宋体"/>
          <w:sz w:val="24"/>
          <w:szCs w:val="24"/>
        </w:rPr>
        <w:t>台</w:t>
      </w:r>
      <w:r>
        <w:rPr>
          <w:rFonts w:hint="eastAsia" w:ascii="宋体" w:hAnsi="宋体" w:cs="宋体"/>
          <w:sz w:val="24"/>
          <w:szCs w:val="24"/>
          <w:lang w:eastAsia="zh-CN"/>
        </w:rPr>
        <w:t>（其中直流控制柜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35台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。另有城南龙飞地雕塑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灯光喷泉</w:t>
      </w:r>
      <w:r>
        <w:rPr>
          <w:rFonts w:hint="eastAsia" w:ascii="宋体" w:hAnsi="宋体" w:eastAsia="宋体" w:cs="宋体"/>
          <w:sz w:val="24"/>
          <w:szCs w:val="24"/>
        </w:rPr>
        <w:t>属于路灯所管理维护。</w:t>
      </w:r>
    </w:p>
    <w:p w14:paraId="79342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2、维护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每年不超过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128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2749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项目维护要求</w:t>
      </w:r>
    </w:p>
    <w:p w14:paraId="50F864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510" w:left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（一）维护内容</w:t>
      </w:r>
    </w:p>
    <w:p w14:paraId="48296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602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1.档案资料维护</w:t>
      </w:r>
    </w:p>
    <w:p w14:paraId="6E0D8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6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需填报各项报表，对设备的运行、维护、更换情况及时记录,准确填写各项维护报表。项目管理团队人员、维护、巡查人员架构、联系方式、安全规范、应急处理预案等必须规范。</w:t>
      </w:r>
    </w:p>
    <w:p w14:paraId="0AE90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602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路灯设施设备维护</w:t>
      </w:r>
    </w:p>
    <w:p w14:paraId="33458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6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路灯设施亮灯率达到9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%以上、完好率达到9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%以上，对路灯设施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设备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的维护必须符合国家相关规范要求。</w:t>
      </w:r>
    </w:p>
    <w:p w14:paraId="3CFB3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6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（2）采购人现有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道路照明光源均为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LED灯，LED以灭灯盏数计算亮灯率，单颗式LED灯以一盏灯如灭20%灯珠即视为灭灯计算亮灯率。亮灯率=（总光源数-灭灯盏数）/总光源数  *100%。</w:t>
      </w:r>
    </w:p>
    <w:p w14:paraId="539650F9">
      <w:pPr>
        <w:bidi w:val="0"/>
        <w:rPr>
          <w:rFonts w:hint="eastAsia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3.车辆运行维护，路灯所名下2台高空作业车及1台皮卡巡逻车日常运行保养维修，含油料（不含保险费）。</w:t>
      </w:r>
    </w:p>
    <w:p w14:paraId="25A21231">
      <w:pPr>
        <w:pStyle w:val="5"/>
        <w:spacing w:line="360" w:lineRule="auto"/>
        <w:ind w:firstLine="48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4.路灯维修中的常规材料采购及工器具采购（不含变压器及大批电缆）。</w:t>
      </w:r>
    </w:p>
    <w:p w14:paraId="7ED593CB">
      <w:pPr>
        <w:pStyle w:val="5"/>
        <w:spacing w:line="360" w:lineRule="auto"/>
        <w:ind w:firstLine="480"/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5.路灯控制柜终端运行维护，监控平台通信服务及其他软件服务。</w:t>
      </w:r>
    </w:p>
    <w:p w14:paraId="23AFF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02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（二）维护队伍和基础车辆要求</w:t>
      </w:r>
    </w:p>
    <w:p w14:paraId="19769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1.人员要求：</w:t>
      </w:r>
    </w:p>
    <w:p w14:paraId="06147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投标人必须派出不少于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人组成本项目的专职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维护队伍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，其中电工不少于4人、B证驾驶员2名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（电工不少于4人、B证驾驶员2名为实质性条款，不满足视为无效投标），电工要求持有特种作业操作证（作业种类：电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工）。投标文件中提供人员名单、证书复印件及上述人员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与投标人签订的劳动合同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42AE3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2.中标人的工作人员必须是经国家认可的相关部门专业技术培训合格，并持证上岗；特种作业人员必须持有有效的特种作业操作证书。当涉及高压部分照明设施的维修</w:t>
      </w:r>
      <w:r>
        <w:rPr>
          <w:rFonts w:hint="eastAsia" w:ascii="宋体" w:hAnsi="宋体" w:eastAsia="宋体" w:cs="宋体"/>
          <w:sz w:val="24"/>
          <w:szCs w:val="24"/>
        </w:rPr>
        <w:t>维护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时，维修人员须有高压进网证和高压操作证。</w:t>
      </w:r>
    </w:p>
    <w:p w14:paraId="26FAD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2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3.项目经理配备要求</w:t>
      </w:r>
    </w:p>
    <w:p w14:paraId="7614E6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投标人拟派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项目负责人须具备机电工程专业贰级（含）以上注册建造师资格或市政公用工程专业贰级（含）以上注册建造师资格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以及《建筑施工企业项目负责人安全生产考核合格证书》（B证）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。投标文件中提供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项目经理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证书复印件及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上述人员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2025年5月-7月近3个月的连续社保证明复印件加盖公章。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</w:p>
    <w:p w14:paraId="27FD0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0" w:firstLineChars="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4.除以上人员外，中标人还需要根据工作需要配备足够的巡查人员：投标人需充分考虑维护管理范围内的设施巡查、防盗工作，配备充足的人员负责该项工作。</w:t>
      </w:r>
    </w:p>
    <w:p w14:paraId="6E8F9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0" w:firstLineChars="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5.中标人维护队伍人员需报采购人备案，如无正当原因（如离职、生病不能长期工作）不进行变动。如得到采购人同意进行变动的人员的职称、资质等级不低于原人员。采购人也将建立考勤制度，对项目实施团队进行考核。中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用工工资不得低于国家规定的当年最低工资标准。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采购人将不定期核查项目团队人员人数是否与备案相符。如人数不符的，采购人有权要求中标人立即补充相关人员，且采购人有权在当月维护经费扣除人民币10000元作为处罚。</w:t>
      </w:r>
    </w:p>
    <w:p w14:paraId="0098D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00" w:firstLine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6.中标人应配备如下维护用基本车辆：高空作业车辆（14米）至少2台，巡查用车辆（轿车或面包车）至少1台。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具体设备根据投标人自身情况自定，如中标前有车辆的投标人，在投标文件中提供有效期内详细设备清单及车辆登记证书的复印件、行驶证的复印件；中标前未有设备车辆的投标人需提供承诺书，承诺书格式自拟。</w:t>
      </w:r>
    </w:p>
    <w:p w14:paraId="28C7C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="482" w:firstLine="0" w:firstLineChars="0"/>
        <w:jc w:val="left"/>
        <w:textAlignment w:val="baseline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项目维护要求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为实质性响应条款，如不满足，按照无效投标处理。</w:t>
      </w:r>
    </w:p>
    <w:p w14:paraId="7FA418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2" w:firstLineChars="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其他要求：见磋商文件《拟签订的合同文本》</w:t>
      </w:r>
    </w:p>
    <w:p w14:paraId="091D18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5CE5E"/>
    <w:multiLevelType w:val="singleLevel"/>
    <w:tmpl w:val="6425CE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6CE9"/>
    <w:rsid w:val="2790513A"/>
    <w:rsid w:val="45FB57DC"/>
    <w:rsid w:val="5463583A"/>
    <w:rsid w:val="73C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360" w:lineRule="auto"/>
      <w:ind w:firstLine="723" w:firstLineChars="200"/>
      <w:jc w:val="both"/>
      <w:textAlignment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无间隔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2025-10-25T06:46:00Z</dcterms:created>
  <dc:creator>陈彩凤</dc:creator>
  <cp:lastModifiedBy>陈彩凤</cp:lastModifiedBy>
  <dcterms:modified xsi:type="dcterms:W3CDTF">2025-10-25T06:54:25Z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D489EFBBD5D143E58396FFBFCA53A312_11</vt:lpwstr>
  </property>
  <property fmtid="{D5CDD505-2E9C-101B-9397-08002B2CF9AE}" pid="4" name="KSOTemplateDocerSaveRecord">
    <vt:lpwstr>eyJoZGlkIjoiMWMwOTYyOTk5Zjc0OGY2YzlmODNkMTE2Mjg0ZTI3OTYiLCJ1c2VySWQiOiI1OTMxMDQ1NzAifQ==</vt:lpwstr>
  </property>
</Properties>
</file>