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3492D">
      <w:pPr>
        <w:widowControl w:val="0"/>
        <w:spacing w:before="0" w:after="0" w:line="400" w:lineRule="exact"/>
        <w:jc w:val="center"/>
        <w:outlineLvl w:val="0"/>
        <w:rPr>
          <w:rFonts w:hint="eastAsia" w:ascii="宋体" w:hAnsi="宋体" w:eastAsia="宋体" w:cs="宋体"/>
          <w:b/>
          <w:bCs/>
          <w:sz w:val="30"/>
          <w:szCs w:val="30"/>
          <w:lang w:val="en-US" w:eastAsia="zh-CN" w:bidi="ar-SA"/>
        </w:rPr>
      </w:pPr>
    </w:p>
    <w:p w14:paraId="0F6D9AF1">
      <w:pPr>
        <w:keepNext w:val="0"/>
        <w:keepLines w:val="0"/>
        <w:pageBreakBefore w:val="0"/>
        <w:widowControl w:val="0"/>
        <w:kinsoku/>
        <w:wordWrap/>
        <w:overflowPunct/>
        <w:topLinePunct w:val="0"/>
        <w:autoSpaceDE/>
        <w:autoSpaceDN/>
        <w:bidi w:val="0"/>
        <w:adjustRightInd/>
        <w:snapToGrid/>
        <w:spacing w:after="120" w:line="500" w:lineRule="exact"/>
        <w:ind w:left="0" w:leftChars="0" w:firstLine="480" w:firstLineChars="200"/>
        <w:jc w:val="both"/>
        <w:textAlignment w:val="auto"/>
        <w:rPr>
          <w:rFonts w:hint="eastAsia" w:ascii="宋体" w:hAnsi="宋体" w:eastAsia="宋体" w:cs="宋体"/>
          <w:kern w:val="2"/>
          <w:sz w:val="24"/>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kern w:val="2"/>
          <w:sz w:val="24"/>
          <w:szCs w:val="24"/>
          <w:lang w:val="en-US" w:eastAsia="zh-CN" w:bidi="ar-SA"/>
        </w:rPr>
        <w:t>如有建议或意见，请以书面形式并加盖公章、注明联系人、联系方式，于</w:t>
      </w:r>
      <w:r>
        <w:rPr>
          <w:rFonts w:hint="eastAsia" w:ascii="宋体" w:hAnsi="宋体" w:eastAsia="宋体" w:cs="宋体"/>
          <w:i w:val="0"/>
          <w:caps w:val="0"/>
          <w:color w:val="333333"/>
          <w:spacing w:val="0"/>
          <w:kern w:val="0"/>
          <w:sz w:val="24"/>
          <w:szCs w:val="24"/>
          <w:lang w:val="en-US" w:eastAsia="zh-CN" w:bidi="ar"/>
        </w:rPr>
        <w:t>2025年10月22日17:30</w:t>
      </w:r>
      <w:r>
        <w:rPr>
          <w:rFonts w:hint="eastAsia" w:ascii="宋体" w:hAnsi="宋体" w:eastAsia="宋体" w:cs="宋体"/>
          <w:kern w:val="2"/>
          <w:sz w:val="24"/>
          <w:szCs w:val="24"/>
          <w:lang w:val="en-US" w:eastAsia="zh-CN" w:bidi="ar-SA"/>
        </w:rPr>
        <w:t>之前送至我单位，逾期不受理（如邮寄，</w:t>
      </w:r>
      <w:r>
        <w:rPr>
          <w:rFonts w:hint="eastAsia" w:ascii="宋体" w:hAnsi="宋体" w:eastAsia="宋体" w:cs="宋体"/>
          <w:i w:val="0"/>
          <w:caps w:val="0"/>
          <w:color w:val="333333"/>
          <w:spacing w:val="0"/>
          <w:kern w:val="0"/>
          <w:sz w:val="24"/>
          <w:szCs w:val="24"/>
          <w:lang w:val="en-US" w:eastAsia="zh-CN" w:bidi="ar"/>
        </w:rPr>
        <w:t>2025年10月22日17:30</w:t>
      </w:r>
      <w:r>
        <w:rPr>
          <w:rFonts w:hint="eastAsia" w:ascii="宋体" w:hAnsi="宋体" w:eastAsia="宋体" w:cs="宋体"/>
          <w:kern w:val="2"/>
          <w:sz w:val="24"/>
          <w:szCs w:val="24"/>
          <w:lang w:val="en-US" w:eastAsia="zh-CN" w:bidi="ar-SA"/>
        </w:rPr>
        <w:t>之后到达本单位的邮件将不再受理）。</w:t>
      </w:r>
    </w:p>
    <w:p w14:paraId="4027A0F7">
      <w:pPr>
        <w:tabs>
          <w:tab w:val="left" w:pos="1703"/>
        </w:tabs>
        <w:jc w:val="center"/>
        <w:rPr>
          <w:rFonts w:hint="default" w:ascii="宋体" w:hAnsi="宋体" w:eastAsia="宋体" w:cs="宋体"/>
          <w:color w:val="auto"/>
          <w:kern w:val="0"/>
          <w:sz w:val="24"/>
          <w:highlight w:val="none"/>
        </w:rPr>
      </w:pPr>
      <w:r>
        <w:rPr>
          <w:rFonts w:hint="eastAsia" w:ascii="宋体" w:hAnsi="宋体" w:eastAsia="宋体" w:cs="宋体"/>
          <w:b/>
          <w:bCs/>
          <w:color w:val="auto"/>
          <w:kern w:val="0"/>
          <w:sz w:val="36"/>
          <w:szCs w:val="36"/>
          <w:highlight w:val="none"/>
        </w:rPr>
        <w:t>项目要求（采购需求）</w:t>
      </w:r>
    </w:p>
    <w:p w14:paraId="1D9CF68F">
      <w:pPr>
        <w:widowControl w:val="0"/>
        <w:jc w:val="both"/>
        <w:rPr>
          <w:rFonts w:hint="default" w:ascii="宋体" w:hAnsi="宋体" w:eastAsia="宋体" w:cs="宋体"/>
          <w:color w:val="auto"/>
          <w:sz w:val="21"/>
          <w:szCs w:val="24"/>
          <w:highlight w:val="none"/>
          <w:lang w:val="en-US" w:eastAsia="zh-CN" w:bidi="ar-SA"/>
        </w:rPr>
      </w:pPr>
    </w:p>
    <w:p w14:paraId="2C8712E7">
      <w:pPr>
        <w:numPr>
          <w:ilvl w:val="0"/>
          <w:numId w:val="1"/>
        </w:numPr>
        <w:spacing w:line="360" w:lineRule="auto"/>
        <w:jc w:val="left"/>
        <w:rPr>
          <w:rFonts w:hint="default" w:ascii="宋体" w:hAnsi="宋体" w:eastAsia="宋体" w:cs="宋体"/>
          <w:b/>
          <w:kern w:val="0"/>
          <w:sz w:val="24"/>
          <w:highlight w:val="none"/>
        </w:rPr>
      </w:pPr>
      <w:r>
        <w:rPr>
          <w:rFonts w:hint="eastAsia" w:ascii="宋体" w:hAnsi="宋体" w:eastAsia="宋体" w:cs="宋体"/>
          <w:b/>
          <w:kern w:val="0"/>
          <w:sz w:val="24"/>
          <w:highlight w:val="none"/>
        </w:rPr>
        <w:t>采购项目预算金额</w:t>
      </w:r>
    </w:p>
    <w:p w14:paraId="05878D48">
      <w:pPr>
        <w:spacing w:line="360" w:lineRule="auto"/>
        <w:ind w:firstLine="480"/>
        <w:jc w:val="left"/>
        <w:rPr>
          <w:rFonts w:hint="default" w:ascii="宋体" w:hAnsi="宋体" w:eastAsia="宋体" w:cs="宋体"/>
          <w:bCs/>
          <w:kern w:val="0"/>
          <w:sz w:val="24"/>
          <w:highlight w:val="none"/>
        </w:rPr>
      </w:pPr>
      <w:r>
        <w:rPr>
          <w:rFonts w:hint="eastAsia" w:ascii="宋体" w:hAnsi="宋体" w:eastAsia="宋体" w:cs="宋体"/>
          <w:bCs/>
          <w:kern w:val="0"/>
          <w:sz w:val="24"/>
          <w:highlight w:val="none"/>
        </w:rPr>
        <w:t>本项目不接受超过</w:t>
      </w:r>
      <w:r>
        <w:rPr>
          <w:rFonts w:hint="eastAsia" w:ascii="宋体" w:hAnsi="宋体" w:eastAsia="宋体" w:cs="宋体"/>
          <w:bCs/>
          <w:kern w:val="0"/>
          <w:sz w:val="24"/>
          <w:highlight w:val="none"/>
          <w:lang w:val="en-US" w:eastAsia="zh-CN"/>
        </w:rPr>
        <w:t>804190.49</w:t>
      </w:r>
      <w:r>
        <w:rPr>
          <w:rFonts w:hint="eastAsia" w:ascii="宋体" w:hAnsi="宋体" w:eastAsia="宋体" w:cs="宋体"/>
          <w:bCs/>
          <w:kern w:val="0"/>
          <w:sz w:val="24"/>
          <w:highlight w:val="none"/>
        </w:rPr>
        <w:t>元人民币（采购项目预算金额）的报价。采购人不再支付报价以外的任何费用。</w:t>
      </w:r>
    </w:p>
    <w:p w14:paraId="2B32FD62">
      <w:pPr>
        <w:spacing w:line="360" w:lineRule="auto"/>
        <w:jc w:val="left"/>
        <w:rPr>
          <w:rFonts w:hint="default" w:ascii="宋体" w:hAnsi="宋体" w:eastAsia="宋体" w:cs="宋体"/>
          <w:bCs/>
          <w:kern w:val="0"/>
          <w:sz w:val="24"/>
          <w:highlight w:val="none"/>
        </w:rPr>
      </w:pPr>
      <w:r>
        <w:rPr>
          <w:rFonts w:hint="eastAsia" w:ascii="宋体" w:hAnsi="宋体" w:eastAsia="宋体" w:cs="宋体"/>
          <w:b/>
          <w:kern w:val="0"/>
          <w:sz w:val="24"/>
          <w:highlight w:val="none"/>
        </w:rPr>
        <w:t>二、项目概况</w:t>
      </w:r>
    </w:p>
    <w:p w14:paraId="32A5E0F3">
      <w:pPr>
        <w:widowControl w:val="0"/>
        <w:spacing w:line="360" w:lineRule="auto"/>
        <w:ind w:firstLine="480" w:firstLineChars="200"/>
        <w:jc w:val="both"/>
        <w:rPr>
          <w:rFonts w:hint="eastAsia" w:ascii="宋体" w:hAnsi="宋体" w:eastAsia="宋体" w:cs="宋体"/>
          <w:bCs/>
          <w:sz w:val="24"/>
          <w:szCs w:val="21"/>
          <w:highlight w:val="none"/>
          <w:lang w:val="en-US" w:eastAsia="zh-CN" w:bidi="ar-SA"/>
        </w:rPr>
      </w:pPr>
      <w:r>
        <w:rPr>
          <w:rFonts w:hint="eastAsia" w:ascii="宋体" w:hAnsi="宋体" w:eastAsia="宋体" w:cs="宋体"/>
          <w:bCs/>
          <w:sz w:val="24"/>
          <w:szCs w:val="21"/>
          <w:highlight w:val="none"/>
          <w:lang w:val="en-US" w:eastAsia="zh-CN" w:bidi="ar-SA"/>
        </w:rPr>
        <w:t>1、项目名称：大彭镇2025-2027年农村垃圾分类运营服务项目</w:t>
      </w:r>
    </w:p>
    <w:p w14:paraId="21848920">
      <w:pPr>
        <w:widowControl w:val="0"/>
        <w:spacing w:line="360" w:lineRule="auto"/>
        <w:ind w:firstLine="480" w:firstLineChars="200"/>
        <w:jc w:val="both"/>
        <w:rPr>
          <w:rFonts w:hint="default" w:ascii="宋体" w:hAnsi="宋体" w:eastAsia="宋体" w:cs="宋体"/>
          <w:bCs/>
          <w:sz w:val="24"/>
          <w:szCs w:val="24"/>
          <w:highlight w:val="none"/>
          <w:lang w:val="en-US" w:eastAsia="zh-CN" w:bidi="ar-SA"/>
        </w:rPr>
      </w:pPr>
      <w:r>
        <w:rPr>
          <w:rFonts w:hint="eastAsia" w:ascii="宋体" w:hAnsi="宋体" w:eastAsia="宋体" w:cs="宋体"/>
          <w:bCs/>
          <w:sz w:val="24"/>
          <w:szCs w:val="24"/>
          <w:highlight w:val="none"/>
          <w:lang w:val="en-US" w:eastAsia="zh-CN" w:bidi="ar-SA"/>
        </w:rPr>
        <w:t>2、项目地点：徐州市铜山区大彭镇</w:t>
      </w:r>
    </w:p>
    <w:p w14:paraId="4EBB832D">
      <w:pPr>
        <w:widowControl w:val="0"/>
        <w:spacing w:line="360" w:lineRule="auto"/>
        <w:ind w:left="0" w:leftChars="0" w:firstLine="480" w:firstLineChars="200"/>
        <w:jc w:val="both"/>
        <w:rPr>
          <w:rFonts w:hint="default" w:ascii="Times New Roman" w:hAnsi="宋体" w:eastAsia="宋体" w:cs="宋体"/>
          <w:bCs/>
          <w:sz w:val="24"/>
          <w:szCs w:val="24"/>
          <w:highlight w:val="none"/>
          <w:lang w:val="en-US" w:eastAsia="zh-CN" w:bidi="ar-SA"/>
        </w:rPr>
      </w:pPr>
      <w:r>
        <w:rPr>
          <w:rFonts w:hint="eastAsia" w:ascii="宋体" w:hAnsi="宋体" w:eastAsia="宋体" w:cs="宋体"/>
          <w:bCs/>
          <w:sz w:val="24"/>
          <w:szCs w:val="24"/>
          <w:highlight w:val="none"/>
          <w:lang w:val="en-US" w:eastAsia="zh-CN" w:bidi="ar-SA"/>
        </w:rPr>
        <w:t>3、服务期限：15个月</w:t>
      </w:r>
    </w:p>
    <w:p w14:paraId="7764E299">
      <w:pPr>
        <w:widowControl w:val="0"/>
        <w:spacing w:line="360" w:lineRule="auto"/>
        <w:ind w:firstLine="0"/>
        <w:jc w:val="both"/>
        <w:rPr>
          <w:rFonts w:hint="default"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三、项目简介</w:t>
      </w:r>
    </w:p>
    <w:p w14:paraId="609753AB">
      <w:pPr>
        <w:widowControl w:val="0"/>
        <w:spacing w:line="360" w:lineRule="auto"/>
        <w:ind w:firstLine="420"/>
        <w:jc w:val="both"/>
        <w:rPr>
          <w:rFonts w:hint="default" w:ascii="Times New Roman" w:hAnsi="宋体" w:eastAsia="宋体" w:cs="宋体"/>
          <w:bCs/>
          <w:sz w:val="24"/>
          <w:szCs w:val="24"/>
          <w:highlight w:val="none"/>
          <w:lang w:val="en-US" w:eastAsia="zh-CN" w:bidi="ar-SA"/>
        </w:rPr>
      </w:pPr>
      <w:r>
        <w:rPr>
          <w:rFonts w:hint="default" w:ascii="宋体" w:hAnsi="宋体" w:eastAsia="宋体" w:cs="宋体"/>
          <w:bCs/>
          <w:sz w:val="24"/>
          <w:szCs w:val="24"/>
          <w:highlight w:val="none"/>
          <w:lang w:val="en-US" w:eastAsia="zh-CN" w:bidi="ar-SA"/>
        </w:rPr>
        <w:t>进一步规范</w:t>
      </w:r>
      <w:r>
        <w:rPr>
          <w:rFonts w:hint="eastAsia" w:ascii="宋体" w:hAnsi="宋体" w:eastAsia="宋体" w:cs="宋体"/>
          <w:bCs/>
          <w:sz w:val="24"/>
          <w:szCs w:val="24"/>
          <w:highlight w:val="none"/>
          <w:lang w:val="en-US" w:eastAsia="zh-CN" w:bidi="ar-SA"/>
        </w:rPr>
        <w:t>大彭镇4</w:t>
      </w:r>
      <w:r>
        <w:rPr>
          <w:rFonts w:hint="default" w:ascii="宋体" w:hAnsi="宋体" w:eastAsia="宋体" w:cs="宋体"/>
          <w:bCs/>
          <w:sz w:val="24"/>
          <w:szCs w:val="24"/>
          <w:highlight w:val="none"/>
          <w:lang w:val="en-US" w:eastAsia="zh-CN" w:bidi="ar-SA"/>
        </w:rPr>
        <w:t>9</w:t>
      </w:r>
      <w:r>
        <w:rPr>
          <w:rFonts w:hint="eastAsia" w:ascii="宋体" w:hAnsi="宋体" w:eastAsia="宋体" w:cs="宋体"/>
          <w:bCs/>
          <w:sz w:val="24"/>
          <w:szCs w:val="24"/>
          <w:highlight w:val="none"/>
          <w:lang w:val="en-US" w:eastAsia="zh-CN" w:bidi="ar-SA"/>
        </w:rPr>
        <w:t>个自然村的垃圾分类体系的运营。</w:t>
      </w:r>
      <w:r>
        <w:rPr>
          <w:rFonts w:hint="default" w:ascii="宋体" w:hAnsi="宋体" w:eastAsia="宋体" w:cs="宋体"/>
          <w:bCs/>
          <w:sz w:val="24"/>
          <w:szCs w:val="24"/>
          <w:highlight w:val="none"/>
          <w:lang w:val="en-US" w:eastAsia="zh-CN" w:bidi="ar-SA"/>
        </w:rPr>
        <w:t>建立管理科学、运行高效的生活垃圾分类</w:t>
      </w:r>
      <w:r>
        <w:rPr>
          <w:rFonts w:hint="eastAsia" w:ascii="宋体" w:hAnsi="宋体" w:eastAsia="宋体" w:cs="宋体"/>
          <w:bCs/>
          <w:sz w:val="24"/>
          <w:szCs w:val="24"/>
          <w:highlight w:val="none"/>
          <w:lang w:val="en-US" w:eastAsia="zh-CN" w:bidi="ar-SA"/>
        </w:rPr>
        <w:t>运行</w:t>
      </w:r>
      <w:r>
        <w:rPr>
          <w:rFonts w:hint="default" w:ascii="宋体" w:hAnsi="宋体" w:eastAsia="宋体" w:cs="宋体"/>
          <w:bCs/>
          <w:sz w:val="24"/>
          <w:szCs w:val="24"/>
          <w:highlight w:val="none"/>
          <w:lang w:val="en-US" w:eastAsia="zh-CN" w:bidi="ar-SA"/>
        </w:rPr>
        <w:t>体系</w:t>
      </w:r>
      <w:r>
        <w:rPr>
          <w:rFonts w:hint="eastAsia" w:ascii="宋体" w:hAnsi="宋体" w:eastAsia="宋体" w:cs="宋体"/>
          <w:bCs/>
          <w:sz w:val="24"/>
          <w:szCs w:val="24"/>
          <w:highlight w:val="none"/>
          <w:lang w:val="en-US" w:eastAsia="zh-CN" w:bidi="ar-SA"/>
        </w:rPr>
        <w:t>。配备入户分类桶，促进源头分类；宣传设施的监管；收集点位的管理；实施范围内村生活垃圾分类为“四分类”，即村民</w:t>
      </w:r>
      <w:r>
        <w:rPr>
          <w:rFonts w:hint="eastAsia" w:ascii="宋体" w:hAnsi="宋体" w:eastAsia="宋体" w:cs="宋体"/>
          <w:bCs/>
          <w:sz w:val="24"/>
          <w:szCs w:val="24"/>
          <w:highlight w:val="none"/>
          <w:lang w:val="en-US" w:eastAsia="zh-CN" w:bidi="ar-SA"/>
        </w:rPr>
        <w:t>要将家庭产生的垃圾分为“有害垃圾、可回收物、厨余（易腐）垃圾和其他垃圾”四种类别。清运的收运队伍及车辆，按规定要求对垃圾进行分类收运（其他垃圾延续之前的收运体系不变）；作业过程台账的记录、整理、报送。</w:t>
      </w:r>
    </w:p>
    <w:p w14:paraId="6CA4F01A">
      <w:pPr>
        <w:widowControl w:val="0"/>
        <w:spacing w:line="360" w:lineRule="auto"/>
        <w:ind w:firstLine="0"/>
        <w:jc w:val="both"/>
        <w:rPr>
          <w:rFonts w:hint="default"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四、 总体要求</w:t>
      </w:r>
      <w:bookmarkStart w:id="2" w:name="_GoBack"/>
      <w:bookmarkEnd w:id="2"/>
      <w:bookmarkStart w:id="0" w:name="_Toc513151351"/>
      <w:bookmarkEnd w:id="0"/>
    </w:p>
    <w:p w14:paraId="033E616D">
      <w:pPr>
        <w:widowControl w:val="0"/>
        <w:spacing w:line="360" w:lineRule="auto"/>
        <w:ind w:firstLine="482" w:firstLineChars="200"/>
        <w:jc w:val="both"/>
        <w:rPr>
          <w:rFonts w:hint="default"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1、项目服务范围：</w:t>
      </w:r>
    </w:p>
    <w:p w14:paraId="04C01526">
      <w:pPr>
        <w:widowControl w:val="0"/>
        <w:spacing w:line="360" w:lineRule="auto"/>
        <w:ind w:firstLine="48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bCs/>
          <w:sz w:val="24"/>
          <w:szCs w:val="24"/>
          <w:highlight w:val="none"/>
          <w:lang w:val="en-US" w:eastAsia="zh-CN" w:bidi="ar-SA"/>
        </w:rPr>
        <w:t>大彭镇农村垃圾分类的实施范</w:t>
      </w:r>
      <w:r>
        <w:rPr>
          <w:rFonts w:hint="eastAsia" w:ascii="宋体" w:hAnsi="宋体" w:eastAsia="宋体" w:cs="宋体"/>
          <w:bCs/>
          <w:color w:val="000000"/>
          <w:sz w:val="24"/>
          <w:szCs w:val="24"/>
          <w:highlight w:val="none"/>
          <w:lang w:val="en-US" w:eastAsia="zh-CN" w:bidi="ar-SA"/>
        </w:rPr>
        <w:t>围</w:t>
      </w:r>
      <w:r>
        <w:rPr>
          <w:rFonts w:hint="eastAsia" w:ascii="宋体" w:hAnsi="宋体" w:eastAsia="宋体" w:cs="宋体"/>
          <w:color w:val="000000"/>
          <w:sz w:val="24"/>
          <w:szCs w:val="24"/>
          <w:highlight w:val="none"/>
          <w:lang w:val="en-US" w:eastAsia="zh-CN" w:bidi="ar-SA"/>
        </w:rPr>
        <w:t>：镇区临街商铺、农贸市场以及小李庄、大刘庄、东红土庙、西红土庙、冯庄、苗山、田巷、周棚、韩楼、西马林、东马林、王门、刘新庄、半步店、新张井、杨山头、义安、下王庄、小柳庄、权寨、杨楼、胡集、官庄、孟庄、程庄、土楼、两半庄、闸口、王楼、徐庵、小山子、沙塘、周庄、郝寨西、前薛湾、后薛湾、贾楼、王庄、小刘庄、新庄、付庄、新徐楼、徐大庄、和尚庄、侯楼、西小李庄、前郝庄、郝寨、郝新庄49个自然村。</w:t>
      </w:r>
    </w:p>
    <w:p w14:paraId="7BB2A214">
      <w:pPr>
        <w:pageBreakBefore w:val="0"/>
        <w:widowControl w:val="0"/>
        <w:spacing w:line="360" w:lineRule="auto"/>
        <w:ind w:firstLine="482"/>
        <w:rPr>
          <w:rFonts w:hint="default" w:ascii="宋体" w:hAnsi="宋体" w:eastAsia="宋体" w:cs="宋体"/>
          <w:b/>
          <w:kern w:val="0"/>
          <w:sz w:val="24"/>
          <w:szCs w:val="24"/>
          <w:highlight w:val="none"/>
        </w:rPr>
      </w:pPr>
      <w:r>
        <w:rPr>
          <w:rFonts w:hint="eastAsia" w:ascii="宋体" w:hAnsi="宋体" w:eastAsia="宋体" w:cs="宋体"/>
          <w:b/>
          <w:kern w:val="0"/>
          <w:sz w:val="24"/>
          <w:szCs w:val="24"/>
          <w:highlight w:val="none"/>
          <w:lang w:val="en-US" w:eastAsia="zh-CN"/>
        </w:rPr>
        <w:t>2、项目</w:t>
      </w:r>
      <w:r>
        <w:rPr>
          <w:rFonts w:hint="eastAsia" w:ascii="宋体" w:hAnsi="宋体" w:eastAsia="宋体" w:cs="宋体"/>
          <w:b/>
          <w:kern w:val="0"/>
          <w:sz w:val="24"/>
          <w:szCs w:val="24"/>
          <w:highlight w:val="none"/>
        </w:rPr>
        <w:t>服务内容</w:t>
      </w:r>
    </w:p>
    <w:p w14:paraId="10896DFB">
      <w:pPr>
        <w:widowControl w:val="0"/>
        <w:spacing w:line="360" w:lineRule="auto"/>
        <w:ind w:firstLine="482"/>
        <w:jc w:val="both"/>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2.1垃圾分类宣传设施的监管</w:t>
      </w:r>
    </w:p>
    <w:p w14:paraId="034CF49A">
      <w:pPr>
        <w:widowControl w:val="0"/>
        <w:spacing w:line="360" w:lineRule="auto"/>
        <w:ind w:firstLine="480"/>
        <w:jc w:val="both"/>
        <w:rPr>
          <w:rFonts w:hint="eastAsia" w:ascii="Calibri" w:hAnsi="宋体" w:eastAsia="宋体" w:cs="宋体"/>
          <w:bCs/>
          <w:color w:val="000000"/>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在实施范围内已建成的阵地宣传设施监管，建立巡查机制，对破损、老旧的的宣传设施及时上报并维修</w:t>
      </w:r>
      <w:r>
        <w:rPr>
          <w:rFonts w:hint="eastAsia" w:ascii="宋体" w:hAnsi="宋体" w:eastAsia="宋体" w:cs="宋体"/>
          <w:bCs/>
          <w:color w:val="000000"/>
          <w:kern w:val="2"/>
          <w:sz w:val="24"/>
          <w:szCs w:val="24"/>
          <w:highlight w:val="none"/>
          <w:lang w:val="en-US" w:eastAsia="zh-CN" w:bidi="ar-SA"/>
        </w:rPr>
        <w:t>。</w:t>
      </w:r>
    </w:p>
    <w:p w14:paraId="3A50772F">
      <w:pPr>
        <w:widowControl w:val="0"/>
        <w:spacing w:line="360" w:lineRule="auto"/>
        <w:ind w:firstLine="420"/>
        <w:jc w:val="both"/>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 w:val="24"/>
          <w:szCs w:val="24"/>
          <w:highlight w:val="none"/>
          <w:lang w:val="en-US" w:eastAsia="zh-CN" w:bidi="ar-SA"/>
        </w:rPr>
        <w:t>2.2垃圾分类集中收集点及收集容器管理</w:t>
      </w:r>
    </w:p>
    <w:p w14:paraId="3BF92B9B">
      <w:pPr>
        <w:spacing w:line="360" w:lineRule="auto"/>
        <w:ind w:firstLine="420"/>
        <w:rPr>
          <w:rFonts w:hint="eastAsia" w:ascii="Calibri" w:hAnsi="宋体" w:eastAsia="宋体" w:cs="宋体"/>
          <w:bCs/>
          <w:color w:val="000000"/>
          <w:kern w:val="2"/>
          <w:sz w:val="24"/>
          <w:highlight w:val="none"/>
        </w:rPr>
      </w:pPr>
      <w:r>
        <w:rPr>
          <w:rFonts w:hint="eastAsia" w:ascii="宋体" w:hAnsi="宋体" w:eastAsia="宋体" w:cs="宋体"/>
          <w:bCs/>
          <w:kern w:val="2"/>
          <w:sz w:val="24"/>
          <w:highlight w:val="none"/>
        </w:rPr>
        <w:t>对实施范围内集中收集容器的卫生管理</w:t>
      </w:r>
      <w:r>
        <w:rPr>
          <w:rFonts w:hint="eastAsia" w:ascii="宋体" w:hAnsi="宋体" w:eastAsia="宋体" w:cs="宋体"/>
          <w:bCs/>
          <w:color w:val="000000"/>
          <w:kern w:val="2"/>
          <w:sz w:val="24"/>
          <w:highlight w:val="none"/>
        </w:rPr>
        <w:t>。垃圾桶冲洗，日常蚊蝇消杀，点位消毒。</w:t>
      </w:r>
      <w:r>
        <w:rPr>
          <w:rFonts w:hint="eastAsia" w:ascii="宋体" w:hAnsi="宋体" w:eastAsia="宋体" w:cs="宋体"/>
          <w:bCs/>
          <w:kern w:val="2"/>
          <w:sz w:val="24"/>
          <w:highlight w:val="none"/>
        </w:rPr>
        <w:t>建立巡查机制，对破损、老旧的集中收集点设施及时上报并维修</w:t>
      </w:r>
      <w:r>
        <w:rPr>
          <w:rFonts w:hint="eastAsia" w:ascii="宋体" w:hAnsi="宋体" w:eastAsia="宋体" w:cs="宋体"/>
          <w:bCs/>
          <w:color w:val="000000"/>
          <w:kern w:val="2"/>
          <w:sz w:val="24"/>
          <w:highlight w:val="none"/>
        </w:rPr>
        <w:t>。</w:t>
      </w:r>
    </w:p>
    <w:p w14:paraId="610AA882">
      <w:pPr>
        <w:widowControl w:val="0"/>
        <w:spacing w:line="360" w:lineRule="auto"/>
        <w:ind w:firstLine="480"/>
        <w:jc w:val="both"/>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 w:val="24"/>
          <w:szCs w:val="24"/>
          <w:highlight w:val="none"/>
          <w:lang w:val="en-US" w:eastAsia="zh-CN" w:bidi="ar-SA"/>
        </w:rPr>
        <w:t>2.3厨余（易腐）垃圾入户桶的配备</w:t>
      </w:r>
    </w:p>
    <w:p w14:paraId="70EF5CD7">
      <w:pPr>
        <w:spacing w:line="360" w:lineRule="auto"/>
        <w:ind w:firstLine="420"/>
        <w:rPr>
          <w:rFonts w:hint="default" w:ascii="Calibri" w:hAnsi="Calibri" w:eastAsia="宋体" w:cs="Times New Roman"/>
          <w:kern w:val="2"/>
          <w:highlight w:val="none"/>
        </w:rPr>
      </w:pPr>
      <w:r>
        <w:rPr>
          <w:rFonts w:hint="eastAsia" w:ascii="宋体" w:hAnsi="宋体" w:eastAsia="宋体" w:cs="宋体"/>
          <w:kern w:val="2"/>
          <w:highlight w:val="none"/>
        </w:rPr>
        <w:t xml:space="preserve"> </w:t>
      </w:r>
      <w:r>
        <w:rPr>
          <w:rFonts w:hint="default" w:ascii="宋体" w:hAnsi="宋体" w:eastAsia="宋体" w:cs="宋体"/>
          <w:kern w:val="2"/>
          <w:highlight w:val="none"/>
        </w:rPr>
        <w:t xml:space="preserve">  </w:t>
      </w:r>
      <w:r>
        <w:rPr>
          <w:rFonts w:hint="eastAsia" w:ascii="宋体" w:hAnsi="宋体" w:eastAsia="宋体" w:cs="宋体"/>
          <w:bCs/>
          <w:kern w:val="2"/>
          <w:sz w:val="24"/>
          <w:highlight w:val="none"/>
        </w:rPr>
        <w:t>对服务范围内其中1000户居民（补充缺失）配备厨余（易腐）垃圾收集容器，容量不小于10</w:t>
      </w:r>
      <w:r>
        <w:rPr>
          <w:rFonts w:hint="default" w:ascii="宋体" w:hAnsi="宋体" w:eastAsia="宋体" w:cs="宋体"/>
          <w:bCs/>
          <w:kern w:val="2"/>
          <w:sz w:val="24"/>
          <w:highlight w:val="none"/>
        </w:rPr>
        <w:t>L,</w:t>
      </w:r>
      <w:r>
        <w:rPr>
          <w:rFonts w:hint="eastAsia" w:ascii="宋体" w:hAnsi="宋体" w:eastAsia="宋体" w:cs="宋体"/>
          <w:bCs/>
          <w:kern w:val="2"/>
          <w:sz w:val="24"/>
          <w:highlight w:val="none"/>
        </w:rPr>
        <w:t>带盖、提手。其颜色为绿色，分类标识为厨余（易腐）垃圾。</w:t>
      </w:r>
    </w:p>
    <w:tbl>
      <w:tblPr>
        <w:tblStyle w:val="3"/>
        <w:tblW w:w="8505" w:type="dxa"/>
        <w:jc w:val="center"/>
        <w:tblLayout w:type="fixed"/>
        <w:tblCellMar>
          <w:top w:w="0" w:type="dxa"/>
          <w:left w:w="108" w:type="dxa"/>
          <w:bottom w:w="0" w:type="dxa"/>
          <w:right w:w="108" w:type="dxa"/>
        </w:tblCellMar>
      </w:tblPr>
      <w:tblGrid>
        <w:gridCol w:w="716"/>
        <w:gridCol w:w="2119"/>
        <w:gridCol w:w="1593"/>
        <w:gridCol w:w="4077"/>
      </w:tblGrid>
      <w:tr w14:paraId="6FF5213A">
        <w:tblPrEx>
          <w:tblCellMar>
            <w:top w:w="0" w:type="dxa"/>
            <w:left w:w="108" w:type="dxa"/>
            <w:bottom w:w="0" w:type="dxa"/>
            <w:right w:w="108" w:type="dxa"/>
          </w:tblCellMar>
        </w:tblPrEx>
        <w:trPr>
          <w:trHeight w:val="356" w:hRule="atLeast"/>
          <w:jc w:val="center"/>
        </w:trPr>
        <w:tc>
          <w:tcPr>
            <w:tcW w:w="716" w:type="dxa"/>
            <w:tcBorders>
              <w:top w:val="single" w:color="080000" w:sz="8" w:space="0"/>
              <w:left w:val="single" w:color="080000" w:sz="8" w:space="0"/>
              <w:bottom w:val="single" w:color="080000" w:sz="8" w:space="0"/>
              <w:right w:val="single" w:color="080000" w:sz="8" w:space="0"/>
            </w:tcBorders>
          </w:tcPr>
          <w:p w14:paraId="29C9873D">
            <w:pPr>
              <w:spacing w:line="360" w:lineRule="auto"/>
              <w:jc w:val="center"/>
              <w:rPr>
                <w:rFonts w:hint="default" w:ascii="Calibri" w:hAnsi="Calibri" w:eastAsia="宋体" w:cs="Times New Roman"/>
                <w:kern w:val="2"/>
                <w:highlight w:val="none"/>
              </w:rPr>
            </w:pPr>
            <w:r>
              <w:rPr>
                <w:rFonts w:hint="eastAsia" w:ascii="Calibri" w:hAnsi="Calibri" w:eastAsia="宋体" w:cs="Times New Roman"/>
                <w:kern w:val="2"/>
                <w:highlight w:val="none"/>
              </w:rPr>
              <w:t>序号</w:t>
            </w:r>
          </w:p>
        </w:tc>
        <w:tc>
          <w:tcPr>
            <w:tcW w:w="2119" w:type="dxa"/>
            <w:tcBorders>
              <w:top w:val="single" w:color="080000" w:sz="8" w:space="0"/>
              <w:left w:val="single" w:color="080000" w:sz="8" w:space="0"/>
              <w:bottom w:val="single" w:color="080000" w:sz="8" w:space="0"/>
              <w:right w:val="single" w:color="080000" w:sz="8" w:space="0"/>
            </w:tcBorders>
            <w:vAlign w:val="center"/>
          </w:tcPr>
          <w:p w14:paraId="3355EEA0">
            <w:pPr>
              <w:spacing w:line="360" w:lineRule="auto"/>
              <w:jc w:val="center"/>
              <w:rPr>
                <w:rFonts w:hint="default" w:ascii="Calibri" w:hAnsi="Calibri" w:eastAsia="宋体" w:cs="Times New Roman"/>
                <w:kern w:val="2"/>
                <w:highlight w:val="none"/>
              </w:rPr>
            </w:pPr>
            <w:r>
              <w:rPr>
                <w:rFonts w:hint="eastAsia" w:ascii="Calibri" w:hAnsi="Calibri" w:eastAsia="宋体" w:cs="Times New Roman"/>
                <w:kern w:val="2"/>
                <w:highlight w:val="none"/>
              </w:rPr>
              <w:t>项目名称</w:t>
            </w:r>
          </w:p>
        </w:tc>
        <w:tc>
          <w:tcPr>
            <w:tcW w:w="1593" w:type="dxa"/>
            <w:tcBorders>
              <w:top w:val="single" w:color="080000" w:sz="8" w:space="0"/>
              <w:left w:val="nil"/>
              <w:bottom w:val="single" w:color="080000" w:sz="8" w:space="0"/>
              <w:right w:val="single" w:color="080000" w:sz="8" w:space="0"/>
            </w:tcBorders>
            <w:vAlign w:val="center"/>
          </w:tcPr>
          <w:p w14:paraId="02B04433">
            <w:pPr>
              <w:spacing w:line="360" w:lineRule="auto"/>
              <w:jc w:val="center"/>
              <w:rPr>
                <w:rFonts w:hint="default" w:ascii="Calibri" w:hAnsi="Calibri" w:eastAsia="宋体" w:cs="Times New Roman"/>
                <w:kern w:val="2"/>
                <w:highlight w:val="none"/>
              </w:rPr>
            </w:pPr>
            <w:r>
              <w:rPr>
                <w:rFonts w:hint="eastAsia" w:ascii="Calibri" w:hAnsi="Calibri" w:eastAsia="宋体" w:cs="Times New Roman"/>
                <w:kern w:val="2"/>
                <w:highlight w:val="none"/>
              </w:rPr>
              <w:t>数量</w:t>
            </w:r>
          </w:p>
        </w:tc>
        <w:tc>
          <w:tcPr>
            <w:tcW w:w="4077" w:type="dxa"/>
            <w:tcBorders>
              <w:top w:val="single" w:color="080000" w:sz="8" w:space="0"/>
              <w:left w:val="nil"/>
              <w:bottom w:val="single" w:color="080000" w:sz="8" w:space="0"/>
              <w:right w:val="single" w:color="080000" w:sz="8" w:space="0"/>
            </w:tcBorders>
            <w:vAlign w:val="center"/>
          </w:tcPr>
          <w:p w14:paraId="3F35045C">
            <w:pPr>
              <w:spacing w:line="360" w:lineRule="auto"/>
              <w:jc w:val="center"/>
              <w:rPr>
                <w:rFonts w:hint="default" w:ascii="Calibri" w:hAnsi="Calibri" w:eastAsia="宋体" w:cs="Times New Roman"/>
                <w:kern w:val="2"/>
                <w:highlight w:val="none"/>
              </w:rPr>
            </w:pPr>
            <w:r>
              <w:rPr>
                <w:rFonts w:hint="eastAsia" w:ascii="Calibri" w:hAnsi="Calibri" w:eastAsia="宋体" w:cs="Times New Roman"/>
                <w:kern w:val="2"/>
                <w:highlight w:val="none"/>
              </w:rPr>
              <w:t>备注</w:t>
            </w:r>
          </w:p>
        </w:tc>
      </w:tr>
      <w:tr w14:paraId="697D5B46">
        <w:tblPrEx>
          <w:tblCellMar>
            <w:top w:w="0" w:type="dxa"/>
            <w:left w:w="108" w:type="dxa"/>
            <w:bottom w:w="0" w:type="dxa"/>
            <w:right w:w="108" w:type="dxa"/>
          </w:tblCellMar>
        </w:tblPrEx>
        <w:trPr>
          <w:trHeight w:val="182" w:hRule="atLeast"/>
          <w:jc w:val="center"/>
        </w:trPr>
        <w:tc>
          <w:tcPr>
            <w:tcW w:w="716" w:type="dxa"/>
            <w:tcBorders>
              <w:top w:val="nil"/>
              <w:left w:val="single" w:color="080000" w:sz="8" w:space="0"/>
              <w:bottom w:val="single" w:color="080000" w:sz="8" w:space="0"/>
              <w:right w:val="single" w:color="080000" w:sz="8" w:space="0"/>
            </w:tcBorders>
            <w:vAlign w:val="center"/>
          </w:tcPr>
          <w:p w14:paraId="2A089CD1">
            <w:pPr>
              <w:spacing w:line="360" w:lineRule="auto"/>
              <w:jc w:val="center"/>
              <w:rPr>
                <w:rFonts w:hint="default" w:ascii="Calibri" w:hAnsi="Calibri" w:eastAsia="宋体" w:cs="Times New Roman"/>
                <w:kern w:val="2"/>
                <w:highlight w:val="none"/>
              </w:rPr>
            </w:pPr>
            <w:r>
              <w:rPr>
                <w:rFonts w:hint="default" w:ascii="Calibri" w:hAnsi="Calibri" w:eastAsia="宋体" w:cs="Times New Roman"/>
                <w:kern w:val="2"/>
                <w:highlight w:val="none"/>
              </w:rPr>
              <w:t>1</w:t>
            </w:r>
          </w:p>
        </w:tc>
        <w:tc>
          <w:tcPr>
            <w:tcW w:w="2119" w:type="dxa"/>
            <w:tcBorders>
              <w:top w:val="nil"/>
              <w:left w:val="single" w:color="080000" w:sz="8" w:space="0"/>
              <w:bottom w:val="single" w:color="080000" w:sz="8" w:space="0"/>
              <w:right w:val="single" w:color="080000" w:sz="8" w:space="0"/>
            </w:tcBorders>
            <w:vAlign w:val="center"/>
          </w:tcPr>
          <w:p w14:paraId="2774C363">
            <w:pPr>
              <w:spacing w:line="360" w:lineRule="auto"/>
              <w:jc w:val="center"/>
              <w:rPr>
                <w:rFonts w:hint="default" w:ascii="Calibri" w:hAnsi="Calibri" w:eastAsia="宋体" w:cs="Times New Roman"/>
                <w:kern w:val="2"/>
                <w:highlight w:val="none"/>
              </w:rPr>
            </w:pPr>
            <w:r>
              <w:rPr>
                <w:rFonts w:hint="eastAsia" w:ascii="Calibri" w:hAnsi="Calibri" w:eastAsia="宋体" w:cs="Times New Roman"/>
                <w:kern w:val="2"/>
                <w:highlight w:val="none"/>
              </w:rPr>
              <w:t>入户垃圾分类桶</w:t>
            </w:r>
          </w:p>
        </w:tc>
        <w:tc>
          <w:tcPr>
            <w:tcW w:w="1593" w:type="dxa"/>
            <w:tcBorders>
              <w:top w:val="nil"/>
              <w:left w:val="nil"/>
              <w:bottom w:val="single" w:color="080000" w:sz="8" w:space="0"/>
              <w:right w:val="single" w:color="080000" w:sz="8" w:space="0"/>
            </w:tcBorders>
            <w:vAlign w:val="center"/>
          </w:tcPr>
          <w:p w14:paraId="45786F0D">
            <w:pPr>
              <w:spacing w:line="360" w:lineRule="auto"/>
              <w:jc w:val="center"/>
              <w:rPr>
                <w:rFonts w:hint="default" w:ascii="Calibri" w:hAnsi="Calibri" w:eastAsia="宋体" w:cs="Times New Roman"/>
                <w:kern w:val="2"/>
                <w:highlight w:val="none"/>
              </w:rPr>
            </w:pPr>
            <w:r>
              <w:rPr>
                <w:rFonts w:hint="eastAsia" w:ascii="Calibri" w:hAnsi="Calibri" w:eastAsia="宋体" w:cs="Times New Roman"/>
                <w:kern w:val="2"/>
                <w:highlight w:val="none"/>
              </w:rPr>
              <w:t>1000只</w:t>
            </w:r>
          </w:p>
        </w:tc>
        <w:tc>
          <w:tcPr>
            <w:tcW w:w="4077" w:type="dxa"/>
            <w:tcBorders>
              <w:top w:val="nil"/>
              <w:left w:val="nil"/>
              <w:bottom w:val="single" w:color="080000" w:sz="8" w:space="0"/>
              <w:right w:val="single" w:color="080000" w:sz="8" w:space="0"/>
            </w:tcBorders>
            <w:vAlign w:val="center"/>
          </w:tcPr>
          <w:p w14:paraId="38492781">
            <w:pPr>
              <w:spacing w:line="360" w:lineRule="auto"/>
              <w:rPr>
                <w:rFonts w:hint="default" w:ascii="Calibri" w:hAnsi="Calibri" w:eastAsia="宋体" w:cs="Times New Roman"/>
                <w:kern w:val="2"/>
                <w:highlight w:val="none"/>
              </w:rPr>
            </w:pPr>
            <w:r>
              <w:rPr>
                <w:rFonts w:hint="eastAsia" w:ascii="Calibri" w:hAnsi="Calibri" w:eastAsia="宋体" w:cs="Times New Roman"/>
                <w:kern w:val="2"/>
                <w:highlight w:val="none"/>
              </w:rPr>
              <w:t>对其中1000户居民，配备厨余（易腐）垃圾入户桶。（补充缺失）</w:t>
            </w:r>
          </w:p>
        </w:tc>
      </w:tr>
    </w:tbl>
    <w:p w14:paraId="4A3A6E3F">
      <w:pPr>
        <w:widowControl w:val="0"/>
        <w:spacing w:line="360" w:lineRule="auto"/>
        <w:ind w:firstLine="516" w:firstLineChars="214"/>
        <w:jc w:val="both"/>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sz w:val="24"/>
          <w:szCs w:val="24"/>
          <w:highlight w:val="none"/>
          <w:lang w:val="en-US" w:eastAsia="zh-CN" w:bidi="ar-SA"/>
        </w:rPr>
        <w:t>说明：响应文件中提供“厨余（易腐）垃圾入户桶的配备”的承诺文件，否则按照无效投标处理。</w:t>
      </w:r>
    </w:p>
    <w:p w14:paraId="09237D5A">
      <w:pPr>
        <w:widowControl w:val="0"/>
        <w:spacing w:line="360" w:lineRule="auto"/>
        <w:ind w:firstLine="480"/>
        <w:jc w:val="both"/>
        <w:rPr>
          <w:rFonts w:hint="eastAsia" w:ascii="Times New Roman" w:hAnsi="宋体" w:eastAsia="宋体" w:cs="宋体"/>
          <w:b/>
          <w:bCs w:val="0"/>
          <w:color w:val="000000"/>
          <w:kern w:val="2"/>
          <w:sz w:val="24"/>
          <w:szCs w:val="24"/>
          <w:highlight w:val="none"/>
          <w:lang w:val="en-US" w:eastAsia="zh-CN" w:bidi="ar-SA"/>
        </w:rPr>
      </w:pPr>
      <w:r>
        <w:rPr>
          <w:rFonts w:hint="eastAsia" w:ascii="宋体" w:hAnsi="宋体" w:eastAsia="宋体" w:cs="宋体"/>
          <w:b/>
          <w:bCs w:val="0"/>
          <w:color w:val="000000"/>
          <w:kern w:val="2"/>
          <w:sz w:val="24"/>
          <w:szCs w:val="24"/>
          <w:highlight w:val="none"/>
          <w:lang w:val="en-US" w:eastAsia="zh-CN" w:bidi="ar-SA"/>
        </w:rPr>
        <w:t xml:space="preserve">2.4分类清运服务 </w:t>
      </w:r>
    </w:p>
    <w:p w14:paraId="318C8EE8">
      <w:pPr>
        <w:widowControl w:val="0"/>
        <w:numPr>
          <w:ilvl w:val="0"/>
          <w:numId w:val="0"/>
        </w:numPr>
        <w:spacing w:before="156" w:after="120"/>
        <w:ind w:leftChars="0" w:firstLine="480" w:firstLineChars="200"/>
        <w:jc w:val="both"/>
        <w:rPr>
          <w:rFonts w:hint="eastAsia" w:ascii="Times New Roman"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各种垃圾分类运输要求</w:t>
      </w:r>
    </w:p>
    <w:p w14:paraId="7853305F">
      <w:pPr>
        <w:spacing w:before="156" w:line="360" w:lineRule="auto"/>
        <w:ind w:firstLine="480"/>
        <w:rPr>
          <w:rFonts w:hint="eastAsia" w:ascii="Calibri" w:hAnsi="宋体" w:eastAsia="宋体" w:cs="宋体"/>
          <w:bCs/>
          <w:color w:val="000000"/>
          <w:kern w:val="2"/>
          <w:sz w:val="24"/>
          <w:highlight w:val="none"/>
        </w:rPr>
      </w:pPr>
      <w:r>
        <w:rPr>
          <w:rFonts w:hint="eastAsia" w:ascii="宋体" w:hAnsi="宋体" w:eastAsia="宋体" w:cs="宋体"/>
          <w:bCs/>
          <w:kern w:val="2"/>
          <w:sz w:val="24"/>
          <w:highlight w:val="none"/>
        </w:rPr>
        <w:t>可回收物根据产生情况按需进行回收，并使用全</w:t>
      </w:r>
      <w:r>
        <w:rPr>
          <w:rFonts w:hint="eastAsia" w:ascii="宋体" w:hAnsi="宋体" w:eastAsia="宋体" w:cs="宋体"/>
          <w:bCs/>
          <w:color w:val="000000"/>
          <w:kern w:val="2"/>
          <w:sz w:val="24"/>
          <w:highlight w:val="none"/>
        </w:rPr>
        <w:t>封闭箱式可回收物车（符合徐州市生活垃圾分类视觉识别系统要求）分类收集，运输至分拣中心进行二次分拣后对接分类再生资源公司，进入两网融合。</w:t>
      </w:r>
    </w:p>
    <w:p w14:paraId="2A73A167">
      <w:pPr>
        <w:spacing w:line="360" w:lineRule="auto"/>
        <w:ind w:firstLine="480"/>
        <w:rPr>
          <w:rFonts w:hint="eastAsia" w:ascii="Calibri" w:hAnsi="宋体" w:eastAsia="宋体" w:cs="宋体"/>
          <w:bCs/>
          <w:color w:val="000000"/>
          <w:kern w:val="2"/>
          <w:sz w:val="24"/>
          <w:highlight w:val="none"/>
        </w:rPr>
      </w:pPr>
      <w:r>
        <w:rPr>
          <w:rFonts w:hint="eastAsia" w:ascii="宋体" w:hAnsi="宋体" w:eastAsia="宋体" w:cs="宋体"/>
          <w:bCs/>
          <w:color w:val="000000"/>
          <w:kern w:val="2"/>
          <w:sz w:val="24"/>
          <w:highlight w:val="none"/>
        </w:rPr>
        <w:t>有害垃圾根据产生的垃圾量，每月至少收运二次，并使用全封闭箱式有害垃圾专用车定期收运，运输至有害垃圾储存点。</w:t>
      </w:r>
    </w:p>
    <w:p w14:paraId="3103ADAF">
      <w:pPr>
        <w:spacing w:line="360" w:lineRule="auto"/>
        <w:ind w:firstLine="480"/>
        <w:rPr>
          <w:rFonts w:hint="eastAsia" w:ascii="Calibri" w:hAnsi="宋体" w:eastAsia="宋体" w:cs="宋体"/>
          <w:bCs/>
          <w:color w:val="000000"/>
          <w:kern w:val="2"/>
          <w:sz w:val="24"/>
          <w:highlight w:val="none"/>
        </w:rPr>
      </w:pPr>
      <w:r>
        <w:rPr>
          <w:rFonts w:hint="eastAsia" w:ascii="宋体" w:hAnsi="宋体" w:eastAsia="宋体" w:cs="宋体"/>
          <w:bCs/>
          <w:color w:val="000000"/>
          <w:kern w:val="2"/>
          <w:sz w:val="24"/>
          <w:highlight w:val="none"/>
        </w:rPr>
        <w:t>收集的厨余（易腐）垃圾采用全封闭厨余（易腐）垃圾专用清运车（符合徐州市生活垃圾分类视觉识别系统要求）运输至厨余（易腐）垃圾处理厂。</w:t>
      </w:r>
    </w:p>
    <w:p w14:paraId="752ACE10">
      <w:pPr>
        <w:spacing w:line="360" w:lineRule="auto"/>
        <w:ind w:firstLine="480"/>
        <w:rPr>
          <w:rFonts w:hint="eastAsia" w:ascii="宋体" w:hAnsi="宋体" w:eastAsia="宋体" w:cs="宋体"/>
          <w:bCs/>
          <w:color w:val="000000"/>
          <w:kern w:val="2"/>
          <w:sz w:val="24"/>
          <w:highlight w:val="none"/>
        </w:rPr>
      </w:pPr>
      <w:r>
        <w:rPr>
          <w:rFonts w:hint="eastAsia" w:ascii="宋体" w:hAnsi="宋体" w:eastAsia="宋体" w:cs="宋体"/>
          <w:bCs/>
          <w:color w:val="000000"/>
          <w:kern w:val="2"/>
          <w:sz w:val="24"/>
          <w:highlight w:val="none"/>
        </w:rPr>
        <w:t>其他垃圾每天收运至徐州鑫盛润环保能源有限公司（其他垃圾处理厂)</w:t>
      </w:r>
      <w:r>
        <w:rPr>
          <w:rFonts w:hint="eastAsia" w:ascii="宋体" w:hAnsi="宋体" w:eastAsia="宋体" w:cs="宋体"/>
          <w:bCs/>
          <w:color w:val="000000"/>
          <w:kern w:val="2"/>
          <w:sz w:val="24"/>
          <w:highlight w:val="none"/>
        </w:rPr>
        <w:t>。</w:t>
      </w:r>
    </w:p>
    <w:p w14:paraId="0630448F">
      <w:pPr>
        <w:widowControl w:val="0"/>
        <w:numPr>
          <w:ilvl w:val="0"/>
          <w:numId w:val="0"/>
        </w:numPr>
        <w:spacing w:after="120" w:line="360" w:lineRule="auto"/>
        <w:ind w:leftChars="0" w:firstLine="480" w:firstLineChars="200"/>
        <w:jc w:val="both"/>
        <w:rPr>
          <w:rFonts w:hint="eastAsia" w:ascii="Times New Roman"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垃圾收运作业要求</w:t>
      </w:r>
    </w:p>
    <w:p w14:paraId="04C2E876">
      <w:pPr>
        <w:widowControl w:val="0"/>
        <w:numPr>
          <w:ilvl w:val="0"/>
          <w:numId w:val="2"/>
        </w:numPr>
        <w:spacing w:after="120" w:line="360" w:lineRule="auto"/>
        <w:ind w:left="0" w:firstLine="420"/>
        <w:jc w:val="both"/>
        <w:rPr>
          <w:rFonts w:hint="eastAsia" w:ascii="Times New Roman"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驾驶员统一着装、携带驾驶证、机动车行驶证、保险证、随车工具作业，检查全车身，灭火器具和清洁用具，搞好车辆内部卫生。</w:t>
      </w:r>
    </w:p>
    <w:p w14:paraId="445CA76C">
      <w:pPr>
        <w:widowControl w:val="0"/>
        <w:numPr>
          <w:ilvl w:val="0"/>
          <w:numId w:val="2"/>
        </w:numPr>
        <w:spacing w:after="120" w:line="360" w:lineRule="auto"/>
        <w:ind w:left="0" w:firstLine="420"/>
        <w:jc w:val="both"/>
        <w:rPr>
          <w:rFonts w:hint="eastAsia" w:ascii="Times New Roman"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检查蓄电池、灯光、刮水器、气压报警器、转向机及横、直拉杆及各种音响器械是否正常；杜绝工况不正常车辆作业。</w:t>
      </w:r>
    </w:p>
    <w:p w14:paraId="318FA8AF">
      <w:pPr>
        <w:widowControl w:val="0"/>
        <w:numPr>
          <w:ilvl w:val="0"/>
          <w:numId w:val="2"/>
        </w:numPr>
        <w:spacing w:after="120" w:line="360" w:lineRule="auto"/>
        <w:ind w:left="0" w:firstLine="420"/>
        <w:jc w:val="both"/>
        <w:rPr>
          <w:rFonts w:hint="eastAsia" w:ascii="Times New Roman"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合理安排装运时间减少噪声，运输垃圾应该避开居民集中出行时间段，作业时间由甲方根据季节变化调整。</w:t>
      </w:r>
    </w:p>
    <w:p w14:paraId="6F47223B">
      <w:pPr>
        <w:widowControl w:val="0"/>
        <w:numPr>
          <w:ilvl w:val="0"/>
          <w:numId w:val="2"/>
        </w:numPr>
        <w:spacing w:after="120" w:line="360" w:lineRule="auto"/>
        <w:ind w:left="0" w:firstLine="420"/>
        <w:jc w:val="both"/>
        <w:rPr>
          <w:rFonts w:hint="eastAsia" w:ascii="Times New Roman"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厨余（易腐）垃圾、可回收物、有害垃圾分别单独收运、收集，不能与工业垃圾、大件垃圾、建筑垃圾、医疗垃圾、其他垃圾等混合收集、存放；</w:t>
      </w:r>
    </w:p>
    <w:p w14:paraId="16F9176A">
      <w:pPr>
        <w:widowControl w:val="0"/>
        <w:numPr>
          <w:ilvl w:val="0"/>
          <w:numId w:val="2"/>
        </w:numPr>
        <w:spacing w:after="120" w:line="360" w:lineRule="auto"/>
        <w:ind w:left="0" w:firstLine="420"/>
        <w:jc w:val="both"/>
        <w:rPr>
          <w:rFonts w:hint="eastAsia" w:ascii="Times New Roman"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厨余（易腐）垃圾应每日收集。做到日产日清，无堆积，无漏收；</w:t>
      </w:r>
    </w:p>
    <w:p w14:paraId="6D03F939">
      <w:pPr>
        <w:widowControl w:val="0"/>
        <w:numPr>
          <w:ilvl w:val="0"/>
          <w:numId w:val="2"/>
        </w:numPr>
        <w:spacing w:after="120" w:line="360" w:lineRule="auto"/>
        <w:ind w:left="0" w:firstLine="420"/>
        <w:jc w:val="both"/>
        <w:rPr>
          <w:rFonts w:hint="eastAsia" w:ascii="Times New Roman"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作业结束应清扫垃圾工作场所，做到工完场清，可移动垃圾容器复位，检查垃圾分类容器是否破损，发现破损由乙方更换；</w:t>
      </w:r>
    </w:p>
    <w:p w14:paraId="4C7CF6FE">
      <w:pPr>
        <w:widowControl w:val="0"/>
        <w:numPr>
          <w:ilvl w:val="0"/>
          <w:numId w:val="2"/>
        </w:numPr>
        <w:spacing w:after="120" w:line="360" w:lineRule="auto"/>
        <w:ind w:left="0" w:firstLine="420"/>
        <w:jc w:val="both"/>
        <w:rPr>
          <w:rFonts w:hint="eastAsia" w:ascii="Times New Roman"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垃圾收集运输车应保持完好，不滴、不洒、不漏、不超量、超高装载，文明操作，安全作业，每天作业完毕后冲洗车辆，做到无异味、无污染环境。</w:t>
      </w:r>
    </w:p>
    <w:p w14:paraId="711C4EB4">
      <w:pPr>
        <w:widowControl w:val="0"/>
        <w:numPr>
          <w:ilvl w:val="0"/>
          <w:numId w:val="2"/>
        </w:numPr>
        <w:spacing w:after="120" w:line="360" w:lineRule="auto"/>
        <w:ind w:left="0" w:firstLine="420"/>
        <w:jc w:val="both"/>
        <w:rPr>
          <w:rFonts w:hint="eastAsia" w:ascii="Times New Roman"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装运垃圾以有效容积为限，不准超量超高运输；</w:t>
      </w:r>
    </w:p>
    <w:p w14:paraId="660446D3">
      <w:pPr>
        <w:widowControl w:val="0"/>
        <w:numPr>
          <w:ilvl w:val="0"/>
          <w:numId w:val="2"/>
        </w:numPr>
        <w:spacing w:after="120" w:line="360" w:lineRule="auto"/>
        <w:ind w:left="0" w:firstLine="420"/>
        <w:jc w:val="both"/>
        <w:rPr>
          <w:rFonts w:hint="eastAsia" w:ascii="Times New Roman"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运输垃圾应按指定地点和作业要求分类堆放。</w:t>
      </w:r>
    </w:p>
    <w:p w14:paraId="4D1DFB2C">
      <w:pPr>
        <w:widowControl w:val="0"/>
        <w:numPr>
          <w:ilvl w:val="0"/>
          <w:numId w:val="2"/>
        </w:numPr>
        <w:spacing w:after="120" w:line="360" w:lineRule="auto"/>
        <w:ind w:left="0" w:firstLine="420"/>
        <w:jc w:val="both"/>
        <w:rPr>
          <w:rFonts w:hint="eastAsia" w:ascii="Times New Roman"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运输作业结束，及时将清运车辆清洗干净。</w:t>
      </w:r>
    </w:p>
    <w:p w14:paraId="7A6C1202">
      <w:pPr>
        <w:widowControl w:val="0"/>
        <w:numPr>
          <w:ilvl w:val="0"/>
          <w:numId w:val="0"/>
        </w:numPr>
        <w:spacing w:before="156" w:after="120"/>
        <w:ind w:left="420" w:leftChars="0" w:firstLine="241" w:firstLineChars="100"/>
        <w:jc w:val="both"/>
        <w:rPr>
          <w:rFonts w:hint="eastAsia" w:ascii="Times New Roman" w:hAnsi="Times New Roman" w:eastAsia="宋体" w:cs="Times New Roman"/>
          <w:b/>
          <w:bCs w:val="0"/>
          <w:sz w:val="24"/>
          <w:szCs w:val="24"/>
          <w:highlight w:val="none"/>
          <w:lang w:val="en-US" w:eastAsia="zh-CN" w:bidi="ar-SA"/>
        </w:rPr>
      </w:pPr>
      <w:r>
        <w:rPr>
          <w:rFonts w:hint="eastAsia" w:ascii="宋体" w:hAnsi="宋体" w:eastAsia="宋体" w:cs="宋体"/>
          <w:b/>
          <w:bCs w:val="0"/>
          <w:color w:val="000000"/>
          <w:sz w:val="24"/>
          <w:szCs w:val="24"/>
          <w:highlight w:val="none"/>
          <w:lang w:val="en-US" w:eastAsia="zh-CN" w:bidi="ar-SA"/>
        </w:rPr>
        <w:t>分类运输清运车辆配备表</w:t>
      </w:r>
    </w:p>
    <w:tbl>
      <w:tblPr>
        <w:tblStyle w:val="3"/>
        <w:tblW w:w="8240" w:type="dxa"/>
        <w:jc w:val="center"/>
        <w:tblLayout w:type="fixed"/>
        <w:tblCellMar>
          <w:top w:w="0" w:type="dxa"/>
          <w:left w:w="108" w:type="dxa"/>
          <w:bottom w:w="0" w:type="dxa"/>
          <w:right w:w="108" w:type="dxa"/>
        </w:tblCellMar>
      </w:tblPr>
      <w:tblGrid>
        <w:gridCol w:w="895"/>
        <w:gridCol w:w="2613"/>
        <w:gridCol w:w="1072"/>
        <w:gridCol w:w="3660"/>
      </w:tblGrid>
      <w:tr w14:paraId="416B6698">
        <w:tblPrEx>
          <w:tblCellMar>
            <w:top w:w="0" w:type="dxa"/>
            <w:left w:w="108" w:type="dxa"/>
            <w:bottom w:w="0" w:type="dxa"/>
            <w:right w:w="108" w:type="dxa"/>
          </w:tblCellMar>
        </w:tblPrEx>
        <w:trPr>
          <w:trHeight w:val="331"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23F5A407">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序号</w:t>
            </w:r>
          </w:p>
        </w:tc>
        <w:tc>
          <w:tcPr>
            <w:tcW w:w="2613" w:type="dxa"/>
            <w:tcBorders>
              <w:top w:val="single" w:color="auto" w:sz="4" w:space="0"/>
              <w:left w:val="single" w:color="auto" w:sz="4" w:space="0"/>
              <w:bottom w:val="single" w:color="auto" w:sz="4" w:space="0"/>
              <w:right w:val="single" w:color="auto" w:sz="4" w:space="0"/>
            </w:tcBorders>
            <w:vAlign w:val="center"/>
          </w:tcPr>
          <w:p w14:paraId="21A25F69">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项目名称</w:t>
            </w:r>
          </w:p>
        </w:tc>
        <w:tc>
          <w:tcPr>
            <w:tcW w:w="1072" w:type="dxa"/>
            <w:tcBorders>
              <w:top w:val="single" w:color="auto" w:sz="4" w:space="0"/>
              <w:left w:val="single" w:color="auto" w:sz="4" w:space="0"/>
              <w:bottom w:val="single" w:color="auto" w:sz="4" w:space="0"/>
              <w:right w:val="single" w:color="auto" w:sz="4" w:space="0"/>
            </w:tcBorders>
            <w:vAlign w:val="center"/>
          </w:tcPr>
          <w:p w14:paraId="6D3301D4">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数量</w:t>
            </w:r>
          </w:p>
        </w:tc>
        <w:tc>
          <w:tcPr>
            <w:tcW w:w="3660" w:type="dxa"/>
            <w:tcBorders>
              <w:top w:val="single" w:color="auto" w:sz="4" w:space="0"/>
              <w:left w:val="single" w:color="auto" w:sz="4" w:space="0"/>
              <w:bottom w:val="single" w:color="auto" w:sz="4" w:space="0"/>
              <w:right w:val="single" w:color="auto" w:sz="4" w:space="0"/>
            </w:tcBorders>
            <w:vAlign w:val="center"/>
          </w:tcPr>
          <w:p w14:paraId="58DA152E">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要求说明</w:t>
            </w:r>
          </w:p>
        </w:tc>
      </w:tr>
      <w:tr w14:paraId="1C519EC0">
        <w:tblPrEx>
          <w:tblCellMar>
            <w:top w:w="0" w:type="dxa"/>
            <w:left w:w="108" w:type="dxa"/>
            <w:bottom w:w="0" w:type="dxa"/>
            <w:right w:w="108" w:type="dxa"/>
          </w:tblCellMar>
        </w:tblPrEx>
        <w:trPr>
          <w:trHeight w:val="1295"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04BA9BD">
            <w:pPr>
              <w:jc w:val="center"/>
              <w:rPr>
                <w:rFonts w:hint="eastAsia" w:ascii="Calibri" w:hAnsi="宋体" w:eastAsia="宋体" w:cs="宋体"/>
                <w:bCs/>
                <w:kern w:val="2"/>
                <w:sz w:val="24"/>
                <w:highlight w:val="none"/>
              </w:rPr>
            </w:pPr>
            <w:r>
              <w:rPr>
                <w:rFonts w:hint="default" w:ascii="Calibri" w:hAnsi="宋体" w:eastAsia="宋体" w:cs="宋体"/>
                <w:bCs/>
                <w:kern w:val="2"/>
                <w:sz w:val="24"/>
                <w:highlight w:val="none"/>
              </w:rPr>
              <w:t>1</w:t>
            </w:r>
          </w:p>
        </w:tc>
        <w:tc>
          <w:tcPr>
            <w:tcW w:w="2613" w:type="dxa"/>
            <w:tcBorders>
              <w:top w:val="single" w:color="auto" w:sz="4" w:space="0"/>
              <w:left w:val="single" w:color="auto" w:sz="4" w:space="0"/>
              <w:bottom w:val="single" w:color="auto" w:sz="4" w:space="0"/>
              <w:right w:val="single" w:color="auto" w:sz="4" w:space="0"/>
            </w:tcBorders>
            <w:vAlign w:val="center"/>
          </w:tcPr>
          <w:p w14:paraId="01BB8D4F">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厨余（易腐）垃圾清运车（新能源车、配冲洗功能）</w:t>
            </w:r>
          </w:p>
        </w:tc>
        <w:tc>
          <w:tcPr>
            <w:tcW w:w="1072" w:type="dxa"/>
            <w:tcBorders>
              <w:top w:val="single" w:color="auto" w:sz="4" w:space="0"/>
              <w:left w:val="single" w:color="auto" w:sz="4" w:space="0"/>
              <w:bottom w:val="single" w:color="auto" w:sz="4" w:space="0"/>
              <w:right w:val="single" w:color="auto" w:sz="4" w:space="0"/>
            </w:tcBorders>
            <w:vAlign w:val="center"/>
          </w:tcPr>
          <w:p w14:paraId="1328B46B">
            <w:pPr>
              <w:jc w:val="center"/>
              <w:rPr>
                <w:rFonts w:hint="eastAsia" w:ascii="Calibri" w:hAnsi="宋体" w:eastAsia="宋体" w:cs="宋体"/>
                <w:bCs/>
                <w:kern w:val="2"/>
                <w:sz w:val="24"/>
                <w:highlight w:val="none"/>
              </w:rPr>
            </w:pPr>
            <w:r>
              <w:rPr>
                <w:rFonts w:hint="default" w:ascii="Calibri" w:hAnsi="宋体" w:eastAsia="宋体" w:cs="宋体"/>
                <w:bCs/>
                <w:kern w:val="2"/>
                <w:sz w:val="24"/>
                <w:highlight w:val="none"/>
              </w:rPr>
              <w:t>1</w:t>
            </w:r>
          </w:p>
        </w:tc>
        <w:tc>
          <w:tcPr>
            <w:tcW w:w="3660" w:type="dxa"/>
            <w:tcBorders>
              <w:top w:val="single" w:color="auto" w:sz="4" w:space="0"/>
              <w:left w:val="single" w:color="auto" w:sz="4" w:space="0"/>
              <w:bottom w:val="single" w:color="auto" w:sz="4" w:space="0"/>
              <w:right w:val="single" w:color="auto" w:sz="4" w:space="0"/>
            </w:tcBorders>
            <w:vAlign w:val="center"/>
          </w:tcPr>
          <w:p w14:paraId="1B9E2080">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车厢全封闭、携带挂桶装置、自卸装置，箱体容积≥8（</w:t>
            </w:r>
            <w:r>
              <w:rPr>
                <w:rFonts w:hint="eastAsia" w:ascii="Calibri" w:hAnsi="宋体" w:eastAsia="宋体" w:cs="宋体"/>
                <w:bCs/>
                <w:kern w:val="2"/>
                <w:sz w:val="24"/>
                <w:highlight w:val="none"/>
                <w:lang w:val="en-US" w:eastAsia="zh-CN"/>
              </w:rPr>
              <w:t>立方米</w:t>
            </w:r>
            <w:r>
              <w:rPr>
                <w:rFonts w:hint="eastAsia" w:ascii="Calibri" w:hAnsi="宋体" w:eastAsia="宋体" w:cs="宋体"/>
                <w:bCs/>
                <w:kern w:val="2"/>
                <w:sz w:val="24"/>
                <w:highlight w:val="none"/>
              </w:rPr>
              <w:t>），车身分类标识使用徐州市生活垃圾分类视觉识别系统规定标识及颜色，冲洗厨余垃圾桶。</w:t>
            </w:r>
          </w:p>
        </w:tc>
      </w:tr>
      <w:tr w14:paraId="5F0759CF">
        <w:tblPrEx>
          <w:tblCellMar>
            <w:top w:w="0" w:type="dxa"/>
            <w:left w:w="108" w:type="dxa"/>
            <w:bottom w:w="0" w:type="dxa"/>
            <w:right w:w="108" w:type="dxa"/>
          </w:tblCellMar>
        </w:tblPrEx>
        <w:trPr>
          <w:trHeight w:val="429"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0243F3D6">
            <w:pPr>
              <w:jc w:val="center"/>
              <w:rPr>
                <w:rFonts w:hint="eastAsia" w:ascii="Calibri" w:hAnsi="宋体" w:eastAsia="宋体" w:cs="宋体"/>
                <w:bCs/>
                <w:kern w:val="2"/>
                <w:sz w:val="24"/>
                <w:highlight w:val="none"/>
              </w:rPr>
            </w:pPr>
            <w:r>
              <w:rPr>
                <w:rFonts w:hint="default" w:ascii="Calibri" w:hAnsi="宋体" w:eastAsia="宋体" w:cs="宋体"/>
                <w:bCs/>
                <w:kern w:val="2"/>
                <w:sz w:val="24"/>
                <w:highlight w:val="none"/>
              </w:rPr>
              <w:t>2</w:t>
            </w:r>
          </w:p>
        </w:tc>
        <w:tc>
          <w:tcPr>
            <w:tcW w:w="2613" w:type="dxa"/>
            <w:tcBorders>
              <w:top w:val="single" w:color="auto" w:sz="4" w:space="0"/>
              <w:left w:val="single" w:color="auto" w:sz="4" w:space="0"/>
              <w:bottom w:val="single" w:color="auto" w:sz="4" w:space="0"/>
              <w:right w:val="single" w:color="auto" w:sz="4" w:space="0"/>
            </w:tcBorders>
            <w:vAlign w:val="center"/>
          </w:tcPr>
          <w:p w14:paraId="03EE022E">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可回收垃圾转运车</w:t>
            </w:r>
          </w:p>
        </w:tc>
        <w:tc>
          <w:tcPr>
            <w:tcW w:w="1072" w:type="dxa"/>
            <w:tcBorders>
              <w:top w:val="single" w:color="auto" w:sz="4" w:space="0"/>
              <w:left w:val="single" w:color="auto" w:sz="4" w:space="0"/>
              <w:bottom w:val="single" w:color="auto" w:sz="4" w:space="0"/>
              <w:right w:val="single" w:color="auto" w:sz="4" w:space="0"/>
            </w:tcBorders>
            <w:vAlign w:val="center"/>
          </w:tcPr>
          <w:p w14:paraId="5CD66359">
            <w:pPr>
              <w:jc w:val="center"/>
              <w:rPr>
                <w:rFonts w:hint="eastAsia" w:ascii="Calibri" w:hAnsi="宋体" w:eastAsia="宋体" w:cs="宋体"/>
                <w:bCs/>
                <w:kern w:val="2"/>
                <w:sz w:val="24"/>
                <w:highlight w:val="none"/>
              </w:rPr>
            </w:pPr>
            <w:r>
              <w:rPr>
                <w:rFonts w:hint="default" w:ascii="Calibri" w:hAnsi="宋体" w:eastAsia="宋体" w:cs="宋体"/>
                <w:bCs/>
                <w:kern w:val="2"/>
                <w:sz w:val="24"/>
                <w:highlight w:val="none"/>
              </w:rPr>
              <w:t>1</w:t>
            </w:r>
          </w:p>
        </w:tc>
        <w:tc>
          <w:tcPr>
            <w:tcW w:w="3660" w:type="dxa"/>
            <w:tcBorders>
              <w:top w:val="single" w:color="auto" w:sz="4" w:space="0"/>
              <w:left w:val="single" w:color="auto" w:sz="4" w:space="0"/>
              <w:bottom w:val="single" w:color="auto" w:sz="4" w:space="0"/>
              <w:right w:val="single" w:color="auto" w:sz="4" w:space="0"/>
            </w:tcBorders>
            <w:vAlign w:val="center"/>
          </w:tcPr>
          <w:p w14:paraId="27AE267D">
            <w:pPr>
              <w:jc w:val="left"/>
              <w:rPr>
                <w:rFonts w:hint="eastAsia" w:ascii="Calibri" w:hAnsi="宋体" w:eastAsia="宋体" w:cs="宋体"/>
                <w:bCs/>
                <w:kern w:val="2"/>
                <w:sz w:val="24"/>
                <w:highlight w:val="none"/>
              </w:rPr>
            </w:pPr>
            <w:r>
              <w:rPr>
                <w:rFonts w:hint="eastAsia" w:ascii="Calibri" w:hAnsi="宋体" w:eastAsia="宋体" w:cs="宋体"/>
                <w:bCs/>
                <w:kern w:val="2"/>
                <w:sz w:val="24"/>
                <w:highlight w:val="none"/>
              </w:rPr>
              <w:t>转运可回收垃圾至垃圾分拣中心</w:t>
            </w:r>
          </w:p>
        </w:tc>
      </w:tr>
      <w:tr w14:paraId="5746A8C9">
        <w:tblPrEx>
          <w:tblCellMar>
            <w:top w:w="0" w:type="dxa"/>
            <w:left w:w="108" w:type="dxa"/>
            <w:bottom w:w="0" w:type="dxa"/>
            <w:right w:w="108" w:type="dxa"/>
          </w:tblCellMar>
        </w:tblPrEx>
        <w:trPr>
          <w:trHeight w:val="548"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80D3038">
            <w:pPr>
              <w:jc w:val="center"/>
              <w:rPr>
                <w:rFonts w:hint="eastAsia" w:ascii="Calibri" w:hAnsi="宋体" w:eastAsia="宋体" w:cs="宋体"/>
                <w:bCs/>
                <w:kern w:val="2"/>
                <w:sz w:val="24"/>
                <w:highlight w:val="none"/>
              </w:rPr>
            </w:pPr>
            <w:r>
              <w:rPr>
                <w:rFonts w:hint="default" w:ascii="Calibri" w:hAnsi="宋体" w:eastAsia="宋体" w:cs="宋体"/>
                <w:bCs/>
                <w:kern w:val="2"/>
                <w:sz w:val="24"/>
                <w:highlight w:val="none"/>
              </w:rPr>
              <w:t>3</w:t>
            </w:r>
          </w:p>
        </w:tc>
        <w:tc>
          <w:tcPr>
            <w:tcW w:w="2613" w:type="dxa"/>
            <w:tcBorders>
              <w:top w:val="single" w:color="auto" w:sz="4" w:space="0"/>
              <w:left w:val="single" w:color="auto" w:sz="4" w:space="0"/>
              <w:bottom w:val="single" w:color="auto" w:sz="4" w:space="0"/>
              <w:right w:val="single" w:color="auto" w:sz="4" w:space="0"/>
            </w:tcBorders>
            <w:vAlign w:val="center"/>
          </w:tcPr>
          <w:p w14:paraId="6CFF9BE6">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有害垃圾转运车</w:t>
            </w:r>
          </w:p>
        </w:tc>
        <w:tc>
          <w:tcPr>
            <w:tcW w:w="1072" w:type="dxa"/>
            <w:tcBorders>
              <w:top w:val="single" w:color="auto" w:sz="4" w:space="0"/>
              <w:left w:val="single" w:color="auto" w:sz="4" w:space="0"/>
              <w:bottom w:val="single" w:color="auto" w:sz="4" w:space="0"/>
              <w:right w:val="single" w:color="auto" w:sz="4" w:space="0"/>
            </w:tcBorders>
            <w:vAlign w:val="center"/>
          </w:tcPr>
          <w:p w14:paraId="250CB24E">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1</w:t>
            </w:r>
          </w:p>
        </w:tc>
        <w:tc>
          <w:tcPr>
            <w:tcW w:w="3660" w:type="dxa"/>
            <w:tcBorders>
              <w:top w:val="single" w:color="auto" w:sz="4" w:space="0"/>
              <w:left w:val="single" w:color="auto" w:sz="4" w:space="0"/>
              <w:bottom w:val="single" w:color="auto" w:sz="4" w:space="0"/>
              <w:right w:val="single" w:color="auto" w:sz="4" w:space="0"/>
            </w:tcBorders>
            <w:vAlign w:val="center"/>
          </w:tcPr>
          <w:p w14:paraId="7321159A">
            <w:pPr>
              <w:jc w:val="left"/>
              <w:rPr>
                <w:rFonts w:hint="eastAsia" w:ascii="Calibri" w:hAnsi="宋体" w:eastAsia="宋体" w:cs="宋体"/>
                <w:bCs/>
                <w:kern w:val="2"/>
                <w:sz w:val="24"/>
                <w:highlight w:val="none"/>
              </w:rPr>
            </w:pPr>
            <w:r>
              <w:rPr>
                <w:rFonts w:hint="eastAsia" w:ascii="Calibri" w:hAnsi="宋体" w:eastAsia="宋体" w:cs="宋体"/>
                <w:bCs/>
                <w:kern w:val="2"/>
                <w:sz w:val="24"/>
                <w:highlight w:val="none"/>
              </w:rPr>
              <w:t>转运有害垃圾至暂存点</w:t>
            </w:r>
          </w:p>
        </w:tc>
      </w:tr>
    </w:tbl>
    <w:p w14:paraId="472A5D30">
      <w:pPr>
        <w:widowControl w:val="0"/>
        <w:spacing w:line="360" w:lineRule="auto"/>
        <w:ind w:firstLine="516" w:firstLineChars="214"/>
        <w:jc w:val="both"/>
        <w:rPr>
          <w:rFonts w:hint="eastAsia" w:ascii="宋体" w:hAnsi="宋体" w:eastAsia="宋体" w:cs="宋体"/>
          <w:b/>
          <w:color w:val="000000"/>
          <w:sz w:val="24"/>
          <w:szCs w:val="24"/>
          <w:highlight w:val="none"/>
          <w:lang w:val="en-US" w:eastAsia="zh-CN" w:bidi="ar-SA"/>
        </w:rPr>
      </w:pPr>
      <w:r>
        <w:rPr>
          <w:rFonts w:hint="eastAsia" w:ascii="宋体" w:hAnsi="宋体" w:eastAsia="宋体" w:cs="宋体"/>
          <w:b/>
          <w:color w:val="000000"/>
          <w:sz w:val="24"/>
          <w:szCs w:val="24"/>
          <w:highlight w:val="none"/>
          <w:lang w:val="en-US" w:eastAsia="zh-CN" w:bidi="ar-SA"/>
        </w:rPr>
        <w:t>说明：响应文件中提供“中标后配备分类运输清运车辆”的承诺文件，否则按照无效投标处理。</w:t>
      </w:r>
    </w:p>
    <w:p w14:paraId="0DAFBC94">
      <w:pPr>
        <w:rPr>
          <w:rFonts w:hint="default" w:ascii="Times New Roman" w:hAnsi="Times New Roman" w:eastAsia="宋体" w:cs="Times New Roman"/>
          <w:kern w:val="0"/>
          <w:highlight w:val="none"/>
          <w:lang w:val="en-US" w:eastAsia="zh-CN"/>
        </w:rPr>
      </w:pPr>
    </w:p>
    <w:p w14:paraId="14D5728A">
      <w:pPr>
        <w:widowControl w:val="0"/>
        <w:spacing w:line="360" w:lineRule="auto"/>
        <w:ind w:firstLine="482" w:firstLineChars="200"/>
        <w:jc w:val="both"/>
        <w:rPr>
          <w:rFonts w:hint="default" w:ascii="宋体" w:hAnsi="宋体" w:eastAsia="宋体" w:cs="宋体"/>
          <w:b/>
          <w:sz w:val="24"/>
          <w:szCs w:val="24"/>
          <w:highlight w:val="none"/>
          <w:lang w:val="en-US" w:eastAsia="zh-CN" w:bidi="ar-SA"/>
        </w:rPr>
      </w:pPr>
      <w:r>
        <w:rPr>
          <w:rFonts w:hint="eastAsia" w:ascii="宋体" w:hAnsi="宋体" w:eastAsia="宋体" w:cs="宋体"/>
          <w:b/>
          <w:sz w:val="24"/>
          <w:szCs w:val="24"/>
          <w:highlight w:val="none"/>
          <w:lang w:val="en-US" w:eastAsia="zh-CN" w:bidi="ar-SA"/>
        </w:rPr>
        <w:t>2.</w:t>
      </w:r>
      <w:r>
        <w:rPr>
          <w:rFonts w:hint="default" w:ascii="宋体" w:hAnsi="宋体" w:eastAsia="宋体" w:cs="宋体"/>
          <w:b/>
          <w:sz w:val="24"/>
          <w:szCs w:val="24"/>
          <w:highlight w:val="none"/>
          <w:lang w:val="en-US" w:eastAsia="zh-CN" w:bidi="ar-SA"/>
        </w:rPr>
        <w:t>5</w:t>
      </w:r>
      <w:r>
        <w:rPr>
          <w:rFonts w:hint="eastAsia" w:ascii="宋体" w:hAnsi="宋体" w:eastAsia="宋体" w:cs="宋体"/>
          <w:b/>
          <w:sz w:val="24"/>
          <w:szCs w:val="24"/>
          <w:highlight w:val="none"/>
          <w:lang w:val="en-US" w:eastAsia="zh-CN" w:bidi="ar-SA"/>
        </w:rPr>
        <w:t>运营服务人员配置服务</w:t>
      </w:r>
    </w:p>
    <w:p w14:paraId="1AC397AB">
      <w:pPr>
        <w:widowControl w:val="0"/>
        <w:spacing w:before="156" w:line="360" w:lineRule="auto"/>
        <w:ind w:firstLine="480"/>
        <w:jc w:val="both"/>
        <w:rPr>
          <w:rFonts w:hint="eastAsia" w:ascii="宋体" w:hAnsi="宋体" w:eastAsia="宋体" w:cs="宋体"/>
          <w:bCs/>
          <w:kern w:val="2"/>
          <w:sz w:val="24"/>
          <w:szCs w:val="24"/>
          <w:highlight w:val="none"/>
          <w:lang w:val="en-US" w:eastAsia="zh-CN" w:bidi="ar-SA"/>
        </w:rPr>
      </w:pPr>
      <w:bookmarkStart w:id="1" w:name="_Toc2191"/>
      <w:r>
        <w:rPr>
          <w:rFonts w:hint="eastAsia" w:ascii="宋体" w:hAnsi="宋体" w:eastAsia="宋体" w:cs="宋体"/>
          <w:bCs/>
          <w:kern w:val="2"/>
          <w:sz w:val="24"/>
          <w:szCs w:val="24"/>
          <w:highlight w:val="none"/>
          <w:lang w:val="en-US" w:eastAsia="zh-CN" w:bidi="ar-SA"/>
        </w:rPr>
        <w:t>服务范围内</w:t>
      </w:r>
      <w:r>
        <w:rPr>
          <w:rFonts w:hint="default" w:ascii="宋体" w:hAnsi="宋体" w:eastAsia="宋体" w:cs="宋体"/>
          <w:bCs/>
          <w:kern w:val="2"/>
          <w:sz w:val="24"/>
          <w:szCs w:val="24"/>
          <w:highlight w:val="none"/>
          <w:lang w:val="en-US" w:eastAsia="zh-CN" w:bidi="ar-SA"/>
        </w:rPr>
        <w:t>49</w:t>
      </w:r>
      <w:r>
        <w:rPr>
          <w:rFonts w:hint="eastAsia" w:ascii="宋体" w:hAnsi="宋体" w:eastAsia="宋体" w:cs="宋体"/>
          <w:bCs/>
          <w:kern w:val="2"/>
          <w:sz w:val="24"/>
          <w:szCs w:val="24"/>
          <w:highlight w:val="none"/>
          <w:lang w:val="en-US" w:eastAsia="zh-CN" w:bidi="ar-SA"/>
        </w:rPr>
        <w:t>个自然村垃圾分亭的清扫、消杀，并对村民垃圾分类行为进行引导、督促居民分类投放生活垃圾。分类、收集员上岗前须经过培训。厨余（易腐）垃圾的清运配备驾驶员</w:t>
      </w:r>
      <w:r>
        <w:rPr>
          <w:rFonts w:hint="default" w:ascii="宋体" w:hAnsi="宋体" w:eastAsia="宋体" w:cs="宋体"/>
          <w:bCs/>
          <w:kern w:val="2"/>
          <w:sz w:val="24"/>
          <w:szCs w:val="24"/>
          <w:highlight w:val="none"/>
          <w:lang w:val="en-US" w:eastAsia="zh-CN" w:bidi="ar-SA"/>
        </w:rPr>
        <w:t>1</w:t>
      </w:r>
      <w:r>
        <w:rPr>
          <w:rFonts w:hint="eastAsia" w:ascii="宋体" w:hAnsi="宋体" w:eastAsia="宋体" w:cs="宋体"/>
          <w:bCs/>
          <w:kern w:val="2"/>
          <w:sz w:val="24"/>
          <w:szCs w:val="24"/>
          <w:highlight w:val="none"/>
          <w:lang w:val="en-US" w:eastAsia="zh-CN" w:bidi="ar-SA"/>
        </w:rPr>
        <w:t>人，挂桶工、高压冲洗工1人；项目经理</w:t>
      </w:r>
      <w:r>
        <w:rPr>
          <w:rFonts w:hint="default" w:ascii="宋体" w:hAnsi="宋体" w:eastAsia="宋体" w:cs="宋体"/>
          <w:bCs/>
          <w:kern w:val="2"/>
          <w:sz w:val="24"/>
          <w:szCs w:val="24"/>
          <w:highlight w:val="none"/>
          <w:lang w:val="en-US" w:eastAsia="zh-CN" w:bidi="ar-SA"/>
        </w:rPr>
        <w:t>1</w:t>
      </w:r>
      <w:r>
        <w:rPr>
          <w:rFonts w:hint="eastAsia" w:ascii="宋体" w:hAnsi="宋体" w:eastAsia="宋体" w:cs="宋体"/>
          <w:bCs/>
          <w:kern w:val="2"/>
          <w:sz w:val="24"/>
          <w:szCs w:val="24"/>
          <w:highlight w:val="none"/>
          <w:lang w:val="en-US" w:eastAsia="zh-CN" w:bidi="ar-SA"/>
        </w:rPr>
        <w:t>名。</w:t>
      </w:r>
    </w:p>
    <w:p w14:paraId="5C9E4D3E">
      <w:pPr>
        <w:widowControl w:val="0"/>
        <w:spacing w:before="156" w:line="360" w:lineRule="auto"/>
        <w:ind w:firstLine="480"/>
        <w:jc w:val="both"/>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 xml:space="preserve">乙方应依法与其雇佣的所有人员签订劳动合同，依法缴纳社会保险，保障员工合法权益。因乙方人员产生的劳动争议、工伤、薪酬、社会保险等纠纷，均由乙方自行承担，甲方不承担任何连带责任。 </w:t>
      </w:r>
    </w:p>
    <w:p w14:paraId="4006205C">
      <w:pPr>
        <w:widowControl w:val="0"/>
        <w:numPr>
          <w:ilvl w:val="0"/>
          <w:numId w:val="0"/>
        </w:numPr>
        <w:spacing w:before="156" w:line="360" w:lineRule="auto"/>
        <w:ind w:firstLine="480" w:firstLineChars="200"/>
        <w:jc w:val="both"/>
        <w:rPr>
          <w:rFonts w:hint="eastAsia" w:ascii="Calibri" w:hAnsi="宋体" w:eastAsia="宋体" w:cs="宋体"/>
          <w:bCs/>
          <w:color w:val="FF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乙方在履约过程中如需变更服务人员、车辆、设备等，须提前书面报备甲方，经甲方书面同意后方可实施。未经甲方同意，乙方不得擅自更换或减少人员、设备。</w:t>
      </w:r>
      <w:r>
        <w:rPr>
          <w:rFonts w:hint="eastAsia" w:ascii="宋体" w:hAnsi="宋体" w:eastAsia="宋体" w:cs="宋体"/>
          <w:bCs/>
          <w:color w:val="FF0000"/>
          <w:kern w:val="2"/>
          <w:sz w:val="24"/>
          <w:szCs w:val="24"/>
          <w:highlight w:val="none"/>
          <w:lang w:val="en-US" w:eastAsia="zh-CN" w:bidi="ar-SA"/>
        </w:rPr>
        <w:t xml:space="preserve"> </w:t>
      </w:r>
    </w:p>
    <w:p w14:paraId="1E8DAD08">
      <w:pPr>
        <w:widowControl w:val="0"/>
        <w:numPr>
          <w:ilvl w:val="0"/>
          <w:numId w:val="0"/>
        </w:numPr>
        <w:spacing w:before="156" w:line="360" w:lineRule="auto"/>
        <w:ind w:left="-340" w:leftChars="0" w:firstLine="787" w:firstLineChars="328"/>
        <w:jc w:val="both"/>
        <w:rPr>
          <w:rFonts w:hint="default" w:ascii="Times New Roman" w:hAnsi="宋体" w:eastAsia="宋体" w:cs="宋体"/>
          <w:bCs/>
          <w:sz w:val="24"/>
          <w:szCs w:val="24"/>
          <w:highlight w:val="none"/>
          <w:lang w:val="en-US" w:eastAsia="zh-CN" w:bidi="ar-SA"/>
        </w:rPr>
      </w:pPr>
      <w:r>
        <w:rPr>
          <w:rFonts w:hint="eastAsia" w:ascii="宋体" w:hAnsi="宋体" w:eastAsia="宋体" w:cs="宋体"/>
          <w:bCs/>
          <w:sz w:val="24"/>
          <w:szCs w:val="24"/>
          <w:highlight w:val="none"/>
          <w:lang w:val="en-US" w:eastAsia="zh-CN" w:bidi="ar-SA"/>
        </w:rPr>
        <w:t>运营服务人员配备</w:t>
      </w:r>
      <w:bookmarkEnd w:id="1"/>
      <w:r>
        <w:rPr>
          <w:rFonts w:hint="eastAsia" w:ascii="宋体" w:hAnsi="宋体" w:eastAsia="宋体" w:cs="宋体"/>
          <w:bCs/>
          <w:sz w:val="24"/>
          <w:szCs w:val="24"/>
          <w:highlight w:val="none"/>
          <w:lang w:val="en-US" w:eastAsia="zh-CN" w:bidi="ar-SA"/>
        </w:rPr>
        <w:t>表</w:t>
      </w:r>
    </w:p>
    <w:tbl>
      <w:tblPr>
        <w:tblStyle w:val="3"/>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2555"/>
        <w:gridCol w:w="978"/>
        <w:gridCol w:w="3424"/>
      </w:tblGrid>
      <w:tr w14:paraId="7CD9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742" w:type="dxa"/>
            <w:vAlign w:val="center"/>
          </w:tcPr>
          <w:p w14:paraId="12B2CF86">
            <w:pPr>
              <w:jc w:val="center"/>
              <w:rPr>
                <w:rFonts w:hint="eastAsia" w:ascii="仿宋" w:hAnsi="仿宋" w:eastAsia="宋体" w:cs="仿宋"/>
                <w:color w:val="000000"/>
                <w:kern w:val="2"/>
                <w:sz w:val="28"/>
                <w:highlight w:val="none"/>
              </w:rPr>
            </w:pPr>
            <w:r>
              <w:rPr>
                <w:rFonts w:hint="eastAsia" w:ascii="仿宋" w:hAnsi="仿宋" w:eastAsia="宋体" w:cs="仿宋"/>
                <w:color w:val="000000"/>
                <w:kern w:val="2"/>
                <w:sz w:val="28"/>
                <w:highlight w:val="none"/>
              </w:rPr>
              <w:t>类别</w:t>
            </w:r>
          </w:p>
        </w:tc>
        <w:tc>
          <w:tcPr>
            <w:tcW w:w="2555" w:type="dxa"/>
            <w:vAlign w:val="center"/>
          </w:tcPr>
          <w:p w14:paraId="70CFFE86">
            <w:pPr>
              <w:jc w:val="center"/>
              <w:rPr>
                <w:rFonts w:hint="eastAsia" w:ascii="仿宋" w:hAnsi="仿宋" w:eastAsia="宋体" w:cs="仿宋"/>
                <w:color w:val="000000"/>
                <w:kern w:val="2"/>
                <w:sz w:val="28"/>
                <w:highlight w:val="none"/>
              </w:rPr>
            </w:pPr>
            <w:r>
              <w:rPr>
                <w:rFonts w:hint="eastAsia" w:ascii="仿宋" w:hAnsi="仿宋" w:eastAsia="宋体" w:cs="仿宋"/>
                <w:color w:val="000000"/>
                <w:kern w:val="2"/>
                <w:sz w:val="28"/>
                <w:highlight w:val="none"/>
              </w:rPr>
              <w:t>项目名称</w:t>
            </w:r>
          </w:p>
        </w:tc>
        <w:tc>
          <w:tcPr>
            <w:tcW w:w="978" w:type="dxa"/>
            <w:vAlign w:val="center"/>
          </w:tcPr>
          <w:p w14:paraId="76645961">
            <w:pPr>
              <w:jc w:val="center"/>
              <w:rPr>
                <w:rFonts w:hint="eastAsia" w:ascii="仿宋" w:hAnsi="仿宋" w:eastAsia="宋体" w:cs="仿宋"/>
                <w:color w:val="000000"/>
                <w:kern w:val="2"/>
                <w:sz w:val="28"/>
                <w:highlight w:val="none"/>
              </w:rPr>
            </w:pPr>
            <w:r>
              <w:rPr>
                <w:rFonts w:hint="eastAsia" w:ascii="仿宋" w:hAnsi="仿宋" w:eastAsia="宋体" w:cs="仿宋"/>
                <w:color w:val="000000"/>
                <w:kern w:val="2"/>
                <w:sz w:val="28"/>
                <w:highlight w:val="none"/>
              </w:rPr>
              <w:t>数量</w:t>
            </w:r>
          </w:p>
        </w:tc>
        <w:tc>
          <w:tcPr>
            <w:tcW w:w="3424" w:type="dxa"/>
            <w:vAlign w:val="center"/>
          </w:tcPr>
          <w:p w14:paraId="02C5E470">
            <w:pPr>
              <w:jc w:val="center"/>
              <w:rPr>
                <w:rFonts w:hint="eastAsia" w:ascii="仿宋" w:hAnsi="仿宋" w:eastAsia="仿宋" w:cs="仿宋"/>
                <w:color w:val="000000"/>
                <w:kern w:val="2"/>
                <w:sz w:val="28"/>
                <w:highlight w:val="none"/>
              </w:rPr>
            </w:pPr>
            <w:r>
              <w:rPr>
                <w:rFonts w:hint="eastAsia" w:ascii="仿宋" w:hAnsi="仿宋" w:eastAsia="宋体" w:cs="仿宋"/>
                <w:color w:val="000000"/>
                <w:kern w:val="2"/>
                <w:sz w:val="28"/>
                <w:highlight w:val="none"/>
              </w:rPr>
              <w:t>说明</w:t>
            </w:r>
          </w:p>
        </w:tc>
      </w:tr>
      <w:tr w14:paraId="0949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742" w:type="dxa"/>
            <w:vAlign w:val="center"/>
          </w:tcPr>
          <w:p w14:paraId="39BC97B9">
            <w:pPr>
              <w:jc w:val="center"/>
              <w:rPr>
                <w:rFonts w:hint="eastAsia" w:ascii="Calibri" w:hAnsi="宋体" w:eastAsia="宋体" w:cs="宋体"/>
                <w:bCs/>
                <w:color w:val="FF0000"/>
                <w:kern w:val="2"/>
                <w:sz w:val="24"/>
                <w:highlight w:val="none"/>
              </w:rPr>
            </w:pPr>
            <w:r>
              <w:rPr>
                <w:rFonts w:hint="eastAsia" w:ascii="Times New Roman" w:hAnsi="宋体" w:eastAsia="宋体" w:cs="宋体"/>
                <w:bCs/>
                <w:kern w:val="0"/>
                <w:sz w:val="24"/>
                <w:highlight w:val="none"/>
              </w:rPr>
              <w:t>垃圾分类亭收集、分类人员</w:t>
            </w:r>
          </w:p>
        </w:tc>
        <w:tc>
          <w:tcPr>
            <w:tcW w:w="2555" w:type="dxa"/>
            <w:vAlign w:val="center"/>
          </w:tcPr>
          <w:p w14:paraId="13156D00">
            <w:pPr>
              <w:jc w:val="center"/>
              <w:rPr>
                <w:rFonts w:hint="eastAsia" w:ascii="Calibri" w:hAnsi="宋体" w:eastAsia="宋体" w:cs="宋体"/>
                <w:bCs/>
                <w:color w:val="FF0000"/>
                <w:kern w:val="2"/>
                <w:sz w:val="24"/>
                <w:highlight w:val="none"/>
              </w:rPr>
            </w:pPr>
            <w:r>
              <w:rPr>
                <w:rFonts w:hint="eastAsia" w:ascii="Times New Roman" w:hAnsi="宋体" w:eastAsia="宋体" w:cs="宋体"/>
                <w:bCs/>
                <w:kern w:val="0"/>
                <w:sz w:val="24"/>
                <w:highlight w:val="none"/>
              </w:rPr>
              <w:t>垃圾收集、分类人员</w:t>
            </w:r>
          </w:p>
        </w:tc>
        <w:tc>
          <w:tcPr>
            <w:tcW w:w="978" w:type="dxa"/>
            <w:vAlign w:val="center"/>
          </w:tcPr>
          <w:p w14:paraId="380355D8">
            <w:pPr>
              <w:jc w:val="center"/>
              <w:rPr>
                <w:rFonts w:hint="eastAsia" w:ascii="Calibri" w:hAnsi="宋体" w:eastAsia="宋体" w:cs="宋体"/>
                <w:bCs/>
                <w:color w:val="FF0000"/>
                <w:kern w:val="2"/>
                <w:sz w:val="24"/>
                <w:highlight w:val="none"/>
              </w:rPr>
            </w:pPr>
            <w:r>
              <w:rPr>
                <w:rFonts w:hint="eastAsia" w:ascii="Times New Roman" w:hAnsi="宋体" w:eastAsia="宋体" w:cs="宋体"/>
                <w:bCs/>
                <w:kern w:val="0"/>
                <w:sz w:val="24"/>
                <w:highlight w:val="none"/>
              </w:rPr>
              <w:t>满足垃圾分类亭需求</w:t>
            </w:r>
          </w:p>
        </w:tc>
        <w:tc>
          <w:tcPr>
            <w:tcW w:w="3424" w:type="dxa"/>
            <w:vAlign w:val="center"/>
          </w:tcPr>
          <w:p w14:paraId="730105D3">
            <w:pPr>
              <w:rPr>
                <w:rFonts w:hint="eastAsia" w:ascii="Calibri" w:hAnsi="宋体" w:eastAsia="宋体" w:cs="宋体"/>
                <w:bCs/>
                <w:color w:val="FF0000"/>
                <w:kern w:val="2"/>
                <w:sz w:val="24"/>
                <w:highlight w:val="none"/>
              </w:rPr>
            </w:pPr>
            <w:r>
              <w:rPr>
                <w:rFonts w:hint="eastAsia" w:ascii="Times New Roman" w:hAnsi="宋体" w:eastAsia="宋体" w:cs="宋体"/>
                <w:bCs/>
                <w:kern w:val="0"/>
                <w:sz w:val="24"/>
                <w:highlight w:val="none"/>
              </w:rPr>
              <w:t>分类亭内及周围的垃圾分类、收集、垃圾亭清扫、消杀</w:t>
            </w:r>
          </w:p>
        </w:tc>
      </w:tr>
      <w:tr w14:paraId="5A5A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742" w:type="dxa"/>
            <w:vMerge w:val="restart"/>
            <w:vAlign w:val="center"/>
          </w:tcPr>
          <w:p w14:paraId="4B6DD172">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分类收运人员</w:t>
            </w:r>
          </w:p>
        </w:tc>
        <w:tc>
          <w:tcPr>
            <w:tcW w:w="2555" w:type="dxa"/>
            <w:vAlign w:val="center"/>
          </w:tcPr>
          <w:p w14:paraId="4F08E1DF">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厨余（易腐）垃圾</w:t>
            </w:r>
          </w:p>
        </w:tc>
        <w:tc>
          <w:tcPr>
            <w:tcW w:w="978" w:type="dxa"/>
            <w:vAlign w:val="center"/>
          </w:tcPr>
          <w:p w14:paraId="22CE1196">
            <w:pPr>
              <w:jc w:val="center"/>
              <w:rPr>
                <w:rFonts w:hint="eastAsia" w:ascii="Calibri" w:hAnsi="宋体" w:eastAsia="宋体" w:cs="宋体"/>
                <w:bCs/>
                <w:kern w:val="2"/>
                <w:sz w:val="24"/>
                <w:highlight w:val="none"/>
              </w:rPr>
            </w:pPr>
            <w:r>
              <w:rPr>
                <w:rFonts w:hint="default" w:ascii="Calibri" w:hAnsi="宋体" w:eastAsia="宋体" w:cs="宋体"/>
                <w:bCs/>
                <w:kern w:val="2"/>
                <w:sz w:val="24"/>
                <w:highlight w:val="none"/>
              </w:rPr>
              <w:t>1</w:t>
            </w:r>
            <w:r>
              <w:rPr>
                <w:rFonts w:hint="eastAsia" w:ascii="仿宋" w:hAnsi="仿宋" w:eastAsia="宋体" w:cs="仿宋"/>
                <w:color w:val="000000"/>
                <w:kern w:val="2"/>
                <w:highlight w:val="none"/>
              </w:rPr>
              <w:t>人</w:t>
            </w:r>
          </w:p>
        </w:tc>
        <w:tc>
          <w:tcPr>
            <w:tcW w:w="3424" w:type="dxa"/>
            <w:vMerge w:val="restart"/>
            <w:vAlign w:val="center"/>
          </w:tcPr>
          <w:p w14:paraId="56857EB5">
            <w:pPr>
              <w:jc w:val="center"/>
              <w:rPr>
                <w:rFonts w:hint="eastAsia" w:ascii="Calibri" w:hAnsi="宋体" w:eastAsia="宋体" w:cs="宋体"/>
                <w:bCs/>
                <w:kern w:val="2"/>
                <w:sz w:val="24"/>
                <w:highlight w:val="none"/>
              </w:rPr>
            </w:pPr>
            <w:r>
              <w:rPr>
                <w:rFonts w:hint="eastAsia" w:ascii="Calibri" w:hAnsi="宋体" w:eastAsia="宋体" w:cs="宋体"/>
                <w:bCs/>
                <w:color w:val="000000"/>
                <w:kern w:val="2"/>
                <w:sz w:val="24"/>
                <w:highlight w:val="none"/>
              </w:rPr>
              <w:t>厨余（易腐）垃圾清运专职驾驶员1名，随车工</w:t>
            </w:r>
            <w:r>
              <w:rPr>
                <w:rFonts w:hint="default" w:ascii="Calibri" w:hAnsi="宋体" w:eastAsia="宋体" w:cs="宋体"/>
                <w:bCs/>
                <w:color w:val="000000"/>
                <w:kern w:val="2"/>
                <w:sz w:val="24"/>
                <w:highlight w:val="none"/>
              </w:rPr>
              <w:t>1</w:t>
            </w:r>
            <w:r>
              <w:rPr>
                <w:rFonts w:hint="eastAsia" w:ascii="Calibri" w:hAnsi="宋体" w:eastAsia="宋体" w:cs="宋体"/>
                <w:bCs/>
                <w:color w:val="000000"/>
                <w:kern w:val="2"/>
                <w:sz w:val="24"/>
                <w:highlight w:val="none"/>
              </w:rPr>
              <w:t>名</w:t>
            </w:r>
          </w:p>
        </w:tc>
      </w:tr>
      <w:tr w14:paraId="2080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742" w:type="dxa"/>
            <w:vMerge w:val="continue"/>
            <w:vAlign w:val="center"/>
          </w:tcPr>
          <w:p w14:paraId="428C3374">
            <w:pPr>
              <w:jc w:val="center"/>
              <w:rPr>
                <w:rFonts w:hint="eastAsia" w:ascii="Calibri" w:hAnsi="宋体" w:eastAsia="宋体" w:cs="宋体"/>
                <w:bCs/>
                <w:kern w:val="2"/>
                <w:sz w:val="24"/>
                <w:highlight w:val="none"/>
              </w:rPr>
            </w:pPr>
          </w:p>
        </w:tc>
        <w:tc>
          <w:tcPr>
            <w:tcW w:w="2555" w:type="dxa"/>
            <w:vAlign w:val="center"/>
          </w:tcPr>
          <w:p w14:paraId="73825624">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厨余（易腐）垃圾清运随车工</w:t>
            </w:r>
          </w:p>
        </w:tc>
        <w:tc>
          <w:tcPr>
            <w:tcW w:w="978" w:type="dxa"/>
            <w:vAlign w:val="center"/>
          </w:tcPr>
          <w:p w14:paraId="69166DD8">
            <w:pPr>
              <w:jc w:val="center"/>
              <w:rPr>
                <w:rFonts w:hint="eastAsia" w:ascii="Calibri" w:hAnsi="宋体" w:eastAsia="宋体" w:cs="宋体"/>
                <w:bCs/>
                <w:kern w:val="2"/>
                <w:sz w:val="24"/>
                <w:highlight w:val="none"/>
              </w:rPr>
            </w:pPr>
            <w:r>
              <w:rPr>
                <w:rFonts w:hint="default" w:ascii="Calibri" w:hAnsi="宋体" w:eastAsia="宋体" w:cs="宋体"/>
                <w:bCs/>
                <w:kern w:val="2"/>
                <w:sz w:val="24"/>
                <w:highlight w:val="none"/>
              </w:rPr>
              <w:t>1</w:t>
            </w:r>
            <w:r>
              <w:rPr>
                <w:rFonts w:hint="eastAsia" w:ascii="仿宋" w:hAnsi="仿宋" w:eastAsia="宋体" w:cs="仿宋"/>
                <w:color w:val="000000"/>
                <w:kern w:val="2"/>
                <w:highlight w:val="none"/>
              </w:rPr>
              <w:t>人</w:t>
            </w:r>
          </w:p>
        </w:tc>
        <w:tc>
          <w:tcPr>
            <w:tcW w:w="3424" w:type="dxa"/>
            <w:vMerge w:val="continue"/>
            <w:vAlign w:val="center"/>
          </w:tcPr>
          <w:p w14:paraId="78575411">
            <w:pPr>
              <w:jc w:val="center"/>
              <w:rPr>
                <w:rFonts w:hint="eastAsia" w:ascii="Calibri" w:hAnsi="宋体" w:eastAsia="宋体" w:cs="宋体"/>
                <w:bCs/>
                <w:kern w:val="2"/>
                <w:sz w:val="24"/>
                <w:highlight w:val="none"/>
              </w:rPr>
            </w:pPr>
          </w:p>
        </w:tc>
      </w:tr>
      <w:tr w14:paraId="0081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742" w:type="dxa"/>
            <w:vAlign w:val="center"/>
          </w:tcPr>
          <w:p w14:paraId="68875BB2">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项目管理人员</w:t>
            </w:r>
          </w:p>
        </w:tc>
        <w:tc>
          <w:tcPr>
            <w:tcW w:w="2555" w:type="dxa"/>
            <w:vAlign w:val="center"/>
          </w:tcPr>
          <w:p w14:paraId="275C573E">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项目经理</w:t>
            </w:r>
          </w:p>
        </w:tc>
        <w:tc>
          <w:tcPr>
            <w:tcW w:w="978" w:type="dxa"/>
            <w:vAlign w:val="center"/>
          </w:tcPr>
          <w:p w14:paraId="246913A1">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1</w:t>
            </w:r>
            <w:r>
              <w:rPr>
                <w:rFonts w:hint="eastAsia" w:ascii="仿宋" w:hAnsi="仿宋" w:eastAsia="宋体" w:cs="仿宋"/>
                <w:color w:val="000000"/>
                <w:kern w:val="2"/>
                <w:highlight w:val="none"/>
              </w:rPr>
              <w:t>人</w:t>
            </w:r>
          </w:p>
        </w:tc>
        <w:tc>
          <w:tcPr>
            <w:tcW w:w="3424" w:type="dxa"/>
            <w:vAlign w:val="center"/>
          </w:tcPr>
          <w:p w14:paraId="234CDD4A">
            <w:pPr>
              <w:jc w:val="center"/>
              <w:rPr>
                <w:rFonts w:hint="eastAsia" w:ascii="Calibri" w:hAnsi="宋体" w:eastAsia="宋体" w:cs="宋体"/>
                <w:bCs/>
                <w:kern w:val="2"/>
                <w:sz w:val="24"/>
                <w:highlight w:val="none"/>
              </w:rPr>
            </w:pPr>
            <w:r>
              <w:rPr>
                <w:rFonts w:hint="eastAsia" w:ascii="Calibri" w:hAnsi="宋体" w:eastAsia="宋体" w:cs="宋体"/>
                <w:bCs/>
                <w:kern w:val="2"/>
                <w:sz w:val="24"/>
                <w:highlight w:val="none"/>
              </w:rPr>
              <w:t>对项目进行管理，对各级主管部门汇报及沟通，建立垃圾分类台账。</w:t>
            </w:r>
            <w:r>
              <w:rPr>
                <w:rFonts w:hint="eastAsia" w:ascii="Calibri" w:hAnsi="宋体" w:eastAsia="宋体" w:cs="宋体"/>
                <w:bCs/>
                <w:color w:val="000000"/>
                <w:kern w:val="2"/>
                <w:sz w:val="24"/>
                <w:highlight w:val="none"/>
              </w:rPr>
              <w:t>甲方有权随时对乙方派驻项目的人员进行监督、考核，并有权要求乙方更换不合格或不适任人员，乙方应无条件配合并在甲方要求的期限内完成人员调整。</w:t>
            </w:r>
          </w:p>
        </w:tc>
      </w:tr>
    </w:tbl>
    <w:p w14:paraId="3D9670F2">
      <w:pPr>
        <w:widowControl w:val="0"/>
        <w:spacing w:line="360" w:lineRule="auto"/>
        <w:ind w:firstLine="516" w:firstLineChars="214"/>
        <w:jc w:val="both"/>
        <w:rPr>
          <w:rFonts w:hint="eastAsia" w:ascii="Times New Roman" w:hAnsi="Times New Roman" w:eastAsia="宋体" w:cs="Times New Roman"/>
          <w:sz w:val="21"/>
          <w:szCs w:val="24"/>
          <w:highlight w:val="none"/>
          <w:lang w:val="en-US" w:eastAsia="zh-CN" w:bidi="ar-SA"/>
        </w:rPr>
      </w:pPr>
      <w:r>
        <w:rPr>
          <w:rFonts w:hint="eastAsia" w:ascii="宋体" w:hAnsi="宋体" w:eastAsia="宋体" w:cs="宋体"/>
          <w:b/>
          <w:color w:val="000000"/>
          <w:sz w:val="24"/>
          <w:szCs w:val="24"/>
          <w:highlight w:val="none"/>
          <w:lang w:val="en-US" w:eastAsia="zh-CN" w:bidi="ar-SA"/>
        </w:rPr>
        <w:t>说明：响应文件中提供“中标后运营服务人员配备”的承诺文件，否则按照无效投标处理。</w:t>
      </w:r>
    </w:p>
    <w:p w14:paraId="5256D844">
      <w:pPr>
        <w:widowControl w:val="0"/>
        <w:spacing w:before="156" w:line="360" w:lineRule="auto"/>
        <w:ind w:firstLine="482" w:firstLineChars="200"/>
        <w:jc w:val="both"/>
        <w:rPr>
          <w:rFonts w:hint="default" w:ascii="Times New Roman" w:hAnsi="宋体" w:eastAsia="宋体" w:cs="宋体"/>
          <w:bCs/>
          <w:sz w:val="24"/>
          <w:szCs w:val="24"/>
          <w:highlight w:val="none"/>
          <w:lang w:val="en-US" w:eastAsia="zh-CN" w:bidi="ar-SA"/>
        </w:rPr>
      </w:pPr>
      <w:r>
        <w:rPr>
          <w:rFonts w:hint="eastAsia" w:ascii="宋体" w:hAnsi="宋体" w:eastAsia="宋体" w:cs="宋体"/>
          <w:b/>
          <w:sz w:val="24"/>
          <w:szCs w:val="24"/>
          <w:highlight w:val="none"/>
          <w:lang w:val="en-US" w:eastAsia="zh-CN" w:bidi="ar-SA"/>
        </w:rPr>
        <w:t>2.</w:t>
      </w:r>
      <w:r>
        <w:rPr>
          <w:rFonts w:hint="default" w:ascii="宋体" w:hAnsi="宋体" w:eastAsia="宋体" w:cs="宋体"/>
          <w:b/>
          <w:sz w:val="24"/>
          <w:szCs w:val="24"/>
          <w:highlight w:val="none"/>
          <w:lang w:val="en-US" w:eastAsia="zh-CN" w:bidi="ar-SA"/>
        </w:rPr>
        <w:t>6</w:t>
      </w:r>
      <w:r>
        <w:rPr>
          <w:rFonts w:hint="eastAsia" w:ascii="宋体" w:hAnsi="宋体" w:eastAsia="宋体" w:cs="宋体"/>
          <w:b/>
          <w:sz w:val="24"/>
          <w:szCs w:val="24"/>
          <w:highlight w:val="none"/>
          <w:lang w:val="en-US" w:eastAsia="zh-CN" w:bidi="ar-SA"/>
        </w:rPr>
        <w:t>分类运营服务台账管理</w:t>
      </w:r>
    </w:p>
    <w:p w14:paraId="75733329">
      <w:pPr>
        <w:widowControl w:val="0"/>
        <w:spacing w:before="156" w:line="360" w:lineRule="auto"/>
        <w:ind w:firstLine="480"/>
        <w:jc w:val="both"/>
        <w:rPr>
          <w:rFonts w:hint="eastAsia" w:ascii="Calibri"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服务范围内运营作业资料按每村做好台账，包含村各收收集的桶数、分类垃圾亭清扫、消杀人员照片，清运车辆清运次数台账、清运人员花名册、清运人员照片。</w:t>
      </w:r>
    </w:p>
    <w:p w14:paraId="5F7EA62D">
      <w:pPr>
        <w:widowControl w:val="0"/>
        <w:spacing w:before="156" w:line="360" w:lineRule="auto"/>
        <w:ind w:firstLine="48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配备专职档案管理人员，负责各类档案的收集、分类、整理、编目、排序、保管。对各档案进行统一管理。运营企业人员不经同意不准将文件、材料、带出公司外的任何地方。运营企业内部人员查看文件、资料必须经过公司同意，无关人员不得查看。</w:t>
      </w:r>
    </w:p>
    <w:p w14:paraId="18B9F6F9">
      <w:pPr>
        <w:widowControl w:val="0"/>
        <w:spacing w:before="156" w:line="360" w:lineRule="auto"/>
        <w:ind w:firstLine="480"/>
        <w:jc w:val="both"/>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甲方有权随时查验、复制、留存乙方运营服务台账及相关资料。若发现台账不合规、虚假或拒绝配合查验，甲方有权直接扣减服务费用或解除合同，乙方应承担由此产生的全部责任。</w:t>
      </w:r>
    </w:p>
    <w:p w14:paraId="31447424">
      <w:pPr>
        <w:widowControl w:val="0"/>
        <w:spacing w:line="360" w:lineRule="auto"/>
        <w:ind w:firstLine="482" w:firstLineChars="200"/>
        <w:jc w:val="both"/>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2.7作业范围内的重大活动保障等应急任务；</w:t>
      </w:r>
    </w:p>
    <w:p w14:paraId="2A286012">
      <w:pPr>
        <w:widowControl w:val="0"/>
        <w:spacing w:line="360" w:lineRule="auto"/>
        <w:ind w:firstLine="482" w:firstLineChars="200"/>
        <w:jc w:val="both"/>
        <w:rPr>
          <w:rFonts w:hint="eastAsia" w:ascii="宋体" w:hAnsi="宋体" w:eastAsia="宋体" w:cs="宋体"/>
          <w:b/>
          <w:bCs w:val="0"/>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2.8责任范围内人员、设备等疫情防控工作；</w:t>
      </w:r>
    </w:p>
    <w:p w14:paraId="69FA67F5">
      <w:pPr>
        <w:widowControl w:val="0"/>
        <w:spacing w:line="360" w:lineRule="auto"/>
        <w:ind w:firstLine="482" w:firstLineChars="200"/>
        <w:jc w:val="both"/>
        <w:rPr>
          <w:rFonts w:hint="eastAsia" w:ascii="宋体" w:hAnsi="宋体" w:eastAsia="宋体" w:cs="宋体"/>
          <w:bCs/>
          <w:kern w:val="2"/>
          <w:sz w:val="24"/>
          <w:szCs w:val="24"/>
          <w:highlight w:val="none"/>
          <w:lang w:val="en-US" w:eastAsia="zh-CN" w:bidi="ar-SA"/>
        </w:rPr>
      </w:pPr>
      <w:r>
        <w:rPr>
          <w:rFonts w:hint="eastAsia" w:ascii="宋体" w:hAnsi="宋体" w:eastAsia="宋体" w:cs="宋体"/>
          <w:b/>
          <w:bCs w:val="0"/>
          <w:kern w:val="2"/>
          <w:sz w:val="24"/>
          <w:szCs w:val="24"/>
          <w:highlight w:val="none"/>
          <w:lang w:val="en-US" w:eastAsia="zh-CN" w:bidi="ar-SA"/>
        </w:rPr>
        <w:t>2.9市、区、镇交办的临时性任务等</w:t>
      </w:r>
      <w:r>
        <w:rPr>
          <w:rFonts w:hint="eastAsia" w:ascii="宋体" w:hAnsi="宋体" w:eastAsia="宋体" w:cs="宋体"/>
          <w:bCs/>
          <w:kern w:val="2"/>
          <w:sz w:val="24"/>
          <w:szCs w:val="24"/>
          <w:highlight w:val="none"/>
          <w:lang w:val="en-US" w:eastAsia="zh-CN" w:bidi="ar-SA"/>
        </w:rPr>
        <w:t>。</w:t>
      </w:r>
    </w:p>
    <w:p w14:paraId="5E1DB8B3">
      <w:pPr>
        <w:numPr>
          <w:ilvl w:val="0"/>
          <w:numId w:val="3"/>
        </w:numPr>
        <w:spacing w:line="360" w:lineRule="auto"/>
        <w:ind w:firstLine="480"/>
        <w:rPr>
          <w:rFonts w:hint="eastAsia" w:ascii="宋体" w:hAnsi="宋体" w:eastAsia="宋体" w:cs="宋体"/>
          <w:b/>
          <w:bCs w:val="0"/>
          <w:kern w:val="2"/>
          <w:sz w:val="24"/>
          <w:highlight w:val="none"/>
        </w:rPr>
      </w:pPr>
      <w:r>
        <w:rPr>
          <w:rFonts w:hint="eastAsia" w:ascii="宋体" w:hAnsi="宋体" w:eastAsia="宋体" w:cs="宋体"/>
          <w:b/>
          <w:bCs w:val="0"/>
          <w:kern w:val="2"/>
          <w:sz w:val="24"/>
          <w:highlight w:val="none"/>
        </w:rPr>
        <w:t>作业规范、标准及要求：</w:t>
      </w:r>
    </w:p>
    <w:p w14:paraId="4DB08AA8">
      <w:pPr>
        <w:numPr>
          <w:ilvl w:val="0"/>
          <w:numId w:val="0"/>
        </w:numPr>
        <w:spacing w:line="360" w:lineRule="auto"/>
        <w:ind w:firstLine="480" w:firstLineChars="200"/>
        <w:rPr>
          <w:rFonts w:hint="default" w:ascii="Times New Roman" w:hAnsi="宋体" w:eastAsia="宋体" w:cs="宋体"/>
          <w:bCs/>
          <w:kern w:val="0"/>
          <w:sz w:val="24"/>
          <w:szCs w:val="24"/>
          <w:highlight w:val="none"/>
        </w:rPr>
      </w:pPr>
      <w:r>
        <w:rPr>
          <w:rFonts w:hint="eastAsia" w:ascii="宋体" w:hAnsi="宋体" w:eastAsia="宋体" w:cs="宋体"/>
          <w:kern w:val="2"/>
          <w:sz w:val="24"/>
          <w:highlight w:val="none"/>
        </w:rPr>
        <w:t>作业规范符合但不限于《江苏省城市环境卫生作业服务质量标准》、《生活垃圾分类标志》（GB/T 19095-2019）、《生活垃圾分类投放操作规程》（T/HW 00001-2018）、《生活垃圾收集运输作业规程》（T/HW 00003-2019）、《生活垃极收集运输质量标准》（T/HW 00004-2019）、《垃圾清运工职业技能标准》（T/HW 00005-2019）、《分类收运车辆/容器技术要求》（T/HW 00012-2020）等现行有关法律法规、规章和规范性文件，以及相关的作业标准、规范。乙方应根据合同要求制定工作人员作业时间表，工作人员培训计划，设施设备的维护方案，台账管理方案，报</w:t>
      </w:r>
      <w:r>
        <w:rPr>
          <w:rFonts w:hint="eastAsia" w:ascii="宋体" w:hAnsi="宋体" w:eastAsia="宋体" w:cs="宋体"/>
          <w:kern w:val="2"/>
          <w:sz w:val="24"/>
          <w:highlight w:val="none"/>
          <w:lang w:val="en-US" w:eastAsia="zh-CN"/>
        </w:rPr>
        <w:t>采购人</w:t>
      </w:r>
      <w:r>
        <w:rPr>
          <w:rFonts w:hint="eastAsia" w:ascii="宋体" w:hAnsi="宋体" w:eastAsia="宋体" w:cs="宋体"/>
          <w:kern w:val="2"/>
          <w:sz w:val="24"/>
          <w:highlight w:val="none"/>
        </w:rPr>
        <w:t>备案。</w:t>
      </w:r>
    </w:p>
    <w:p w14:paraId="3C1135BE">
      <w:pPr>
        <w:widowControl w:val="0"/>
        <w:spacing w:line="360" w:lineRule="auto"/>
        <w:ind w:left="0" w:firstLine="482" w:firstLineChars="200"/>
        <w:jc w:val="both"/>
        <w:rPr>
          <w:rFonts w:hint="default" w:ascii="Times New Roman" w:hAnsi="宋体" w:eastAsia="宋体" w:cs="宋体"/>
          <w:bCs/>
          <w:sz w:val="24"/>
          <w:szCs w:val="24"/>
          <w:highlight w:val="none"/>
          <w:lang w:val="en-US" w:eastAsia="zh-CN" w:bidi="ar-SA"/>
        </w:rPr>
      </w:pPr>
      <w:r>
        <w:rPr>
          <w:rFonts w:hint="eastAsia" w:ascii="宋体" w:hAnsi="宋体" w:eastAsia="宋体" w:cs="宋体"/>
          <w:b/>
          <w:bCs w:val="0"/>
          <w:sz w:val="24"/>
          <w:szCs w:val="24"/>
          <w:highlight w:val="none"/>
          <w:lang w:val="en-US" w:eastAsia="zh-CN" w:bidi="ar-SA"/>
        </w:rPr>
        <w:t>六、其他要求：</w:t>
      </w:r>
      <w:r>
        <w:rPr>
          <w:rFonts w:hint="eastAsia" w:ascii="宋体" w:hAnsi="宋体" w:eastAsia="宋体" w:cs="宋体"/>
          <w:bCs/>
          <w:sz w:val="24"/>
          <w:szCs w:val="24"/>
          <w:highlight w:val="none"/>
          <w:lang w:val="en-US" w:eastAsia="zh-CN" w:bidi="ar-SA"/>
        </w:rPr>
        <w:t>详见竞争性磋商文件《拟签订的合同文本》。</w:t>
      </w:r>
    </w:p>
    <w:p w14:paraId="2DF491D1">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chineseCounting"/>
      <w:suff w:val="nothing"/>
      <w:lvlText w:val="（%1）"/>
      <w:lvlJc w:val="left"/>
      <w:pPr>
        <w:ind w:left="0" w:firstLine="420"/>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17BBBE5B"/>
    <w:multiLevelType w:val="singleLevel"/>
    <w:tmpl w:val="17BBBE5B"/>
    <w:lvl w:ilvl="0" w:tentative="0">
      <w:start w:val="5"/>
      <w:numFmt w:val="chineseCounting"/>
      <w:suff w:val="nothing"/>
      <w:lvlText w:val="%1、"/>
      <w:lvlJc w:val="left"/>
      <w:rPr>
        <w:rFonts w:hint="eastAsia"/>
      </w:rPr>
    </w:lvl>
  </w:abstractNum>
  <w:abstractNum w:abstractNumId="2">
    <w:nsid w:val="77ECEA79"/>
    <w:multiLevelType w:val="multilevel"/>
    <w:tmpl w:val="77ECEA7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E67F2"/>
    <w:rsid w:val="00626F45"/>
    <w:rsid w:val="23FB6654"/>
    <w:rsid w:val="2F6E67F2"/>
    <w:rsid w:val="31DD2470"/>
    <w:rsid w:val="32CB1D18"/>
    <w:rsid w:val="4346094B"/>
    <w:rsid w:val="4F5F0DCA"/>
    <w:rsid w:val="592E6ADF"/>
    <w:rsid w:val="5AF50835"/>
    <w:rsid w:val="6A3854C6"/>
    <w:rsid w:val="700F1F41"/>
    <w:rsid w:val="79E65AC0"/>
    <w:rsid w:val="7EED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3025</Words>
  <Characters>3165</Characters>
  <Lines>0</Lines>
  <Paragraphs>0</Paragraphs>
  <TotalTime>1</TotalTime>
  <ScaleCrop>false</ScaleCrop>
  <LinksUpToDate>false</LinksUpToDate>
  <CharactersWithSpaces>3178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2025-10-15T06:28:00Z</dcterms:created>
  <dc:creator>Administrator</dc:creator>
  <cp:lastModifiedBy>Administrator</cp:lastModifiedBy>
  <dcterms:modified xsi:type="dcterms:W3CDTF">2025-10-15T07:18:27Z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4AFB609787254940B9F1C73743271C26_13</vt:lpwstr>
  </property>
  <property fmtid="{D5CDD505-2E9C-101B-9397-08002B2CF9AE}" pid="4" name="KSOTemplateDocerSaveRecord">
    <vt:lpwstr>eyJoZGlkIjoiOTEyYjBjYzFkZGNkMTEzZGU0ODZmZTM3NGUwNTE4MzUiLCJ1c2VySWQiOiI0NTEyMTAyODMifQ==</vt:lpwstr>
  </property>
</Properties>
</file>