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16F8CF">
      <w:pPr>
        <w:pStyle w:val="3"/>
        <w:keepNext w:val="0"/>
        <w:keepLines w:val="0"/>
        <w:widowControl/>
        <w:suppressLineNumbers w:val="0"/>
        <w:spacing w:before="0" w:beforeAutospacing="1" w:after="0" w:afterAutospacing="1" w:line="27" w:lineRule="atLeast"/>
        <w:ind w:left="0" w:right="0"/>
        <w:rPr>
          <w:color w:val="000000" w:themeColor="text1"/>
          <w:highlight w:val="none"/>
          <w14:textFill>
            <w14:solidFill>
              <w14:schemeClr w14:val="tx1"/>
            </w14:solidFill>
          </w14:textFill>
        </w:rPr>
      </w:pPr>
      <w:r>
        <w:rPr>
          <w:color w:val="000000" w:themeColor="text1"/>
          <w:sz w:val="28"/>
          <w:szCs w:val="28"/>
          <w:highlight w:val="none"/>
          <w14:textFill>
            <w14:solidFill>
              <w14:schemeClr w14:val="tx1"/>
            </w14:solidFill>
          </w14:textFill>
        </w:rPr>
        <w:t>附件：</w:t>
      </w:r>
      <w:r>
        <w:rPr>
          <w:color w:val="000000" w:themeColor="text1"/>
          <w:highlight w:val="none"/>
          <w14:textFill>
            <w14:solidFill>
              <w14:schemeClr w14:val="tx1"/>
            </w14:solidFill>
          </w14:textFill>
        </w:rPr>
        <w:t xml:space="preserve"> </w:t>
      </w:r>
    </w:p>
    <w:p w14:paraId="35A14BFE">
      <w:pPr>
        <w:pStyle w:val="3"/>
        <w:keepNext w:val="0"/>
        <w:keepLines w:val="0"/>
        <w:widowControl/>
        <w:suppressLineNumbers w:val="0"/>
        <w:spacing w:before="0" w:beforeAutospacing="1" w:after="0" w:afterAutospacing="1" w:line="27" w:lineRule="atLeast"/>
        <w:ind w:left="0" w:right="0"/>
        <w:rPr>
          <w:color w:val="000000" w:themeColor="text1"/>
          <w:highlight w:val="none"/>
          <w14:textFill>
            <w14:solidFill>
              <w14:schemeClr w14:val="tx1"/>
            </w14:solidFill>
          </w14:textFill>
        </w:rPr>
      </w:pPr>
      <w:r>
        <w:rPr>
          <w:color w:val="000000" w:themeColor="text1"/>
          <w:sz w:val="28"/>
          <w:szCs w:val="28"/>
          <w:highlight w:val="none"/>
          <w14:textFill>
            <w14:solidFill>
              <w14:schemeClr w14:val="tx1"/>
            </w14:solidFill>
          </w14:textFill>
        </w:rPr>
        <w:t>如有建议或意见，请以书面形式并加盖公章、注明联系人、联系方式，</w:t>
      </w:r>
      <w:r>
        <w:rPr>
          <w:rFonts w:hint="eastAsia"/>
          <w:color w:val="000000" w:themeColor="text1"/>
          <w:sz w:val="28"/>
          <w:szCs w:val="28"/>
          <w:highlight w:val="none"/>
          <w14:textFill>
            <w14:solidFill>
              <w14:schemeClr w14:val="tx1"/>
            </w14:solidFill>
          </w14:textFill>
        </w:rPr>
        <w:t>于202</w:t>
      </w:r>
      <w:r>
        <w:rPr>
          <w:rFonts w:hint="eastAsia"/>
          <w:color w:val="000000" w:themeColor="text1"/>
          <w:sz w:val="28"/>
          <w:szCs w:val="28"/>
          <w:highlight w:val="none"/>
          <w:lang w:val="en-US" w:eastAsia="zh-CN"/>
          <w14:textFill>
            <w14:solidFill>
              <w14:schemeClr w14:val="tx1"/>
            </w14:solidFill>
          </w14:textFill>
        </w:rPr>
        <w:t>5</w:t>
      </w:r>
      <w:r>
        <w:rPr>
          <w:rFonts w:hint="eastAsia"/>
          <w:color w:val="000000" w:themeColor="text1"/>
          <w:sz w:val="28"/>
          <w:szCs w:val="28"/>
          <w:highlight w:val="none"/>
          <w14:textFill>
            <w14:solidFill>
              <w14:schemeClr w14:val="tx1"/>
            </w14:solidFill>
          </w14:textFill>
        </w:rPr>
        <w:t>年</w:t>
      </w:r>
      <w:r>
        <w:rPr>
          <w:rFonts w:hint="eastAsia"/>
          <w:color w:val="000000" w:themeColor="text1"/>
          <w:sz w:val="28"/>
          <w:szCs w:val="28"/>
          <w:highlight w:val="none"/>
          <w:lang w:val="en-US" w:eastAsia="zh-CN"/>
          <w14:textFill>
            <w14:solidFill>
              <w14:schemeClr w14:val="tx1"/>
            </w14:solidFill>
          </w14:textFill>
        </w:rPr>
        <w:t>10月16日17</w:t>
      </w:r>
      <w:r>
        <w:rPr>
          <w:rFonts w:hint="eastAsia"/>
          <w:color w:val="000000" w:themeColor="text1"/>
          <w:sz w:val="28"/>
          <w:szCs w:val="28"/>
          <w:highlight w:val="none"/>
          <w14:textFill>
            <w14:solidFill>
              <w14:schemeClr w14:val="tx1"/>
            </w14:solidFill>
          </w14:textFill>
        </w:rPr>
        <w:t>:</w:t>
      </w:r>
      <w:r>
        <w:rPr>
          <w:rFonts w:hint="eastAsia"/>
          <w:color w:val="000000" w:themeColor="text1"/>
          <w:sz w:val="28"/>
          <w:szCs w:val="28"/>
          <w:highlight w:val="none"/>
          <w:lang w:val="en-US" w:eastAsia="zh-CN"/>
          <w14:textFill>
            <w14:solidFill>
              <w14:schemeClr w14:val="tx1"/>
            </w14:solidFill>
          </w14:textFill>
        </w:rPr>
        <w:t>3</w:t>
      </w:r>
      <w:r>
        <w:rPr>
          <w:rFonts w:hint="eastAsia"/>
          <w:color w:val="000000" w:themeColor="text1"/>
          <w:sz w:val="28"/>
          <w:szCs w:val="28"/>
          <w:highlight w:val="none"/>
          <w14:textFill>
            <w14:solidFill>
              <w14:schemeClr w14:val="tx1"/>
            </w14:solidFill>
          </w14:textFill>
        </w:rPr>
        <w:t>0</w:t>
      </w:r>
      <w:r>
        <w:rPr>
          <w:color w:val="000000" w:themeColor="text1"/>
          <w:sz w:val="28"/>
          <w:szCs w:val="28"/>
          <w:highlight w:val="none"/>
          <w14:textFill>
            <w14:solidFill>
              <w14:schemeClr w14:val="tx1"/>
            </w14:solidFill>
          </w14:textFill>
        </w:rPr>
        <w:t>之前送至我单位，逾期不受理（如邮寄，</w:t>
      </w:r>
      <w:r>
        <w:rPr>
          <w:rFonts w:hint="eastAsia"/>
          <w:color w:val="000000" w:themeColor="text1"/>
          <w:sz w:val="28"/>
          <w:szCs w:val="28"/>
          <w:highlight w:val="none"/>
          <w14:textFill>
            <w14:solidFill>
              <w14:schemeClr w14:val="tx1"/>
            </w14:solidFill>
          </w14:textFill>
        </w:rPr>
        <w:t>202</w:t>
      </w:r>
      <w:r>
        <w:rPr>
          <w:rFonts w:hint="eastAsia"/>
          <w:color w:val="000000" w:themeColor="text1"/>
          <w:sz w:val="28"/>
          <w:szCs w:val="28"/>
          <w:highlight w:val="none"/>
          <w:lang w:val="en-US" w:eastAsia="zh-CN"/>
          <w14:textFill>
            <w14:solidFill>
              <w14:schemeClr w14:val="tx1"/>
            </w14:solidFill>
          </w14:textFill>
        </w:rPr>
        <w:t>5</w:t>
      </w:r>
      <w:r>
        <w:rPr>
          <w:rFonts w:hint="eastAsia"/>
          <w:color w:val="000000" w:themeColor="text1"/>
          <w:sz w:val="28"/>
          <w:szCs w:val="28"/>
          <w:highlight w:val="none"/>
          <w14:textFill>
            <w14:solidFill>
              <w14:schemeClr w14:val="tx1"/>
            </w14:solidFill>
          </w14:textFill>
        </w:rPr>
        <w:t>年</w:t>
      </w:r>
      <w:r>
        <w:rPr>
          <w:rFonts w:hint="eastAsia"/>
          <w:color w:val="000000" w:themeColor="text1"/>
          <w:sz w:val="28"/>
          <w:szCs w:val="28"/>
          <w:highlight w:val="none"/>
          <w:lang w:val="en-US" w:eastAsia="zh-CN"/>
          <w14:textFill>
            <w14:solidFill>
              <w14:schemeClr w14:val="tx1"/>
            </w14:solidFill>
          </w14:textFill>
        </w:rPr>
        <w:t>10月16日17</w:t>
      </w:r>
      <w:r>
        <w:rPr>
          <w:color w:val="000000" w:themeColor="text1"/>
          <w:sz w:val="28"/>
          <w:szCs w:val="28"/>
          <w:highlight w:val="none"/>
          <w14:textFill>
            <w14:solidFill>
              <w14:schemeClr w14:val="tx1"/>
            </w14:solidFill>
          </w14:textFill>
        </w:rPr>
        <w:t>:</w:t>
      </w:r>
      <w:r>
        <w:rPr>
          <w:rFonts w:hint="eastAsia"/>
          <w:color w:val="000000" w:themeColor="text1"/>
          <w:sz w:val="28"/>
          <w:szCs w:val="28"/>
          <w:highlight w:val="none"/>
          <w:lang w:val="en-US" w:eastAsia="zh-CN"/>
          <w14:textFill>
            <w14:solidFill>
              <w14:schemeClr w14:val="tx1"/>
            </w14:solidFill>
          </w14:textFill>
        </w:rPr>
        <w:t>3</w:t>
      </w:r>
      <w:r>
        <w:rPr>
          <w:color w:val="000000" w:themeColor="text1"/>
          <w:sz w:val="28"/>
          <w:szCs w:val="28"/>
          <w:highlight w:val="none"/>
          <w14:textFill>
            <w14:solidFill>
              <w14:schemeClr w14:val="tx1"/>
            </w14:solidFill>
          </w14:textFill>
        </w:rPr>
        <w:t>0之后到达本公司的邮件将不再受理。）</w:t>
      </w:r>
      <w:r>
        <w:rPr>
          <w:color w:val="000000" w:themeColor="text1"/>
          <w:highlight w:val="none"/>
          <w14:textFill>
            <w14:solidFill>
              <w14:schemeClr w14:val="tx1"/>
            </w14:solidFill>
          </w14:textFill>
        </w:rPr>
        <w:t xml:space="preserve"> </w:t>
      </w:r>
    </w:p>
    <w:p w14:paraId="7909D8E5">
      <w:pPr>
        <w:jc w:val="center"/>
        <w:rPr>
          <w:rFonts w:ascii="宋体" w:hAnsi="宋体" w:cs="宋体"/>
          <w:b/>
          <w:bCs/>
          <w:color w:val="000000" w:themeColor="text1"/>
          <w:sz w:val="32"/>
          <w:szCs w:val="32"/>
          <w:highlight w:val="none"/>
          <w14:textFill>
            <w14:solidFill>
              <w14:schemeClr w14:val="tx1"/>
            </w14:solidFill>
          </w14:textFill>
        </w:rPr>
      </w:pPr>
      <w:r>
        <w:rPr>
          <w:rFonts w:hint="eastAsia" w:ascii="宋体" w:hAnsi="宋体" w:cs="宋体"/>
          <w:b/>
          <w:bCs/>
          <w:color w:val="000000" w:themeColor="text1"/>
          <w:sz w:val="32"/>
          <w:szCs w:val="32"/>
          <w:highlight w:val="none"/>
          <w14:textFill>
            <w14:solidFill>
              <w14:schemeClr w14:val="tx1"/>
            </w14:solidFill>
          </w14:textFill>
        </w:rPr>
        <w:t>项目要求（采购需求）</w:t>
      </w:r>
    </w:p>
    <w:p w14:paraId="038BFF9D">
      <w:pPr>
        <w:spacing w:line="360" w:lineRule="auto"/>
        <w:rPr>
          <w:rFonts w:ascii="宋体" w:hAnsi="宋体" w:cs="宋体"/>
          <w:b/>
          <w:bCs/>
          <w:color w:val="000000" w:themeColor="text1"/>
          <w:sz w:val="24"/>
          <w:highlight w:val="none"/>
          <w14:textFill>
            <w14:solidFill>
              <w14:schemeClr w14:val="tx1"/>
            </w14:solidFill>
          </w14:textFill>
        </w:rPr>
      </w:pPr>
    </w:p>
    <w:p w14:paraId="56938155">
      <w:pPr>
        <w:keepNext w:val="0"/>
        <w:keepLines w:val="0"/>
        <w:pageBreakBefore w:val="0"/>
        <w:pBdr>
          <w:top w:val="none" w:color="000000" w:sz="0" w:space="0"/>
          <w:left w:val="none" w:color="000000" w:sz="0" w:space="0"/>
          <w:bottom w:val="none" w:color="000000" w:sz="0" w:space="0"/>
          <w:right w:val="none" w:color="000000" w:sz="0" w:space="0"/>
        </w:pBdr>
        <w:spacing w:line="360" w:lineRule="auto"/>
        <w:jc w:val="both"/>
        <w:rPr>
          <w:rFonts w:hint="eastAsia" w:ascii="宋体" w:hAnsi="宋体" w:eastAsia="宋体" w:cs="宋体"/>
          <w:color w:val="000000"/>
          <w:kern w:val="0"/>
          <w:sz w:val="24"/>
          <w:highlight w:val="none"/>
          <w:lang w:eastAsia="zh-CN"/>
        </w:rPr>
      </w:pPr>
      <w:r>
        <w:rPr>
          <w:rFonts w:hint="eastAsia" w:ascii="宋体" w:hAnsi="宋体" w:eastAsia="宋体" w:cs="宋体"/>
          <w:b/>
          <w:bCs/>
          <w:color w:val="000000"/>
          <w:kern w:val="0"/>
          <w:sz w:val="24"/>
          <w:highlight w:val="none"/>
          <w:lang w:val="en-US" w:eastAsia="zh-CN"/>
        </w:rPr>
        <w:t>一、</w:t>
      </w:r>
      <w:r>
        <w:rPr>
          <w:rFonts w:hint="eastAsia" w:ascii="宋体" w:hAnsi="宋体" w:eastAsia="宋体" w:cs="宋体"/>
          <w:b/>
          <w:bCs/>
          <w:color w:val="000000"/>
          <w:kern w:val="0"/>
          <w:sz w:val="24"/>
          <w:highlight w:val="none"/>
        </w:rPr>
        <w:t>项目名称</w:t>
      </w:r>
      <w:r>
        <w:rPr>
          <w:rFonts w:hint="eastAsia" w:ascii="宋体" w:hAnsi="宋体" w:eastAsia="宋体" w:cs="宋体"/>
          <w:color w:val="000000"/>
          <w:kern w:val="0"/>
          <w:sz w:val="24"/>
          <w:highlight w:val="none"/>
        </w:rPr>
        <w:t>：</w:t>
      </w:r>
      <w:r>
        <w:rPr>
          <w:rFonts w:hint="eastAsia" w:ascii="宋体" w:hAnsi="宋体" w:eastAsia="宋体" w:cs="宋体"/>
          <w:color w:val="000000"/>
          <w:kern w:val="0"/>
          <w:sz w:val="24"/>
          <w:highlight w:val="none"/>
          <w:lang w:eastAsia="zh-CN"/>
        </w:rPr>
        <w:t xml:space="preserve">沛县鹿楼中学运动场地改造提升工程    </w:t>
      </w:r>
    </w:p>
    <w:p w14:paraId="28F5FC17">
      <w:pPr>
        <w:keepNext w:val="0"/>
        <w:keepLines w:val="0"/>
        <w:pageBreakBefore w:val="0"/>
        <w:pBdr>
          <w:top w:val="none" w:color="000000" w:sz="0" w:space="0"/>
          <w:left w:val="none" w:color="000000" w:sz="0" w:space="0"/>
          <w:bottom w:val="none" w:color="000000" w:sz="0" w:space="0"/>
          <w:right w:val="none" w:color="000000" w:sz="0" w:space="0"/>
        </w:pBdr>
        <w:spacing w:line="360" w:lineRule="auto"/>
        <w:jc w:val="both"/>
        <w:rPr>
          <w:rFonts w:hint="eastAsia" w:ascii="宋体" w:hAnsi="宋体" w:eastAsia="宋体" w:cs="宋体"/>
          <w:color w:val="000000"/>
          <w:kern w:val="0"/>
          <w:sz w:val="24"/>
          <w:highlight w:val="none"/>
          <w:lang w:eastAsia="zh-CN"/>
        </w:rPr>
      </w:pPr>
      <w:r>
        <w:rPr>
          <w:rFonts w:hint="eastAsia" w:ascii="宋体" w:hAnsi="宋体" w:eastAsia="宋体" w:cs="宋体"/>
          <w:color w:val="000000"/>
          <w:kern w:val="0"/>
          <w:sz w:val="24"/>
          <w:highlight w:val="none"/>
          <w:lang w:eastAsia="zh-CN"/>
        </w:rPr>
        <w:t>二、</w:t>
      </w:r>
      <w:r>
        <w:rPr>
          <w:rFonts w:hint="eastAsia" w:ascii="宋体" w:hAnsi="宋体" w:eastAsia="宋体" w:cs="宋体"/>
          <w:b/>
          <w:bCs/>
          <w:color w:val="000000"/>
          <w:kern w:val="0"/>
          <w:sz w:val="24"/>
          <w:highlight w:val="none"/>
          <w:lang w:val="en-US" w:eastAsia="zh-CN"/>
        </w:rPr>
        <w:t>采购预算</w:t>
      </w:r>
      <w:r>
        <w:rPr>
          <w:rFonts w:hint="eastAsia" w:ascii="宋体" w:hAnsi="宋体" w:eastAsia="宋体" w:cs="宋体"/>
          <w:color w:val="000000"/>
          <w:kern w:val="0"/>
          <w:sz w:val="24"/>
          <w:highlight w:val="none"/>
          <w:lang w:val="en-US" w:eastAsia="zh-CN"/>
        </w:rPr>
        <w:t>：</w:t>
      </w:r>
      <w:r>
        <w:rPr>
          <w:rFonts w:hint="eastAsia" w:ascii="宋体" w:hAnsi="宋体" w:eastAsia="宋体" w:cs="宋体"/>
          <w:color w:val="000000"/>
          <w:kern w:val="0"/>
          <w:sz w:val="24"/>
          <w:highlight w:val="none"/>
          <w:lang w:eastAsia="zh-CN"/>
        </w:rPr>
        <w:t>采购项目预算金额117</w:t>
      </w:r>
      <w:r>
        <w:rPr>
          <w:rFonts w:hint="eastAsia" w:ascii="宋体" w:hAnsi="宋体" w:eastAsia="宋体" w:cs="宋体"/>
          <w:color w:val="000000"/>
          <w:kern w:val="0"/>
          <w:sz w:val="24"/>
          <w:highlight w:val="none"/>
          <w:lang w:val="en-US" w:eastAsia="zh-CN"/>
        </w:rPr>
        <w:t>万元；</w:t>
      </w:r>
      <w:r>
        <w:rPr>
          <w:rFonts w:hint="eastAsia" w:ascii="宋体" w:hAnsi="宋体" w:eastAsia="宋体" w:cs="宋体"/>
          <w:color w:val="000000"/>
          <w:kern w:val="0"/>
          <w:sz w:val="24"/>
          <w:highlight w:val="none"/>
          <w:lang w:eastAsia="zh-CN"/>
        </w:rPr>
        <w:t>本项目不接受超过</w:t>
      </w:r>
      <w:r>
        <w:rPr>
          <w:rFonts w:hint="eastAsia" w:ascii="宋体" w:hAnsi="宋体" w:eastAsia="宋体" w:cs="宋体"/>
          <w:color w:val="000000"/>
          <w:kern w:val="0"/>
          <w:sz w:val="24"/>
          <w:highlight w:val="none"/>
          <w:lang w:val="en-US" w:eastAsia="zh-CN"/>
        </w:rPr>
        <w:t>控制价102.34万元</w:t>
      </w:r>
      <w:r>
        <w:rPr>
          <w:rFonts w:hint="eastAsia" w:ascii="宋体" w:hAnsi="宋体" w:eastAsia="宋体" w:cs="宋体"/>
          <w:color w:val="000000"/>
          <w:kern w:val="0"/>
          <w:sz w:val="24"/>
          <w:highlight w:val="none"/>
          <w:lang w:eastAsia="zh-CN"/>
        </w:rPr>
        <w:t>的报价。</w:t>
      </w:r>
      <w:r>
        <w:rPr>
          <w:rFonts w:hint="default" w:ascii="宋体" w:hAnsi="宋体" w:eastAsia="宋体" w:cs="宋体"/>
          <w:color w:val="000000"/>
          <w:kern w:val="0"/>
          <w:sz w:val="24"/>
          <w:highlight w:val="none"/>
        </w:rPr>
        <w:t>采购人不再支付报价以外的任何费用。</w:t>
      </w:r>
      <w:r>
        <w:rPr>
          <w:rFonts w:hint="eastAsia" w:ascii="宋体" w:hAnsi="宋体" w:eastAsia="宋体" w:cs="宋体"/>
          <w:color w:val="000000"/>
          <w:kern w:val="0"/>
          <w:sz w:val="24"/>
          <w:highlight w:val="none"/>
          <w:lang w:val="en-US" w:eastAsia="zh-CN"/>
        </w:rPr>
        <w:t>按照法律规定及合同约定组织完成工程施工，现场派驻项目经理与合同备案信息一致，不进行转包及违法分包，并在缺陷责任期及保修期内承担相应的工程维修责任。严格按照图纸及招标工程量清单内容施工，施工过程中不进行设计变更，不增加签证内容，超出招标工程量清单的内容审计时不予认可。</w:t>
      </w:r>
    </w:p>
    <w:p w14:paraId="7A44CA52">
      <w:pPr>
        <w:keepNext w:val="0"/>
        <w:keepLines w:val="0"/>
        <w:pageBreakBefore w:val="0"/>
        <w:widowControl/>
        <w:suppressLineNumbers w:val="0"/>
        <w:spacing w:before="0" w:beforeAutospacing="0" w:after="0" w:afterAutospacing="0" w:line="480" w:lineRule="auto"/>
        <w:ind w:right="0"/>
        <w:jc w:val="left"/>
        <w:rPr>
          <w:rFonts w:hint="eastAsia" w:ascii="宋体" w:hAnsi="宋体" w:eastAsia="宋体" w:cs="宋体"/>
          <w:b/>
          <w:bCs/>
          <w:color w:val="000000"/>
          <w:sz w:val="24"/>
          <w:szCs w:val="24"/>
          <w:highlight w:val="none"/>
          <w:lang w:val="en-US" w:eastAsia="zh-CN" w:bidi="ar-SA"/>
        </w:rPr>
      </w:pPr>
      <w:r>
        <w:rPr>
          <w:rFonts w:hint="eastAsia" w:ascii="宋体" w:hAnsi="宋体" w:eastAsia="宋体" w:cs="宋体"/>
          <w:b/>
          <w:bCs/>
          <w:color w:val="000000"/>
          <w:sz w:val="24"/>
          <w:szCs w:val="24"/>
          <w:highlight w:val="none"/>
          <w:lang w:val="en-US" w:eastAsia="zh-CN" w:bidi="ar-SA"/>
        </w:rPr>
        <w:t>三、项目概况：</w:t>
      </w:r>
    </w:p>
    <w:p w14:paraId="39CEB687">
      <w:pPr>
        <w:keepNext w:val="0"/>
        <w:keepLines w:val="0"/>
        <w:pageBreakBefore w:val="0"/>
        <w:widowControl/>
        <w:spacing w:line="360" w:lineRule="auto"/>
        <w:ind w:left="0" w:firstLine="0"/>
        <w:jc w:val="left"/>
        <w:rPr>
          <w:rFonts w:hint="default"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1、项目地点：沛县鹿楼中学院内。</w:t>
      </w:r>
    </w:p>
    <w:p w14:paraId="0DF52455">
      <w:pPr>
        <w:keepNext w:val="0"/>
        <w:keepLines w:val="0"/>
        <w:pageBreakBefore w:val="0"/>
        <w:widowControl/>
        <w:spacing w:line="360" w:lineRule="auto"/>
        <w:ind w:left="0" w:firstLine="0"/>
        <w:jc w:val="left"/>
        <w:rPr>
          <w:rFonts w:hint="eastAsia"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2、本项目主要内容：1、跑道砼地面硬化铺设C25混凝土，铺设塑胶面层面积约2449.06平方米。2、半圆弧内、周边及缓冲区域，砼地面硬化铺设C25混凝土面积约1027.42平方米。半圆弧内铺设塑胶面层1017.36平方米。3、足球场种植土回填，天然草皮面积约2103.66平方米。4、引接外排水管道60米。5、拆除排水沟248米，新建内环排水沟238.28米。6、安砌路牙石99.12米。7、砌检查井8座。8、铅球场地1项。9、跑道西侧原有硬化地面抬高3</w:t>
      </w:r>
      <w:bookmarkStart w:id="1" w:name="_GoBack"/>
      <w:bookmarkEnd w:id="1"/>
      <w:r>
        <w:rPr>
          <w:rFonts w:hint="eastAsia" w:ascii="宋体" w:hAnsi="宋体" w:eastAsia="宋体" w:cs="宋体"/>
          <w:color w:val="000000"/>
          <w:sz w:val="24"/>
          <w:szCs w:val="24"/>
          <w:highlight w:val="none"/>
          <w:lang w:val="en-US" w:eastAsia="zh-CN" w:bidi="ar-SA"/>
        </w:rPr>
        <w:t>.58平方米。具体内容详见图纸及工程量清单。</w:t>
      </w:r>
    </w:p>
    <w:p w14:paraId="4F227394">
      <w:pPr>
        <w:keepNext w:val="0"/>
        <w:keepLines w:val="0"/>
        <w:pageBreakBefore w:val="0"/>
        <w:pBdr>
          <w:top w:val="none" w:color="000000" w:sz="0" w:space="0"/>
          <w:left w:val="none" w:color="000000" w:sz="0" w:space="0"/>
          <w:bottom w:val="none" w:color="000000" w:sz="0" w:space="0"/>
          <w:right w:val="none" w:color="000000" w:sz="0" w:space="0"/>
        </w:pBdr>
        <w:spacing w:line="360" w:lineRule="auto"/>
        <w:jc w:val="both"/>
        <w:rPr>
          <w:rFonts w:hint="eastAsia" w:ascii="宋体" w:hAnsi="宋体" w:eastAsia="宋体" w:cs="宋体"/>
          <w:color w:val="000000"/>
          <w:kern w:val="0"/>
          <w:sz w:val="24"/>
          <w:szCs w:val="24"/>
          <w:highlight w:val="none"/>
        </w:rPr>
      </w:pPr>
      <w:r>
        <w:rPr>
          <w:rFonts w:hint="eastAsia" w:ascii="宋体" w:hAnsi="宋体" w:eastAsia="宋体" w:cs="宋体"/>
          <w:b w:val="0"/>
          <w:bCs w:val="0"/>
          <w:color w:val="000000"/>
          <w:kern w:val="0"/>
          <w:sz w:val="24"/>
          <w:highlight w:val="none"/>
          <w:lang w:val="en-US" w:eastAsia="zh-CN"/>
        </w:rPr>
        <w:t>3、</w:t>
      </w:r>
      <w:r>
        <w:rPr>
          <w:rFonts w:hint="default" w:ascii="宋体" w:hAnsi="宋体" w:eastAsia="宋体" w:cs="宋体"/>
          <w:color w:val="000000"/>
          <w:kern w:val="0"/>
          <w:sz w:val="24"/>
          <w:highlight w:val="none"/>
        </w:rPr>
        <w:t>质量要求标准：合格，通过相关部门验收。</w:t>
      </w:r>
      <w:r>
        <w:rPr>
          <w:rFonts w:hint="eastAsia" w:ascii="宋体" w:hAnsi="宋体" w:eastAsia="宋体" w:cs="宋体"/>
          <w:b/>
          <w:bCs/>
          <w:color w:val="000000"/>
          <w:kern w:val="0"/>
          <w:sz w:val="24"/>
          <w:szCs w:val="24"/>
          <w:highlight w:val="none"/>
        </w:rPr>
        <w:t>所使用塑胶跑道</w:t>
      </w:r>
      <w:r>
        <w:rPr>
          <w:rFonts w:hint="eastAsia" w:ascii="宋体" w:hAnsi="宋体" w:eastAsia="宋体" w:cs="宋体"/>
          <w:b/>
          <w:bCs/>
          <w:color w:val="000000"/>
          <w:kern w:val="0"/>
          <w:sz w:val="24"/>
          <w:szCs w:val="24"/>
          <w:highlight w:val="none"/>
          <w:lang w:val="en-US" w:eastAsia="zh-CN"/>
        </w:rPr>
        <w:t>及相关</w:t>
      </w:r>
      <w:r>
        <w:rPr>
          <w:rFonts w:hint="eastAsia" w:ascii="宋体" w:hAnsi="宋体" w:eastAsia="宋体" w:cs="宋体"/>
          <w:b/>
          <w:bCs/>
          <w:color w:val="000000"/>
          <w:kern w:val="0"/>
          <w:sz w:val="24"/>
          <w:szCs w:val="24"/>
          <w:highlight w:val="none"/>
        </w:rPr>
        <w:t>材料应</w:t>
      </w:r>
      <w:r>
        <w:rPr>
          <w:rFonts w:hint="eastAsia" w:ascii="宋体" w:hAnsi="宋体" w:eastAsia="宋体" w:cs="宋体"/>
          <w:b/>
          <w:bCs/>
          <w:color w:val="000000"/>
          <w:kern w:val="0"/>
          <w:sz w:val="24"/>
          <w:szCs w:val="24"/>
          <w:highlight w:val="none"/>
          <w:lang w:val="en-US" w:eastAsia="zh-CN"/>
        </w:rPr>
        <w:t>全部</w:t>
      </w:r>
      <w:r>
        <w:rPr>
          <w:rFonts w:hint="eastAsia" w:ascii="宋体" w:hAnsi="宋体" w:eastAsia="宋体" w:cs="宋体"/>
          <w:b/>
          <w:bCs/>
          <w:color w:val="000000"/>
          <w:kern w:val="0"/>
          <w:sz w:val="24"/>
          <w:szCs w:val="24"/>
          <w:highlight w:val="none"/>
        </w:rPr>
        <w:t>符合GB36246-2018中小学合成材料面层运动场地验收规范</w:t>
      </w:r>
      <w:r>
        <w:rPr>
          <w:rFonts w:hint="eastAsia" w:ascii="宋体" w:hAnsi="宋体" w:eastAsia="宋体" w:cs="宋体"/>
          <w:color w:val="000000"/>
          <w:kern w:val="0"/>
          <w:sz w:val="24"/>
          <w:szCs w:val="24"/>
          <w:highlight w:val="none"/>
        </w:rPr>
        <w:t>，</w:t>
      </w:r>
      <w:r>
        <w:rPr>
          <w:rFonts w:hint="eastAsia" w:ascii="宋体" w:hAnsi="宋体" w:eastAsia="宋体" w:cs="宋体"/>
          <w:b/>
          <w:bCs/>
          <w:color w:val="000000"/>
          <w:kern w:val="0"/>
          <w:sz w:val="24"/>
          <w:szCs w:val="24"/>
          <w:highlight w:val="none"/>
          <w:lang w:eastAsia="zh-CN"/>
        </w:rPr>
        <w:t>要求</w:t>
      </w:r>
      <w:r>
        <w:rPr>
          <w:rFonts w:hint="eastAsia" w:ascii="宋体" w:hAnsi="宋体" w:eastAsia="宋体" w:cs="宋体"/>
          <w:b/>
          <w:bCs/>
          <w:color w:val="000000"/>
          <w:kern w:val="0"/>
          <w:sz w:val="24"/>
          <w:szCs w:val="24"/>
          <w:highlight w:val="none"/>
        </w:rPr>
        <w:t>环保达标，满足采购人需求；通过相关部门（现场取样送检）验收合格并出具合格检测报告</w:t>
      </w:r>
      <w:r>
        <w:rPr>
          <w:rFonts w:hint="eastAsia" w:ascii="宋体" w:hAnsi="宋体" w:eastAsia="宋体" w:cs="宋体"/>
          <w:color w:val="000000"/>
          <w:kern w:val="0"/>
          <w:sz w:val="24"/>
          <w:szCs w:val="24"/>
          <w:highlight w:val="none"/>
        </w:rPr>
        <w:t>。</w:t>
      </w:r>
    </w:p>
    <w:p w14:paraId="52F35988">
      <w:pPr>
        <w:keepNext w:val="0"/>
        <w:keepLines w:val="0"/>
        <w:pageBreakBefore w:val="0"/>
        <w:pBdr>
          <w:top w:val="none" w:color="000000" w:sz="0" w:space="0"/>
          <w:left w:val="none" w:color="000000" w:sz="0" w:space="0"/>
          <w:bottom w:val="none" w:color="000000" w:sz="0" w:space="0"/>
          <w:right w:val="none" w:color="000000" w:sz="0" w:space="0"/>
        </w:pBdr>
        <w:spacing w:line="360" w:lineRule="auto"/>
        <w:ind w:firstLine="480"/>
        <w:jc w:val="both"/>
        <w:rPr>
          <w:rFonts w:hint="eastAsia" w:ascii="宋体" w:hAnsi="宋体" w:eastAsia="宋体" w:cs="宋体"/>
          <w:color w:val="000000"/>
          <w:kern w:val="0"/>
          <w:sz w:val="24"/>
          <w:szCs w:val="24"/>
          <w:highlight w:val="none"/>
          <w:lang w:val="en-US" w:eastAsia="zh-CN"/>
        </w:rPr>
      </w:pPr>
      <w:r>
        <w:rPr>
          <w:rFonts w:hint="default" w:ascii="宋体" w:hAnsi="宋体" w:eastAsia="宋体" w:cs="宋体"/>
          <w:color w:val="000000"/>
          <w:kern w:val="0"/>
          <w:sz w:val="24"/>
          <w:highlight w:val="none"/>
        </w:rPr>
        <w:t>工程质量必须达到合同约定标准，且保证相关部门验收通过；未达到质量要求的，承包人负责无条件返工，直至达到要求，所发生的费用由承包人承担，承包人还应赔偿因此给发包人造成的损失，工期不予顺延，同时发包人有权对承包人进行适当处罚</w:t>
      </w:r>
      <w:r>
        <w:rPr>
          <w:rFonts w:hint="eastAsia" w:ascii="宋体" w:hAnsi="宋体" w:eastAsia="宋体" w:cs="宋体"/>
          <w:color w:val="000000"/>
          <w:kern w:val="0"/>
          <w:sz w:val="24"/>
          <w:highlight w:val="none"/>
        </w:rPr>
        <w:t>。</w:t>
      </w:r>
    </w:p>
    <w:p w14:paraId="661505F5">
      <w:pPr>
        <w:keepNext w:val="0"/>
        <w:keepLines w:val="0"/>
        <w:pageBreakBefore w:val="0"/>
        <w:spacing w:line="360" w:lineRule="auto"/>
        <w:rPr>
          <w:rFonts w:hint="eastAsia" w:ascii="宋体" w:hAnsi="宋体" w:eastAsia="宋体" w:cs="宋体"/>
          <w:b/>
          <w:bCs/>
          <w:color w:val="000000"/>
          <w:kern w:val="0"/>
          <w:sz w:val="24"/>
          <w:highlight w:val="none"/>
        </w:rPr>
      </w:pPr>
      <w:r>
        <w:rPr>
          <w:rFonts w:hint="eastAsia" w:ascii="宋体" w:hAnsi="宋体" w:eastAsia="宋体" w:cs="宋体"/>
          <w:b/>
          <w:bCs/>
          <w:color w:val="000000"/>
          <w:kern w:val="0"/>
          <w:sz w:val="24"/>
          <w:highlight w:val="none"/>
          <w:lang w:val="en-US" w:eastAsia="zh-CN"/>
        </w:rPr>
        <w:t>四</w:t>
      </w:r>
      <w:r>
        <w:rPr>
          <w:rFonts w:hint="eastAsia" w:ascii="宋体" w:hAnsi="宋体" w:eastAsia="宋体" w:cs="宋体"/>
          <w:b/>
          <w:bCs/>
          <w:color w:val="000000"/>
          <w:kern w:val="0"/>
          <w:sz w:val="24"/>
          <w:highlight w:val="none"/>
        </w:rPr>
        <w:t>、工程量清单报价</w:t>
      </w:r>
    </w:p>
    <w:p w14:paraId="39BAC470">
      <w:pPr>
        <w:widowControl w:val="0"/>
        <w:spacing w:line="360" w:lineRule="auto"/>
        <w:ind w:firstLine="480"/>
        <w:jc w:val="both"/>
        <w:rPr>
          <w:rFonts w:hint="eastAsia" w:ascii="宋体" w:hAnsi="宋体" w:eastAsia="宋体" w:cs="Times New Roman"/>
          <w:b/>
          <w:bCs w:val="0"/>
          <w:sz w:val="24"/>
          <w:szCs w:val="22"/>
          <w:highlight w:val="none"/>
          <w:lang w:val="en-US" w:eastAsia="zh-CN" w:bidi="ar-SA"/>
        </w:rPr>
      </w:pPr>
      <w:r>
        <w:rPr>
          <w:rFonts w:hint="eastAsia" w:ascii="宋体" w:hAnsi="宋体" w:eastAsia="宋体" w:cs="Times New Roman"/>
          <w:b/>
          <w:bCs w:val="0"/>
          <w:sz w:val="24"/>
          <w:szCs w:val="22"/>
          <w:highlight w:val="none"/>
          <w:lang w:val="en-US" w:eastAsia="zh-CN" w:bidi="ar-SA"/>
        </w:rPr>
        <w:t>1、报价内容</w:t>
      </w:r>
    </w:p>
    <w:p w14:paraId="605CEBB7">
      <w:pPr>
        <w:widowControl w:val="0"/>
        <w:spacing w:line="360" w:lineRule="auto"/>
        <w:ind w:firstLine="480"/>
        <w:jc w:val="both"/>
        <w:rPr>
          <w:rFonts w:hint="eastAsia" w:ascii="宋体" w:hAnsi="宋体" w:eastAsia="宋体" w:cs="Times New Roman"/>
          <w:bCs/>
          <w:sz w:val="24"/>
          <w:szCs w:val="22"/>
          <w:highlight w:val="none"/>
          <w:lang w:val="en-US" w:eastAsia="zh-CN" w:bidi="ar-SA"/>
        </w:rPr>
      </w:pPr>
      <w:r>
        <w:rPr>
          <w:rFonts w:hint="eastAsia" w:ascii="宋体" w:hAnsi="宋体" w:eastAsia="宋体" w:cs="Times New Roman"/>
          <w:bCs/>
          <w:sz w:val="24"/>
          <w:szCs w:val="22"/>
          <w:highlight w:val="none"/>
          <w:lang w:val="en-US" w:eastAsia="zh-CN" w:bidi="ar-SA"/>
        </w:rPr>
        <w:t>1.1 响应报价应包括磋商文件中所确定的范围内工程量清单以及施工图中所含的全部内容，以及为完成上述内容所需的全部费用。</w:t>
      </w:r>
    </w:p>
    <w:p w14:paraId="40002F35">
      <w:pPr>
        <w:widowControl w:val="0"/>
        <w:spacing w:line="360" w:lineRule="auto"/>
        <w:ind w:firstLine="480"/>
        <w:jc w:val="both"/>
        <w:rPr>
          <w:rFonts w:hint="eastAsia" w:ascii="宋体" w:hAnsi="宋体" w:eastAsia="宋体" w:cs="Times New Roman"/>
          <w:bCs/>
          <w:sz w:val="24"/>
          <w:szCs w:val="22"/>
          <w:highlight w:val="none"/>
          <w:lang w:val="en-US" w:eastAsia="zh-CN" w:bidi="ar-SA"/>
        </w:rPr>
      </w:pPr>
      <w:r>
        <w:rPr>
          <w:rFonts w:hint="eastAsia" w:ascii="宋体" w:hAnsi="宋体" w:eastAsia="宋体" w:cs="Times New Roman"/>
          <w:bCs/>
          <w:sz w:val="24"/>
          <w:szCs w:val="22"/>
          <w:highlight w:val="none"/>
          <w:lang w:val="en-US" w:eastAsia="zh-CN" w:bidi="ar-SA"/>
        </w:rPr>
        <w:t>注：供应商必须按采购人提供的工程量清单进行报价，否则视为对竞争性磋商文件商务条款的实质性偏离。供应商不得修改工程量清单中的分布分项内容及数量，否则视为不响应磋商文件。</w:t>
      </w:r>
    </w:p>
    <w:p w14:paraId="73507234">
      <w:pPr>
        <w:widowControl w:val="0"/>
        <w:spacing w:line="360" w:lineRule="auto"/>
        <w:ind w:firstLine="480"/>
        <w:jc w:val="both"/>
        <w:rPr>
          <w:rFonts w:hint="eastAsia" w:ascii="宋体" w:hAnsi="宋体" w:eastAsia="宋体" w:cs="Times New Roman"/>
          <w:bCs/>
          <w:sz w:val="24"/>
          <w:szCs w:val="22"/>
          <w:highlight w:val="none"/>
          <w:lang w:val="en-US" w:eastAsia="zh-CN" w:bidi="ar-SA"/>
        </w:rPr>
      </w:pPr>
      <w:r>
        <w:rPr>
          <w:rFonts w:hint="eastAsia" w:ascii="宋体" w:hAnsi="宋体" w:eastAsia="宋体" w:cs="Times New Roman"/>
          <w:bCs/>
          <w:sz w:val="24"/>
          <w:szCs w:val="22"/>
          <w:highlight w:val="none"/>
          <w:lang w:val="en-US" w:eastAsia="zh-CN" w:bidi="ar-SA"/>
        </w:rPr>
        <w:t>1.2 供应商应按采购人提供的工程量清单填报价格。填写的项目名称、项目特征、计量单位、工程量必须与采购人提供的一致。</w:t>
      </w:r>
    </w:p>
    <w:p w14:paraId="57A7697A">
      <w:pPr>
        <w:widowControl w:val="0"/>
        <w:spacing w:line="360" w:lineRule="auto"/>
        <w:ind w:firstLine="480"/>
        <w:jc w:val="both"/>
        <w:rPr>
          <w:rFonts w:hint="eastAsia" w:ascii="宋体" w:hAnsi="宋体" w:eastAsia="宋体" w:cs="Times New Roman"/>
          <w:bCs/>
          <w:sz w:val="24"/>
          <w:szCs w:val="22"/>
          <w:highlight w:val="none"/>
          <w:lang w:val="en-US" w:eastAsia="zh-CN" w:bidi="ar-SA"/>
        </w:rPr>
      </w:pPr>
      <w:r>
        <w:rPr>
          <w:rFonts w:hint="eastAsia" w:ascii="宋体" w:hAnsi="宋体" w:eastAsia="宋体" w:cs="Times New Roman"/>
          <w:bCs/>
          <w:sz w:val="24"/>
          <w:szCs w:val="22"/>
          <w:highlight w:val="none"/>
          <w:lang w:val="en-US" w:eastAsia="zh-CN" w:bidi="ar-SA"/>
        </w:rPr>
        <w:t>1.3 供应商应按采购人提供的工程量计算工程项目的单价和合价。工程量清单中的每一单项均需计算填写单价和合价，供应商没有填写单价和合价的项目将被认为此项费用已包括在工程量清单的其他单价和合价中。</w:t>
      </w:r>
    </w:p>
    <w:p w14:paraId="45E9E1C7">
      <w:pPr>
        <w:widowControl w:val="0"/>
        <w:spacing w:line="360" w:lineRule="auto"/>
        <w:ind w:firstLine="480"/>
        <w:jc w:val="both"/>
        <w:rPr>
          <w:rFonts w:hint="eastAsia" w:ascii="宋体" w:hAnsi="宋体" w:eastAsia="宋体" w:cs="Times New Roman"/>
          <w:bCs/>
          <w:sz w:val="24"/>
          <w:szCs w:val="22"/>
          <w:highlight w:val="none"/>
          <w:lang w:val="en-US" w:eastAsia="zh-CN" w:bidi="ar-SA"/>
        </w:rPr>
      </w:pPr>
      <w:r>
        <w:rPr>
          <w:rFonts w:hint="eastAsia" w:ascii="宋体" w:hAnsi="宋体" w:eastAsia="宋体" w:cs="Times New Roman"/>
          <w:bCs/>
          <w:sz w:val="24"/>
          <w:szCs w:val="22"/>
          <w:highlight w:val="none"/>
          <w:lang w:val="en-US" w:eastAsia="zh-CN" w:bidi="ar-SA"/>
        </w:rPr>
        <w:t>1.4 响应的供应商必须按统一的工程量清单报价，成交后，在施工过程中，不论由于工程量清单有误或漏项，还是由于设计变更、现场变更、签证引起的工程量清单项目或清单项目工程数量的增减，均按变更估价原则调整。</w:t>
      </w:r>
    </w:p>
    <w:p w14:paraId="7DA2B33B">
      <w:pPr>
        <w:widowControl w:val="0"/>
        <w:spacing w:line="360" w:lineRule="auto"/>
        <w:ind w:firstLine="480"/>
        <w:jc w:val="both"/>
        <w:rPr>
          <w:rFonts w:hint="default" w:ascii="宋体" w:hAnsi="宋体" w:eastAsia="宋体" w:cs="Times New Roman"/>
          <w:bCs/>
          <w:sz w:val="24"/>
          <w:szCs w:val="22"/>
          <w:highlight w:val="none"/>
          <w:lang w:val="en-US" w:eastAsia="zh-CN" w:bidi="ar-SA"/>
        </w:rPr>
      </w:pPr>
      <w:r>
        <w:rPr>
          <w:rFonts w:hint="eastAsia" w:ascii="宋体" w:hAnsi="宋体" w:eastAsia="宋体" w:cs="Times New Roman"/>
          <w:bCs/>
          <w:sz w:val="24"/>
          <w:szCs w:val="22"/>
          <w:highlight w:val="none"/>
          <w:lang w:val="en-US" w:eastAsia="zh-CN" w:bidi="ar-SA"/>
        </w:rPr>
        <w:t>1.5</w:t>
      </w:r>
      <w:r>
        <w:rPr>
          <w:rFonts w:hint="default" w:ascii="宋体" w:hAnsi="宋体" w:eastAsia="宋体" w:cs="Times New Roman"/>
          <w:bCs/>
          <w:sz w:val="24"/>
          <w:szCs w:val="22"/>
          <w:highlight w:val="none"/>
          <w:lang w:val="en-US" w:eastAsia="zh-CN" w:bidi="ar-SA"/>
        </w:rPr>
        <w:t>清单项目中特征描述不全的工序，如图纸已明确或已指明引用规范、图集等或是常规工艺必须的工序，应包括在报价中。</w:t>
      </w:r>
    </w:p>
    <w:p w14:paraId="5055FEC9">
      <w:pPr>
        <w:widowControl w:val="0"/>
        <w:spacing w:line="360" w:lineRule="auto"/>
        <w:ind w:firstLine="480"/>
        <w:jc w:val="both"/>
        <w:rPr>
          <w:rFonts w:hint="default" w:ascii="宋体" w:hAnsi="宋体" w:eastAsia="宋体" w:cs="Times New Roman"/>
          <w:bCs/>
          <w:sz w:val="24"/>
          <w:szCs w:val="22"/>
          <w:highlight w:val="none"/>
          <w:lang w:val="en-US" w:eastAsia="zh-CN" w:bidi="ar-SA"/>
        </w:rPr>
      </w:pPr>
      <w:r>
        <w:rPr>
          <w:rFonts w:hint="eastAsia" w:ascii="宋体" w:hAnsi="宋体" w:eastAsia="宋体" w:cs="Times New Roman"/>
          <w:bCs/>
          <w:sz w:val="24"/>
          <w:szCs w:val="22"/>
          <w:highlight w:val="none"/>
          <w:lang w:val="en-US" w:eastAsia="zh-CN" w:bidi="ar-SA"/>
        </w:rPr>
        <w:t>1.6响应供应商应认真研读竞争性磋商文件和合同内容，已明示含在投标报价中的费用供应商自行考虑，不管工程量清单是否单独列支，采购人均认为供应商已充分考虑此部分费用，应包括在报价中。</w:t>
      </w:r>
    </w:p>
    <w:p w14:paraId="630A7A5D">
      <w:pPr>
        <w:widowControl w:val="0"/>
        <w:spacing w:line="360" w:lineRule="auto"/>
        <w:ind w:firstLine="480"/>
        <w:jc w:val="both"/>
        <w:rPr>
          <w:rFonts w:hint="eastAsia" w:ascii="宋体" w:hAnsi="宋体" w:eastAsia="宋体" w:cs="Times New Roman"/>
          <w:bCs/>
          <w:sz w:val="24"/>
          <w:szCs w:val="22"/>
          <w:highlight w:val="none"/>
          <w:lang w:val="en-US" w:eastAsia="zh-CN" w:bidi="ar-SA"/>
        </w:rPr>
      </w:pPr>
      <w:r>
        <w:rPr>
          <w:rFonts w:hint="eastAsia" w:ascii="宋体" w:hAnsi="宋体" w:eastAsia="宋体" w:cs="Times New Roman"/>
          <w:bCs/>
          <w:sz w:val="24"/>
          <w:szCs w:val="22"/>
          <w:highlight w:val="none"/>
          <w:lang w:val="en-US" w:eastAsia="zh-CN" w:bidi="ar-SA"/>
        </w:rPr>
        <w:t>1.7 供应商自行勘察，了解周边原有建筑、设施，事先视察工地，充分了解工程位置、邻近建筑物、工地情况，通路、储存空间、起卸限制、及任何其它足以影响报价之情况，供应商须按接收工地日的现况，接收工地及自费清理任何遗留在工地上之废物，施工过程中因工地特殊情况而引起二次搬运、安全防护等。供应商在响应报价时应考虑这样因素，并在响应报价中予以考虑，采购人不接受供应商关于此类费用的任何诉讼或索赔。</w:t>
      </w:r>
    </w:p>
    <w:p w14:paraId="26B2B90F">
      <w:pPr>
        <w:widowControl w:val="0"/>
        <w:spacing w:line="360" w:lineRule="auto"/>
        <w:ind w:firstLine="480"/>
        <w:jc w:val="both"/>
        <w:rPr>
          <w:rFonts w:hint="eastAsia" w:ascii="宋体" w:hAnsi="宋体" w:eastAsia="宋体" w:cs="Times New Roman"/>
          <w:bCs/>
          <w:sz w:val="24"/>
          <w:szCs w:val="22"/>
          <w:highlight w:val="none"/>
          <w:lang w:val="en-US" w:eastAsia="zh-CN" w:bidi="ar-SA"/>
        </w:rPr>
      </w:pPr>
      <w:r>
        <w:rPr>
          <w:rFonts w:hint="eastAsia" w:ascii="宋体" w:hAnsi="宋体" w:eastAsia="宋体" w:cs="Times New Roman"/>
          <w:bCs/>
          <w:sz w:val="24"/>
          <w:szCs w:val="22"/>
          <w:highlight w:val="none"/>
          <w:lang w:val="en-US" w:eastAsia="zh-CN" w:bidi="ar-SA"/>
        </w:rPr>
        <w:t>1.8 安全文明施工是供应商的责任，采购人不接受任何由于供应商施工而导致的扰民或民扰引起的诉讼或索赔。供应商应在其响应报价时充分考虑因扰民与民扰而造成的工期影响与费用增加，在报价予以考虑，采购人不接受任何由于供应商考虑不周为由而提出的任何索赔。</w:t>
      </w:r>
    </w:p>
    <w:p w14:paraId="004B1A02">
      <w:pPr>
        <w:widowControl w:val="0"/>
        <w:spacing w:line="360" w:lineRule="auto"/>
        <w:ind w:firstLine="480"/>
        <w:jc w:val="both"/>
        <w:rPr>
          <w:rFonts w:hint="eastAsia" w:ascii="宋体" w:hAnsi="宋体" w:eastAsia="宋体" w:cs="Times New Roman"/>
          <w:bCs/>
          <w:sz w:val="24"/>
          <w:szCs w:val="22"/>
          <w:highlight w:val="none"/>
          <w:lang w:val="en-US" w:eastAsia="zh-CN" w:bidi="ar-SA"/>
        </w:rPr>
      </w:pPr>
      <w:r>
        <w:rPr>
          <w:rFonts w:hint="eastAsia" w:ascii="宋体" w:hAnsi="宋体" w:eastAsia="宋体" w:cs="Times New Roman"/>
          <w:bCs/>
          <w:sz w:val="24"/>
          <w:szCs w:val="22"/>
          <w:highlight w:val="none"/>
          <w:lang w:val="en-US" w:eastAsia="zh-CN" w:bidi="ar-SA"/>
        </w:rPr>
        <w:t>1.9本项目招标期为 2025年7月，采购人在适宜的时间下发开工令，供应商需考虑时间间隔对自身产生的影响并视为已体现在响应报价中，结算时不予调整。</w:t>
      </w:r>
    </w:p>
    <w:p w14:paraId="7409E1EC">
      <w:pPr>
        <w:widowControl w:val="0"/>
        <w:spacing w:line="360" w:lineRule="auto"/>
        <w:ind w:firstLine="480"/>
        <w:jc w:val="both"/>
        <w:rPr>
          <w:rFonts w:hint="eastAsia" w:ascii="宋体" w:hAnsi="宋体" w:eastAsia="宋体" w:cs="Times New Roman"/>
          <w:bCs/>
          <w:sz w:val="24"/>
          <w:szCs w:val="22"/>
          <w:highlight w:val="none"/>
          <w:lang w:val="en-US" w:eastAsia="zh-CN" w:bidi="ar-SA"/>
        </w:rPr>
      </w:pPr>
      <w:r>
        <w:rPr>
          <w:rFonts w:hint="eastAsia" w:ascii="宋体" w:hAnsi="宋体" w:eastAsia="宋体" w:cs="Times New Roman"/>
          <w:bCs/>
          <w:sz w:val="24"/>
          <w:szCs w:val="22"/>
          <w:highlight w:val="none"/>
          <w:lang w:val="en-US" w:eastAsia="zh-CN" w:bidi="ar-SA"/>
        </w:rPr>
        <w:t>1.10 垃圾外运，在报价中综合考虑。</w:t>
      </w:r>
    </w:p>
    <w:p w14:paraId="369C5DDF">
      <w:pPr>
        <w:widowControl w:val="0"/>
        <w:spacing w:line="360" w:lineRule="auto"/>
        <w:ind w:firstLine="480"/>
        <w:jc w:val="both"/>
        <w:rPr>
          <w:rFonts w:hint="eastAsia" w:ascii="宋体" w:hAnsi="宋体" w:eastAsia="宋体" w:cs="Times New Roman"/>
          <w:bCs/>
          <w:sz w:val="24"/>
          <w:szCs w:val="22"/>
          <w:highlight w:val="none"/>
          <w:lang w:val="en-US" w:eastAsia="zh-CN" w:bidi="ar-SA"/>
        </w:rPr>
      </w:pPr>
      <w:r>
        <w:rPr>
          <w:rFonts w:hint="eastAsia" w:ascii="宋体" w:hAnsi="宋体" w:eastAsia="宋体" w:cs="Times New Roman"/>
          <w:bCs/>
          <w:sz w:val="24"/>
          <w:szCs w:val="22"/>
          <w:highlight w:val="none"/>
          <w:lang w:val="en-US" w:eastAsia="zh-CN" w:bidi="ar-SA"/>
        </w:rPr>
        <w:t>1.11地方关系协调费投标人自行考虑，就此项招标人不支付任何费用。</w:t>
      </w:r>
    </w:p>
    <w:p w14:paraId="44807B44">
      <w:pPr>
        <w:widowControl w:val="0"/>
        <w:spacing w:line="360" w:lineRule="auto"/>
        <w:ind w:firstLine="480"/>
        <w:jc w:val="both"/>
        <w:rPr>
          <w:rFonts w:hint="eastAsia" w:ascii="宋体" w:hAnsi="宋体" w:eastAsia="宋体" w:cs="Times New Roman"/>
          <w:bCs/>
          <w:sz w:val="24"/>
          <w:szCs w:val="22"/>
          <w:highlight w:val="none"/>
          <w:lang w:val="en-US" w:eastAsia="zh-CN" w:bidi="ar-SA"/>
        </w:rPr>
      </w:pPr>
      <w:r>
        <w:rPr>
          <w:rFonts w:hint="eastAsia" w:ascii="宋体" w:hAnsi="宋体" w:eastAsia="宋体" w:cs="Times New Roman"/>
          <w:bCs/>
          <w:sz w:val="24"/>
          <w:szCs w:val="22"/>
          <w:highlight w:val="none"/>
          <w:lang w:val="en-US" w:eastAsia="zh-CN" w:bidi="ar-SA"/>
        </w:rPr>
        <w:t>1.12由响应单位负责办理相关建设、城管、市政、安全、环保等部门的手续，响应单位在响应报价时应考虑此方在的因素，费用包含在报价中，采购人不接受响应单位关于此类费用的任何诉讼或索赔。</w:t>
      </w:r>
    </w:p>
    <w:p w14:paraId="0B35BB78">
      <w:pPr>
        <w:widowControl w:val="0"/>
        <w:spacing w:line="360" w:lineRule="auto"/>
        <w:ind w:firstLine="480"/>
        <w:jc w:val="both"/>
        <w:rPr>
          <w:rFonts w:hint="eastAsia" w:ascii="宋体" w:hAnsi="宋体" w:eastAsia="宋体" w:cs="Times New Roman"/>
          <w:bCs/>
          <w:sz w:val="24"/>
          <w:szCs w:val="22"/>
          <w:highlight w:val="none"/>
          <w:lang w:val="en-US" w:eastAsia="zh-CN" w:bidi="ar-SA"/>
        </w:rPr>
      </w:pPr>
      <w:r>
        <w:rPr>
          <w:rFonts w:hint="eastAsia" w:ascii="宋体" w:hAnsi="宋体" w:eastAsia="宋体" w:cs="Times New Roman"/>
          <w:bCs/>
          <w:sz w:val="24"/>
          <w:szCs w:val="22"/>
          <w:highlight w:val="none"/>
          <w:lang w:val="en-US" w:eastAsia="zh-CN" w:bidi="ar-SA"/>
        </w:rPr>
        <w:t>1.13施工时需做好防护措施保证周边安全，因中标人保障不利对招标人或第三方造成损失的，赔偿责任全部由中标人承担，若因此会增加费用，控制价不计取，投标人自行考虑在报价中，结算时不予调整。</w:t>
      </w:r>
    </w:p>
    <w:p w14:paraId="75DCDA2B">
      <w:pPr>
        <w:widowControl w:val="0"/>
        <w:spacing w:line="360" w:lineRule="auto"/>
        <w:ind w:firstLine="480"/>
        <w:jc w:val="both"/>
        <w:rPr>
          <w:rFonts w:hint="eastAsia" w:ascii="宋体" w:hAnsi="宋体" w:eastAsia="宋体" w:cs="Times New Roman"/>
          <w:b/>
          <w:bCs w:val="0"/>
          <w:sz w:val="24"/>
          <w:szCs w:val="22"/>
          <w:highlight w:val="none"/>
          <w:lang w:val="en-US" w:eastAsia="zh-CN" w:bidi="ar-SA"/>
        </w:rPr>
      </w:pPr>
      <w:r>
        <w:rPr>
          <w:rFonts w:hint="eastAsia" w:ascii="宋体" w:hAnsi="宋体" w:eastAsia="宋体" w:cs="Times New Roman"/>
          <w:b/>
          <w:bCs w:val="0"/>
          <w:sz w:val="24"/>
          <w:szCs w:val="22"/>
          <w:highlight w:val="none"/>
          <w:lang w:val="en-US" w:eastAsia="zh-CN" w:bidi="ar-SA"/>
        </w:rPr>
        <w:t>2、报价方式</w:t>
      </w:r>
    </w:p>
    <w:p w14:paraId="4DFFCDC3">
      <w:pPr>
        <w:widowControl w:val="0"/>
        <w:spacing w:line="360" w:lineRule="auto"/>
        <w:ind w:firstLine="480"/>
        <w:jc w:val="both"/>
        <w:rPr>
          <w:rFonts w:hint="eastAsia" w:ascii="宋体" w:hAnsi="宋体" w:eastAsia="宋体" w:cs="Times New Roman"/>
          <w:bCs/>
          <w:sz w:val="24"/>
          <w:szCs w:val="22"/>
          <w:highlight w:val="none"/>
          <w:lang w:val="en-US" w:eastAsia="zh-CN" w:bidi="ar-SA"/>
        </w:rPr>
      </w:pPr>
      <w:r>
        <w:rPr>
          <w:rFonts w:hint="eastAsia" w:ascii="宋体" w:hAnsi="宋体" w:eastAsia="宋体" w:cs="Times New Roman"/>
          <w:bCs/>
          <w:sz w:val="24"/>
          <w:szCs w:val="22"/>
          <w:highlight w:val="none"/>
          <w:lang w:val="en-US" w:eastAsia="zh-CN" w:bidi="ar-SA"/>
        </w:rPr>
        <w:t>2.1本工程采用固定单价合同。响应单位应充分考虑施工期间各类建材的市场风险，并计入总报价，响应单位在计算报价时应考虑一定的风险系数。</w:t>
      </w:r>
    </w:p>
    <w:p w14:paraId="0F72A7C9">
      <w:pPr>
        <w:widowControl w:val="0"/>
        <w:spacing w:line="360" w:lineRule="auto"/>
        <w:ind w:firstLine="480"/>
        <w:jc w:val="both"/>
        <w:rPr>
          <w:rFonts w:hint="eastAsia" w:ascii="宋体" w:hAnsi="宋体" w:eastAsia="宋体" w:cs="Times New Roman"/>
          <w:bCs/>
          <w:sz w:val="24"/>
          <w:szCs w:val="22"/>
          <w:highlight w:val="none"/>
          <w:lang w:val="en-US" w:eastAsia="zh-CN" w:bidi="ar-SA"/>
        </w:rPr>
      </w:pPr>
      <w:r>
        <w:rPr>
          <w:rFonts w:hint="eastAsia" w:ascii="宋体" w:hAnsi="宋体" w:eastAsia="宋体" w:cs="Times New Roman"/>
          <w:bCs/>
          <w:sz w:val="24"/>
          <w:szCs w:val="22"/>
          <w:highlight w:val="none"/>
          <w:lang w:val="en-US" w:eastAsia="zh-CN" w:bidi="ar-SA"/>
        </w:rPr>
        <w:t>2.2 材料风险约定：</w:t>
      </w:r>
    </w:p>
    <w:p w14:paraId="5887C14E">
      <w:pPr>
        <w:widowControl w:val="0"/>
        <w:spacing w:line="360" w:lineRule="auto"/>
        <w:ind w:firstLine="480"/>
        <w:jc w:val="both"/>
        <w:rPr>
          <w:rFonts w:hint="eastAsia" w:ascii="宋体" w:hAnsi="宋体" w:eastAsia="宋体" w:cs="Times New Roman"/>
          <w:bCs/>
          <w:sz w:val="24"/>
          <w:szCs w:val="22"/>
          <w:highlight w:val="none"/>
          <w:lang w:val="en-US" w:eastAsia="zh-CN" w:bidi="ar-SA"/>
        </w:rPr>
      </w:pPr>
      <w:r>
        <w:rPr>
          <w:rFonts w:hint="eastAsia" w:ascii="宋体" w:hAnsi="宋体" w:eastAsia="宋体" w:cs="Times New Roman"/>
          <w:bCs/>
          <w:sz w:val="24"/>
          <w:szCs w:val="22"/>
          <w:highlight w:val="none"/>
          <w:lang w:val="en-US" w:eastAsia="zh-CN" w:bidi="ar-SA"/>
        </w:rPr>
        <w:t>2.2.1 对于法律、法规、规章或有关政策出台导致工程税金、规费等发生变化的，应按照有关规定执行。</w:t>
      </w:r>
    </w:p>
    <w:p w14:paraId="6F6A0768">
      <w:pPr>
        <w:widowControl w:val="0"/>
        <w:spacing w:line="360" w:lineRule="auto"/>
        <w:ind w:firstLine="480"/>
        <w:jc w:val="both"/>
        <w:rPr>
          <w:rFonts w:hint="eastAsia" w:ascii="宋体" w:hAnsi="宋体" w:eastAsia="宋体" w:cs="Times New Roman"/>
          <w:b w:val="0"/>
          <w:bCs/>
          <w:sz w:val="24"/>
          <w:szCs w:val="22"/>
          <w:highlight w:val="none"/>
          <w:lang w:val="en-US" w:eastAsia="zh-CN" w:bidi="ar-SA"/>
        </w:rPr>
      </w:pPr>
      <w:r>
        <w:rPr>
          <w:rFonts w:hint="eastAsia" w:ascii="宋体" w:hAnsi="宋体" w:eastAsia="宋体" w:cs="Times New Roman"/>
          <w:bCs/>
          <w:sz w:val="24"/>
          <w:szCs w:val="22"/>
          <w:highlight w:val="none"/>
          <w:lang w:val="en-US" w:eastAsia="zh-CN" w:bidi="ar-SA"/>
        </w:rPr>
        <w:t>2.2.2本工程对材料风险约定如下：供应商应充分考虑施工期间各类建材的市场风险，充分考虑政策性关于人工、机械费用等方面调整，并计入总报价，</w:t>
      </w:r>
      <w:r>
        <w:rPr>
          <w:rFonts w:hint="eastAsia" w:ascii="宋体" w:hAnsi="宋体" w:eastAsia="宋体" w:cs="Times New Roman"/>
          <w:b w:val="0"/>
          <w:bCs/>
          <w:sz w:val="24"/>
          <w:szCs w:val="22"/>
          <w:highlight w:val="none"/>
          <w:lang w:val="en-US" w:eastAsia="zh-CN" w:bidi="ar-SA"/>
        </w:rPr>
        <w:t>供应商所填写的单价和合价在合同实施期间不因市场变化因素而变动，结算不再调整。</w:t>
      </w:r>
    </w:p>
    <w:p w14:paraId="7E951CB6">
      <w:pPr>
        <w:widowControl w:val="0"/>
        <w:spacing w:line="360" w:lineRule="auto"/>
        <w:ind w:firstLine="480"/>
        <w:jc w:val="both"/>
        <w:rPr>
          <w:rFonts w:hint="eastAsia" w:ascii="宋体" w:hAnsi="宋体" w:eastAsia="宋体" w:cs="Times New Roman"/>
          <w:bCs/>
          <w:sz w:val="24"/>
          <w:szCs w:val="22"/>
          <w:highlight w:val="none"/>
          <w:lang w:val="en-US" w:eastAsia="zh-CN" w:bidi="ar-SA"/>
        </w:rPr>
      </w:pPr>
      <w:r>
        <w:rPr>
          <w:rFonts w:hint="eastAsia" w:ascii="宋体" w:hAnsi="宋体" w:eastAsia="宋体" w:cs="Times New Roman"/>
          <w:bCs/>
          <w:sz w:val="24"/>
          <w:szCs w:val="22"/>
          <w:highlight w:val="none"/>
          <w:lang w:val="en-US" w:eastAsia="zh-CN" w:bidi="ar-SA"/>
        </w:rPr>
        <w:t>2.3变更估价</w:t>
      </w:r>
    </w:p>
    <w:p w14:paraId="78A0CDDC">
      <w:pPr>
        <w:widowControl w:val="0"/>
        <w:spacing w:before="240" w:after="0" w:line="360" w:lineRule="auto"/>
        <w:ind w:left="0" w:firstLine="552"/>
        <w:jc w:val="both"/>
        <w:rPr>
          <w:rFonts w:hint="default" w:ascii="宋体" w:hAnsi="宋体" w:eastAsia="宋体" w:cs="宋体"/>
          <w:sz w:val="24"/>
          <w:szCs w:val="20"/>
          <w:lang w:val="en-US" w:eastAsia="zh-CN" w:bidi="ar-SA"/>
        </w:rPr>
      </w:pPr>
      <w:r>
        <w:rPr>
          <w:rFonts w:hint="eastAsia" w:ascii="宋体" w:hAnsi="宋体" w:eastAsia="宋体" w:cs="宋体"/>
          <w:sz w:val="24"/>
          <w:szCs w:val="20"/>
          <w:lang w:val="en-US" w:eastAsia="zh-CN" w:bidi="ar-SA"/>
        </w:rPr>
        <w:t>2.3.1 变更估价原则</w:t>
      </w:r>
    </w:p>
    <w:p w14:paraId="62C9C13A">
      <w:pPr>
        <w:widowControl w:val="0"/>
        <w:spacing w:before="240" w:after="0" w:line="360" w:lineRule="auto"/>
        <w:ind w:left="0" w:firstLine="552"/>
        <w:jc w:val="both"/>
        <w:rPr>
          <w:rFonts w:hint="default" w:ascii="宋体" w:hAnsi="宋体" w:eastAsia="宋体" w:cs="宋体"/>
          <w:sz w:val="24"/>
          <w:szCs w:val="20"/>
          <w:lang w:val="en-US" w:eastAsia="zh-CN" w:bidi="ar-SA"/>
        </w:rPr>
      </w:pPr>
      <w:r>
        <w:rPr>
          <w:rFonts w:hint="eastAsia" w:ascii="宋体" w:hAnsi="宋体" w:eastAsia="宋体" w:cs="宋体"/>
          <w:sz w:val="24"/>
          <w:szCs w:val="20"/>
          <w:lang w:val="en-US" w:eastAsia="zh-CN" w:bidi="ar-SA"/>
        </w:rPr>
        <w:t>关于变更估价的约定：</w:t>
      </w:r>
    </w:p>
    <w:p w14:paraId="4BAD77E5">
      <w:pPr>
        <w:widowControl w:val="0"/>
        <w:spacing w:before="240" w:after="0" w:line="360" w:lineRule="auto"/>
        <w:ind w:left="0" w:firstLine="552"/>
        <w:jc w:val="both"/>
        <w:rPr>
          <w:rFonts w:hint="default" w:ascii="宋体" w:hAnsi="宋体" w:eastAsia="宋体" w:cs="宋体"/>
          <w:sz w:val="24"/>
          <w:szCs w:val="20"/>
          <w:lang w:val="en-US" w:eastAsia="zh-CN" w:bidi="ar-SA"/>
        </w:rPr>
      </w:pPr>
      <w:r>
        <w:rPr>
          <w:rFonts w:hint="eastAsia" w:ascii="宋体" w:hAnsi="宋体" w:eastAsia="宋体" w:cs="宋体"/>
          <w:sz w:val="24"/>
          <w:szCs w:val="20"/>
          <w:lang w:val="en-US" w:eastAsia="zh-CN" w:bidi="ar-SA"/>
        </w:rPr>
        <w:t xml:space="preserve">（1）采用工程量清单方式计价，竣工结算的工程量按发承包双方在合同中约定应予计量的工程量确定，完成发包人要求的合同以外的零星工作或发生非承包人责任事件的工程量按现场签证确定。 </w:t>
      </w:r>
    </w:p>
    <w:p w14:paraId="428D5A7F">
      <w:pPr>
        <w:widowControl w:val="0"/>
        <w:spacing w:before="240" w:after="0" w:line="360" w:lineRule="auto"/>
        <w:ind w:left="0" w:firstLine="552"/>
        <w:jc w:val="both"/>
        <w:rPr>
          <w:rFonts w:hint="default" w:ascii="宋体" w:hAnsi="宋体" w:eastAsia="宋体" w:cs="宋体"/>
          <w:sz w:val="24"/>
          <w:szCs w:val="20"/>
          <w:lang w:val="en-US" w:eastAsia="zh-CN" w:bidi="ar-SA"/>
        </w:rPr>
      </w:pPr>
      <w:r>
        <w:rPr>
          <w:rFonts w:hint="eastAsia" w:ascii="宋体" w:hAnsi="宋体" w:eastAsia="宋体" w:cs="宋体"/>
          <w:sz w:val="24"/>
          <w:szCs w:val="20"/>
          <w:lang w:val="en-US" w:eastAsia="zh-CN" w:bidi="ar-SA"/>
        </w:rPr>
        <w:t xml:space="preserve">（2）所有工程量及工程变更签证单上必须有发包人工地代表、监理工程师、项目经理、审计部门四方的签字盖章，方可作为竣工结算的依据；签证单上必须明确签证的原因、位置、尺寸、数量、综合单价及签证时间。签证单应注意时效性，所有签证单最终价款的确认以审计部门的结论为准。 </w:t>
      </w:r>
    </w:p>
    <w:p w14:paraId="78F5A3F3">
      <w:pPr>
        <w:widowControl w:val="0"/>
        <w:spacing w:before="240" w:after="0" w:line="360" w:lineRule="auto"/>
        <w:ind w:left="0" w:firstLine="552"/>
        <w:jc w:val="both"/>
        <w:rPr>
          <w:rFonts w:hint="default" w:ascii="宋体" w:hAnsi="宋体" w:eastAsia="宋体" w:cs="宋体"/>
          <w:sz w:val="24"/>
          <w:szCs w:val="20"/>
          <w:lang w:val="en-US" w:eastAsia="zh-CN" w:bidi="ar-SA"/>
        </w:rPr>
      </w:pPr>
      <w:r>
        <w:rPr>
          <w:rFonts w:hint="eastAsia" w:ascii="宋体" w:hAnsi="宋体" w:eastAsia="宋体" w:cs="宋体"/>
          <w:sz w:val="24"/>
          <w:szCs w:val="20"/>
          <w:lang w:val="en-US" w:eastAsia="zh-CN" w:bidi="ar-SA"/>
        </w:rPr>
        <w:t xml:space="preserve">（3）因非承包人原因的工程变更，造成增加新的工程量清单项目，其对应的综合单价按下列方法确定： </w:t>
      </w:r>
    </w:p>
    <w:p w14:paraId="4F94CBBF">
      <w:pPr>
        <w:widowControl w:val="0"/>
        <w:spacing w:before="240" w:after="0" w:line="360" w:lineRule="auto"/>
        <w:ind w:left="0" w:firstLine="552"/>
        <w:jc w:val="both"/>
        <w:rPr>
          <w:rFonts w:hint="default" w:ascii="宋体" w:hAnsi="宋体" w:eastAsia="宋体" w:cs="宋体"/>
          <w:sz w:val="24"/>
          <w:szCs w:val="20"/>
          <w:lang w:val="en-US" w:eastAsia="zh-CN" w:bidi="ar-SA"/>
        </w:rPr>
      </w:pPr>
      <w:r>
        <w:rPr>
          <w:rFonts w:hint="eastAsia" w:ascii="宋体" w:hAnsi="宋体" w:eastAsia="宋体" w:cs="宋体"/>
          <w:sz w:val="24"/>
          <w:szCs w:val="20"/>
          <w:lang w:val="en-US" w:eastAsia="zh-CN" w:bidi="ar-SA"/>
        </w:rPr>
        <w:t xml:space="preserve">①合同中已有的综合单价，按合同中已有的综合单价确定； </w:t>
      </w:r>
    </w:p>
    <w:p w14:paraId="4CC07868">
      <w:pPr>
        <w:widowControl w:val="0"/>
        <w:spacing w:before="240" w:after="0" w:line="360" w:lineRule="auto"/>
        <w:ind w:left="0" w:firstLine="552"/>
        <w:jc w:val="both"/>
        <w:rPr>
          <w:rFonts w:hint="default" w:ascii="宋体" w:hAnsi="宋体" w:eastAsia="宋体" w:cs="宋体"/>
          <w:sz w:val="24"/>
          <w:szCs w:val="20"/>
          <w:lang w:val="en-US" w:eastAsia="zh-CN" w:bidi="ar-SA"/>
        </w:rPr>
      </w:pPr>
      <w:r>
        <w:rPr>
          <w:rFonts w:hint="eastAsia" w:ascii="宋体" w:hAnsi="宋体" w:eastAsia="宋体" w:cs="宋体"/>
          <w:sz w:val="24"/>
          <w:szCs w:val="20"/>
          <w:lang w:val="en-US" w:eastAsia="zh-CN" w:bidi="ar-SA"/>
        </w:rPr>
        <w:t xml:space="preserve">②合同中已有类似的综合单价，参照类似的综合单价确定。 </w:t>
      </w:r>
    </w:p>
    <w:p w14:paraId="5C180E27">
      <w:pPr>
        <w:widowControl w:val="0"/>
        <w:spacing w:before="240" w:after="0" w:line="360" w:lineRule="auto"/>
        <w:ind w:left="0" w:firstLine="552"/>
        <w:jc w:val="both"/>
        <w:rPr>
          <w:rFonts w:hint="default" w:ascii="宋体" w:hAnsi="宋体" w:eastAsia="宋体" w:cs="宋体"/>
          <w:sz w:val="24"/>
          <w:szCs w:val="20"/>
          <w:lang w:val="en-US" w:eastAsia="zh-CN" w:bidi="ar-SA"/>
        </w:rPr>
      </w:pPr>
      <w:r>
        <w:rPr>
          <w:rFonts w:hint="eastAsia" w:ascii="宋体" w:hAnsi="宋体" w:eastAsia="宋体" w:cs="宋体"/>
          <w:sz w:val="24"/>
          <w:szCs w:val="20"/>
          <w:lang w:val="en-US" w:eastAsia="zh-CN" w:bidi="ar-SA"/>
        </w:rPr>
        <w:t xml:space="preserve">③合同中没有适用或类似的综合单价，由承包人提出综合单价，经发包人确认后执行，结算原则按中标价与招标控制价相比的让利幅度同比例下浮。 </w:t>
      </w:r>
    </w:p>
    <w:p w14:paraId="541A98B9">
      <w:pPr>
        <w:widowControl w:val="0"/>
        <w:spacing w:before="240" w:after="0" w:line="360" w:lineRule="auto"/>
        <w:ind w:left="0" w:firstLine="552"/>
        <w:jc w:val="both"/>
        <w:rPr>
          <w:rFonts w:hint="default" w:ascii="宋体" w:hAnsi="宋体" w:eastAsia="宋体" w:cs="宋体"/>
          <w:sz w:val="24"/>
          <w:szCs w:val="20"/>
          <w:lang w:val="en-US" w:eastAsia="zh-CN" w:bidi="ar-SA"/>
        </w:rPr>
      </w:pPr>
      <w:r>
        <w:rPr>
          <w:rFonts w:hint="eastAsia" w:ascii="宋体" w:hAnsi="宋体" w:eastAsia="宋体" w:cs="宋体"/>
          <w:sz w:val="24"/>
          <w:szCs w:val="20"/>
          <w:lang w:val="en-US" w:eastAsia="zh-CN" w:bidi="ar-SA"/>
        </w:rPr>
        <w:t xml:space="preserve">（4）因非承包人原因的工程变更引起施工方案改变并使措施项目发生变化时，承包人提出调整措施项目费的，措施项目费应按下列原则调整：“总价措施项目”中的措施费仍按投标时费率进行调整；“单价措施项目”中的措施费发生关联变化时，除脚手架、模板按招标控制价计价办法计算，并乘以承包人报价浮动比率【承包人报价浮动比率=（1-中标价/招标控制价）×100%】进行结算外，其余的措施费均不作调整。 </w:t>
      </w:r>
    </w:p>
    <w:p w14:paraId="4E2F16EB">
      <w:pPr>
        <w:widowControl w:val="0"/>
        <w:spacing w:before="240" w:after="0" w:line="360" w:lineRule="auto"/>
        <w:ind w:left="0" w:firstLine="552"/>
        <w:jc w:val="both"/>
        <w:rPr>
          <w:rFonts w:hint="default" w:ascii="宋体" w:hAnsi="宋体" w:eastAsia="宋体" w:cs="宋体"/>
          <w:sz w:val="24"/>
          <w:szCs w:val="20"/>
          <w:lang w:val="en-US" w:eastAsia="zh-CN" w:bidi="ar-SA"/>
        </w:rPr>
      </w:pPr>
      <w:r>
        <w:rPr>
          <w:rFonts w:hint="eastAsia" w:ascii="宋体" w:hAnsi="宋体" w:eastAsia="宋体" w:cs="宋体"/>
          <w:sz w:val="24"/>
          <w:szCs w:val="20"/>
          <w:lang w:val="en-US" w:eastAsia="zh-CN" w:bidi="ar-SA"/>
        </w:rPr>
        <w:t>（5）因工程变更引起工程量偏差在15%以内时，其综合单价不做调整，执行原有的综合单价；当分部分项工程量增加超过15%以上时（不含15%），增加部分的工程量的综合单价应予调低5%；当分部分项工程量减少超过15%以上时（不含15%），减少后剩余部分的工程量的综合单价应予调高5%，合同另有约定的按合同执行。</w:t>
      </w:r>
    </w:p>
    <w:p w14:paraId="44192704">
      <w:pPr>
        <w:widowControl w:val="0"/>
        <w:spacing w:before="240" w:after="0" w:line="360" w:lineRule="auto"/>
        <w:ind w:left="0" w:firstLine="552"/>
        <w:jc w:val="both"/>
        <w:rPr>
          <w:rFonts w:hint="default" w:ascii="宋体" w:hAnsi="宋体" w:eastAsia="宋体" w:cs="宋体"/>
          <w:sz w:val="24"/>
          <w:szCs w:val="20"/>
          <w:lang w:val="en-US" w:eastAsia="zh-CN" w:bidi="ar-SA"/>
        </w:rPr>
      </w:pPr>
      <w:r>
        <w:rPr>
          <w:rFonts w:hint="eastAsia" w:ascii="宋体" w:hAnsi="宋体" w:eastAsia="宋体" w:cs="宋体"/>
          <w:sz w:val="24"/>
          <w:szCs w:val="20"/>
          <w:lang w:val="en-US" w:eastAsia="zh-CN" w:bidi="ar-SA"/>
        </w:rPr>
        <w:t xml:space="preserve">（6）清单项目中特征描述不全的工序，如图纸已明确或已指明引用规范、图集等或是常规工艺必须的工序，应视为包括在报价中。 </w:t>
      </w:r>
    </w:p>
    <w:p w14:paraId="141F2A49">
      <w:pPr>
        <w:widowControl w:val="0"/>
        <w:spacing w:before="240" w:after="0" w:line="360" w:lineRule="auto"/>
        <w:ind w:left="0" w:firstLine="552"/>
        <w:jc w:val="both"/>
        <w:rPr>
          <w:rFonts w:hint="default" w:ascii="宋体" w:hAnsi="宋体" w:eastAsia="宋体" w:cs="宋体"/>
          <w:sz w:val="24"/>
          <w:szCs w:val="20"/>
          <w:lang w:val="en-US" w:eastAsia="zh-CN" w:bidi="ar-SA"/>
        </w:rPr>
      </w:pPr>
      <w:r>
        <w:rPr>
          <w:rFonts w:hint="eastAsia" w:ascii="宋体" w:hAnsi="宋体" w:eastAsia="宋体" w:cs="宋体"/>
          <w:sz w:val="24"/>
          <w:szCs w:val="20"/>
          <w:lang w:val="en-US" w:eastAsia="zh-CN" w:bidi="ar-SA"/>
        </w:rPr>
        <w:t>（</w:t>
      </w:r>
      <w:r>
        <w:rPr>
          <w:rFonts w:hint="default" w:ascii="宋体" w:hAnsi="宋体" w:eastAsia="宋体" w:cs="宋体"/>
          <w:sz w:val="24"/>
          <w:szCs w:val="20"/>
          <w:lang w:val="en-US" w:eastAsia="zh-CN" w:bidi="ar-SA"/>
        </w:rPr>
        <w:t>7</w:t>
      </w:r>
      <w:r>
        <w:rPr>
          <w:rFonts w:hint="eastAsia" w:ascii="宋体" w:hAnsi="宋体" w:eastAsia="宋体" w:cs="宋体"/>
          <w:sz w:val="24"/>
          <w:szCs w:val="20"/>
          <w:lang w:val="en-US" w:eastAsia="zh-CN" w:bidi="ar-SA"/>
        </w:rPr>
        <w:t>）工程量清单项未予实施或工程量减少的，按照投标报价从中标价款中予以减除，竣工结算时予以扣减。</w:t>
      </w:r>
    </w:p>
    <w:p w14:paraId="602EA74D">
      <w:pPr>
        <w:widowControl w:val="0"/>
        <w:spacing w:line="360" w:lineRule="auto"/>
        <w:ind w:firstLine="480"/>
        <w:jc w:val="both"/>
        <w:rPr>
          <w:rFonts w:hint="eastAsia" w:ascii="宋体" w:hAnsi="宋体" w:eastAsia="宋体" w:cs="Times New Roman"/>
          <w:bCs/>
          <w:sz w:val="24"/>
          <w:szCs w:val="22"/>
          <w:highlight w:val="none"/>
          <w:lang w:val="en-US" w:eastAsia="zh-CN" w:bidi="ar-SA"/>
        </w:rPr>
      </w:pPr>
      <w:r>
        <w:rPr>
          <w:rFonts w:hint="eastAsia" w:ascii="宋体" w:hAnsi="宋体" w:eastAsia="宋体" w:cs="Times New Roman"/>
          <w:bCs/>
          <w:sz w:val="24"/>
          <w:szCs w:val="22"/>
          <w:highlight w:val="none"/>
          <w:lang w:val="en-US" w:eastAsia="zh-CN" w:bidi="ar-SA"/>
        </w:rPr>
        <w:t>报价的计价方法:本工程项目采用工程量清单计价。响应单位应根据磋商文件中提供的工程量清单计算工程项目的单价、合价。工程量清单中每一个子目和单项均需计算填写单价、合价。若供应商没有填写单价、合价的项目采购人将不予支付，并认为此项费用已包括在工程量清单的其它单价、合价中。</w:t>
      </w:r>
    </w:p>
    <w:p w14:paraId="1E459674">
      <w:pPr>
        <w:widowControl w:val="0"/>
        <w:spacing w:line="360" w:lineRule="auto"/>
        <w:ind w:firstLine="480"/>
        <w:jc w:val="both"/>
        <w:rPr>
          <w:rFonts w:hint="eastAsia" w:ascii="宋体" w:hAnsi="宋体" w:eastAsia="宋体" w:cs="Times New Roman"/>
          <w:bCs/>
          <w:sz w:val="24"/>
          <w:szCs w:val="22"/>
          <w:highlight w:val="none"/>
          <w:lang w:val="en-US" w:eastAsia="zh-CN" w:bidi="ar-SA"/>
        </w:rPr>
      </w:pPr>
      <w:r>
        <w:rPr>
          <w:rFonts w:hint="eastAsia" w:ascii="宋体" w:hAnsi="宋体" w:eastAsia="宋体" w:cs="Times New Roman"/>
          <w:bCs/>
          <w:sz w:val="24"/>
          <w:szCs w:val="22"/>
          <w:highlight w:val="none"/>
          <w:lang w:val="en-US" w:eastAsia="zh-CN" w:bidi="ar-SA"/>
        </w:rPr>
        <w:t>报价编制依据及要求：本工程执行现行国家标准《建设工程工程量清单计价规范》(GB50500-2013)、《建筑与装饰工程工程量计算规范》(GB50854-2013)、《通用安装工程工程量计算规范》(GB50856-2013)、《江苏省建筑与装饰工程计价定额》、《2009江苏修缮建筑定额》、《江苏省建设工程费用定额》(2014年)含营改增后调整内容及苏建函价[2019]178号文件关于建筑业税率调整的通知;</w:t>
      </w:r>
    </w:p>
    <w:p w14:paraId="39DB0A58">
      <w:pPr>
        <w:widowControl w:val="0"/>
        <w:spacing w:line="360" w:lineRule="auto"/>
        <w:ind w:firstLine="480"/>
        <w:jc w:val="both"/>
        <w:rPr>
          <w:rFonts w:hint="eastAsia" w:ascii="宋体" w:hAnsi="宋体" w:eastAsia="宋体" w:cs="Times New Roman"/>
          <w:bCs/>
          <w:sz w:val="24"/>
          <w:szCs w:val="22"/>
          <w:highlight w:val="none"/>
          <w:lang w:val="en-US" w:eastAsia="zh-CN" w:bidi="ar-SA"/>
        </w:rPr>
      </w:pPr>
      <w:r>
        <w:rPr>
          <w:rFonts w:hint="eastAsia" w:ascii="宋体" w:hAnsi="宋体" w:eastAsia="宋体" w:cs="Times New Roman"/>
          <w:bCs/>
          <w:sz w:val="24"/>
          <w:szCs w:val="22"/>
          <w:highlight w:val="none"/>
          <w:lang w:val="en-US" w:eastAsia="zh-CN" w:bidi="ar-SA"/>
        </w:rPr>
        <w:t>不可竞争费用:执行《江苏省建设工程费用定额》(2014)的各项要求，该项费用按《江苏省建设工程费用定额》(2014)文件规定计算。(不可竞争费包括:安全文明施工措施费、社会保险费、住房公积金、税金);</w:t>
      </w:r>
    </w:p>
    <w:p w14:paraId="3CCF95C6">
      <w:pPr>
        <w:widowControl w:val="0"/>
        <w:spacing w:line="360" w:lineRule="auto"/>
        <w:ind w:left="0" w:firstLine="0"/>
        <w:jc w:val="both"/>
        <w:rPr>
          <w:rFonts w:hint="eastAsia" w:ascii="宋体" w:hAnsi="宋体" w:eastAsia="宋体" w:cs="Times New Roman"/>
          <w:b/>
          <w:bCs w:val="0"/>
          <w:sz w:val="24"/>
          <w:szCs w:val="22"/>
          <w:highlight w:val="none"/>
          <w:lang w:val="en-US" w:eastAsia="zh-CN" w:bidi="ar-SA"/>
        </w:rPr>
      </w:pPr>
      <w:r>
        <w:rPr>
          <w:rFonts w:hint="eastAsia" w:ascii="宋体" w:hAnsi="宋体" w:eastAsia="宋体" w:cs="Times New Roman"/>
          <w:b/>
          <w:bCs w:val="0"/>
          <w:sz w:val="24"/>
          <w:szCs w:val="22"/>
          <w:highlight w:val="none"/>
          <w:lang w:val="en-US" w:eastAsia="zh-CN" w:bidi="ar-SA"/>
        </w:rPr>
        <w:t>3、本工程的其他规定：</w:t>
      </w:r>
    </w:p>
    <w:p w14:paraId="263B563B">
      <w:pPr>
        <w:widowControl w:val="0"/>
        <w:spacing w:line="360" w:lineRule="auto"/>
        <w:ind w:firstLine="480"/>
        <w:jc w:val="both"/>
        <w:rPr>
          <w:rFonts w:hint="eastAsia" w:ascii="宋体" w:hAnsi="宋体" w:eastAsia="宋体" w:cs="Times New Roman"/>
          <w:bCs/>
          <w:sz w:val="24"/>
          <w:szCs w:val="22"/>
          <w:highlight w:val="none"/>
          <w:lang w:val="en-US" w:eastAsia="zh-CN" w:bidi="ar-SA"/>
        </w:rPr>
      </w:pPr>
      <w:r>
        <w:rPr>
          <w:rFonts w:hint="eastAsia" w:ascii="宋体" w:hAnsi="宋体" w:eastAsia="宋体" w:cs="Times New Roman"/>
          <w:bCs/>
          <w:sz w:val="24"/>
          <w:szCs w:val="22"/>
          <w:highlight w:val="none"/>
          <w:lang w:val="en-US" w:eastAsia="zh-CN" w:bidi="ar-SA"/>
        </w:rPr>
        <w:t>3.1招标控制价编制价格参考2025年第5期《徐州工程造价信息》中的指导价及市场价，供应商的材料价格根据市场行情自主报价。</w:t>
      </w:r>
    </w:p>
    <w:p w14:paraId="280EBABF">
      <w:pPr>
        <w:widowControl w:val="0"/>
        <w:spacing w:line="360" w:lineRule="auto"/>
        <w:ind w:firstLine="480"/>
        <w:jc w:val="both"/>
        <w:rPr>
          <w:rFonts w:hint="eastAsia" w:ascii="宋体" w:hAnsi="宋体" w:eastAsia="宋体" w:cs="Times New Roman"/>
          <w:bCs/>
          <w:sz w:val="24"/>
          <w:szCs w:val="22"/>
          <w:highlight w:val="none"/>
          <w:lang w:val="en-US" w:eastAsia="zh-CN" w:bidi="ar-SA"/>
        </w:rPr>
      </w:pPr>
      <w:r>
        <w:rPr>
          <w:rFonts w:hint="eastAsia" w:ascii="宋体" w:hAnsi="宋体" w:eastAsia="宋体" w:cs="Times New Roman"/>
          <w:bCs/>
          <w:sz w:val="24"/>
          <w:szCs w:val="22"/>
          <w:highlight w:val="none"/>
          <w:lang w:val="en-US" w:eastAsia="zh-CN" w:bidi="ar-SA"/>
        </w:rPr>
        <w:t>3.2招标控制价人工费按苏建函价[2025]66号。</w:t>
      </w:r>
    </w:p>
    <w:p w14:paraId="750083F3">
      <w:pPr>
        <w:widowControl w:val="0"/>
        <w:spacing w:line="360" w:lineRule="auto"/>
        <w:ind w:firstLine="480"/>
        <w:jc w:val="both"/>
        <w:rPr>
          <w:rFonts w:hint="eastAsia" w:ascii="宋体" w:hAnsi="宋体" w:eastAsia="宋体" w:cs="Times New Roman"/>
          <w:bCs/>
          <w:sz w:val="24"/>
          <w:szCs w:val="22"/>
          <w:highlight w:val="none"/>
          <w:lang w:val="en-US" w:eastAsia="zh-CN" w:bidi="ar-SA"/>
        </w:rPr>
      </w:pPr>
      <w:r>
        <w:rPr>
          <w:rFonts w:hint="eastAsia" w:ascii="宋体" w:hAnsi="宋体" w:eastAsia="宋体" w:cs="Times New Roman"/>
          <w:bCs/>
          <w:sz w:val="24"/>
          <w:szCs w:val="22"/>
          <w:highlight w:val="none"/>
          <w:lang w:val="en-US" w:eastAsia="zh-CN" w:bidi="ar-SA"/>
        </w:rPr>
        <w:t>3.3建筑安装工程造价的组成：</w:t>
      </w:r>
    </w:p>
    <w:p w14:paraId="6BBD1185">
      <w:pPr>
        <w:widowControl w:val="0"/>
        <w:numPr>
          <w:ilvl w:val="0"/>
          <w:numId w:val="1"/>
        </w:numPr>
        <w:spacing w:line="360" w:lineRule="auto"/>
        <w:ind w:firstLine="480"/>
        <w:jc w:val="both"/>
        <w:rPr>
          <w:rFonts w:hint="eastAsia" w:ascii="宋体" w:hAnsi="宋体" w:eastAsia="宋体" w:cs="Times New Roman"/>
          <w:bCs/>
          <w:sz w:val="24"/>
          <w:szCs w:val="22"/>
          <w:highlight w:val="none"/>
          <w:lang w:val="en-US" w:eastAsia="zh-CN" w:bidi="ar-SA"/>
        </w:rPr>
      </w:pPr>
      <w:r>
        <w:rPr>
          <w:rFonts w:hint="eastAsia" w:ascii="宋体" w:hAnsi="宋体" w:eastAsia="宋体" w:cs="Times New Roman"/>
          <w:bCs/>
          <w:sz w:val="24"/>
          <w:szCs w:val="22"/>
          <w:highlight w:val="none"/>
          <w:lang w:val="en-US" w:eastAsia="zh-CN" w:bidi="ar-SA"/>
        </w:rPr>
        <w:t>总价措施项目费</w:t>
      </w:r>
    </w:p>
    <w:p w14:paraId="13FBBECD">
      <w:pPr>
        <w:widowControl w:val="0"/>
        <w:spacing w:line="360" w:lineRule="auto"/>
        <w:ind w:firstLine="480"/>
        <w:jc w:val="both"/>
        <w:rPr>
          <w:rFonts w:hint="eastAsia" w:ascii="宋体" w:hAnsi="宋体" w:eastAsia="宋体" w:cs="Times New Roman"/>
          <w:bCs/>
          <w:sz w:val="24"/>
          <w:szCs w:val="22"/>
          <w:highlight w:val="none"/>
          <w:lang w:val="en-US" w:eastAsia="zh-CN" w:bidi="ar-SA"/>
        </w:rPr>
      </w:pPr>
      <w:r>
        <w:rPr>
          <w:rFonts w:hint="eastAsia" w:ascii="宋体" w:hAnsi="宋体" w:eastAsia="宋体" w:cs="Times New Roman"/>
          <w:bCs/>
          <w:sz w:val="24"/>
          <w:szCs w:val="22"/>
          <w:highlight w:val="none"/>
          <w:lang w:val="en-US" w:eastAsia="zh-CN" w:bidi="ar-SA"/>
        </w:rPr>
        <w:t>现场安全文明施工基本费：</w:t>
      </w:r>
      <w:r>
        <w:rPr>
          <w:rFonts w:hint="default" w:ascii="宋体" w:hAnsi="宋体" w:eastAsia="宋体" w:cs="宋体"/>
          <w:color w:val="000000"/>
          <w:sz w:val="24"/>
          <w:szCs w:val="24"/>
          <w:lang w:val="en-US" w:eastAsia="zh-CN" w:bidi="ar-SA"/>
        </w:rPr>
        <w:t>详见工程量清单</w:t>
      </w:r>
      <w:r>
        <w:rPr>
          <w:rFonts w:hint="eastAsia" w:ascii="宋体" w:hAnsi="宋体" w:eastAsia="宋体" w:cs="Times New Roman"/>
          <w:bCs/>
          <w:sz w:val="24"/>
          <w:szCs w:val="22"/>
          <w:highlight w:val="none"/>
          <w:lang w:val="en-US" w:eastAsia="zh-CN" w:bidi="ar-SA"/>
        </w:rPr>
        <w:t>；</w:t>
      </w:r>
    </w:p>
    <w:p w14:paraId="6C9BF733">
      <w:pPr>
        <w:widowControl w:val="0"/>
        <w:spacing w:line="360" w:lineRule="auto"/>
        <w:ind w:firstLine="480"/>
        <w:jc w:val="both"/>
        <w:rPr>
          <w:rFonts w:hint="eastAsia" w:ascii="宋体" w:hAnsi="宋体" w:eastAsia="宋体" w:cs="Times New Roman"/>
          <w:bCs/>
          <w:sz w:val="24"/>
          <w:szCs w:val="22"/>
          <w:highlight w:val="none"/>
          <w:lang w:val="en-US" w:eastAsia="zh-CN" w:bidi="ar-SA"/>
        </w:rPr>
      </w:pPr>
      <w:r>
        <w:rPr>
          <w:rFonts w:hint="eastAsia" w:ascii="宋体" w:hAnsi="宋体" w:eastAsia="宋体" w:cs="Times New Roman"/>
          <w:bCs/>
          <w:sz w:val="24"/>
          <w:szCs w:val="22"/>
          <w:highlight w:val="none"/>
          <w:lang w:val="en-US" w:eastAsia="zh-CN" w:bidi="ar-SA"/>
        </w:rPr>
        <w:t>工地扬尘污染防治措施费：</w:t>
      </w:r>
      <w:r>
        <w:rPr>
          <w:rFonts w:hint="default" w:ascii="宋体" w:hAnsi="宋体" w:eastAsia="宋体" w:cs="宋体"/>
          <w:color w:val="000000"/>
          <w:sz w:val="24"/>
          <w:szCs w:val="24"/>
          <w:lang w:val="en-US" w:eastAsia="zh-CN" w:bidi="ar-SA"/>
        </w:rPr>
        <w:t>详见工程量清单</w:t>
      </w:r>
      <w:r>
        <w:rPr>
          <w:rFonts w:hint="eastAsia" w:ascii="宋体" w:hAnsi="宋体" w:eastAsia="宋体" w:cs="Times New Roman"/>
          <w:bCs/>
          <w:sz w:val="24"/>
          <w:szCs w:val="22"/>
          <w:highlight w:val="none"/>
          <w:lang w:val="en-US" w:eastAsia="zh-CN" w:bidi="ar-SA"/>
        </w:rPr>
        <w:t>；</w:t>
      </w:r>
    </w:p>
    <w:p w14:paraId="5DB777BF">
      <w:pPr>
        <w:numPr>
          <w:ilvl w:val="0"/>
          <w:numId w:val="0"/>
        </w:numPr>
        <w:spacing w:line="360" w:lineRule="auto"/>
        <w:ind w:firstLine="361"/>
        <w:jc w:val="both"/>
        <w:rPr>
          <w:rFonts w:hint="default" w:ascii="宋体" w:hAnsi="宋体" w:eastAsia="仿宋_GB2312" w:cs="Times New Roman"/>
          <w:sz w:val="18"/>
          <w:szCs w:val="18"/>
          <w:lang w:val="en-US" w:eastAsia="zh-CN" w:bidi="ar-SA"/>
        </w:rPr>
      </w:pPr>
    </w:p>
    <w:p w14:paraId="76BC9710">
      <w:pPr>
        <w:widowControl w:val="0"/>
        <w:spacing w:line="360" w:lineRule="auto"/>
        <w:ind w:firstLine="480"/>
        <w:jc w:val="both"/>
        <w:rPr>
          <w:rFonts w:hint="eastAsia" w:ascii="宋体" w:hAnsi="宋体" w:eastAsia="宋体" w:cs="Times New Roman"/>
          <w:bCs/>
          <w:sz w:val="24"/>
          <w:szCs w:val="22"/>
          <w:highlight w:val="none"/>
          <w:lang w:val="en-US" w:eastAsia="zh-CN" w:bidi="ar-SA"/>
        </w:rPr>
      </w:pPr>
      <w:r>
        <w:rPr>
          <w:rFonts w:hint="eastAsia" w:ascii="宋体" w:hAnsi="宋体" w:eastAsia="宋体" w:cs="Times New Roman"/>
          <w:bCs/>
          <w:sz w:val="24"/>
          <w:szCs w:val="22"/>
          <w:highlight w:val="none"/>
          <w:lang w:val="en-US" w:eastAsia="zh-CN" w:bidi="ar-SA"/>
        </w:rPr>
        <w:t>(二)规费</w:t>
      </w:r>
    </w:p>
    <w:p w14:paraId="197DC2B6">
      <w:pPr>
        <w:widowControl w:val="0"/>
        <w:spacing w:line="360" w:lineRule="auto"/>
        <w:ind w:firstLine="480"/>
        <w:jc w:val="both"/>
        <w:rPr>
          <w:rFonts w:hint="eastAsia" w:ascii="宋体" w:hAnsi="宋体" w:eastAsia="宋体" w:cs="Times New Roman"/>
          <w:bCs/>
          <w:sz w:val="24"/>
          <w:szCs w:val="22"/>
          <w:highlight w:val="none"/>
          <w:lang w:val="en-US" w:eastAsia="zh-CN" w:bidi="ar-SA"/>
        </w:rPr>
      </w:pPr>
      <w:r>
        <w:rPr>
          <w:rFonts w:hint="eastAsia" w:ascii="宋体" w:hAnsi="宋体" w:eastAsia="宋体" w:cs="Times New Roman"/>
          <w:bCs/>
          <w:sz w:val="24"/>
          <w:szCs w:val="22"/>
          <w:highlight w:val="none"/>
          <w:lang w:val="en-US" w:eastAsia="zh-CN" w:bidi="ar-SA"/>
        </w:rPr>
        <w:t>1、社会保险费:</w:t>
      </w:r>
      <w:r>
        <w:rPr>
          <w:rFonts w:hint="default" w:ascii="宋体" w:hAnsi="宋体" w:eastAsia="宋体" w:cs="宋体"/>
          <w:color w:val="000000"/>
          <w:sz w:val="24"/>
          <w:szCs w:val="24"/>
          <w:lang w:val="en-US" w:eastAsia="zh-CN" w:bidi="ar-SA"/>
        </w:rPr>
        <w:t>详见工程量清单</w:t>
      </w:r>
      <w:r>
        <w:rPr>
          <w:rFonts w:hint="eastAsia" w:ascii="宋体" w:hAnsi="宋体" w:eastAsia="宋体" w:cs="Times New Roman"/>
          <w:bCs/>
          <w:sz w:val="24"/>
          <w:szCs w:val="22"/>
          <w:highlight w:val="none"/>
          <w:lang w:val="en-US" w:eastAsia="zh-CN" w:bidi="ar-SA"/>
        </w:rPr>
        <w:t>;</w:t>
      </w:r>
    </w:p>
    <w:p w14:paraId="0B7F4304">
      <w:pPr>
        <w:widowControl w:val="0"/>
        <w:spacing w:line="360" w:lineRule="auto"/>
        <w:ind w:firstLine="480"/>
        <w:jc w:val="both"/>
        <w:rPr>
          <w:rFonts w:hint="eastAsia" w:ascii="宋体" w:hAnsi="宋体" w:eastAsia="宋体" w:cs="Times New Roman"/>
          <w:bCs/>
          <w:sz w:val="24"/>
          <w:szCs w:val="22"/>
          <w:highlight w:val="none"/>
          <w:lang w:val="en-US" w:eastAsia="zh-CN" w:bidi="ar-SA"/>
        </w:rPr>
      </w:pPr>
      <w:r>
        <w:rPr>
          <w:rFonts w:hint="eastAsia" w:ascii="宋体" w:hAnsi="宋体" w:eastAsia="宋体" w:cs="Times New Roman"/>
          <w:bCs/>
          <w:sz w:val="24"/>
          <w:szCs w:val="22"/>
          <w:highlight w:val="none"/>
          <w:lang w:val="en-US" w:eastAsia="zh-CN" w:bidi="ar-SA"/>
        </w:rPr>
        <w:t>2、住房公积金:</w:t>
      </w:r>
      <w:r>
        <w:rPr>
          <w:rFonts w:hint="default" w:ascii="宋体" w:hAnsi="宋体" w:eastAsia="宋体" w:cs="宋体"/>
          <w:color w:val="000000"/>
          <w:sz w:val="24"/>
          <w:szCs w:val="24"/>
          <w:lang w:val="en-US" w:eastAsia="zh-CN" w:bidi="ar-SA"/>
        </w:rPr>
        <w:t>详见工程量清单</w:t>
      </w:r>
      <w:r>
        <w:rPr>
          <w:rFonts w:hint="eastAsia" w:ascii="宋体" w:hAnsi="宋体" w:eastAsia="宋体" w:cs="Times New Roman"/>
          <w:bCs/>
          <w:sz w:val="24"/>
          <w:szCs w:val="22"/>
          <w:highlight w:val="none"/>
          <w:lang w:val="en-US" w:eastAsia="zh-CN" w:bidi="ar-SA"/>
        </w:rPr>
        <w:t>;</w:t>
      </w:r>
    </w:p>
    <w:p w14:paraId="4988F043">
      <w:pPr>
        <w:widowControl w:val="0"/>
        <w:spacing w:line="360" w:lineRule="auto"/>
        <w:ind w:firstLine="480"/>
        <w:jc w:val="both"/>
        <w:rPr>
          <w:rFonts w:hint="eastAsia" w:ascii="Times New Roman" w:hAnsi="Times New Roman" w:eastAsia="宋体" w:cs="Times New Roman"/>
          <w:sz w:val="24"/>
          <w:szCs w:val="24"/>
          <w:highlight w:val="none"/>
          <w:lang w:val="en-US" w:eastAsia="zh-CN" w:bidi="ar-SA"/>
        </w:rPr>
      </w:pPr>
      <w:r>
        <w:rPr>
          <w:rFonts w:hint="eastAsia" w:ascii="宋体" w:hAnsi="宋体" w:eastAsia="宋体" w:cs="Times New Roman"/>
          <w:bCs/>
          <w:sz w:val="24"/>
          <w:szCs w:val="22"/>
          <w:highlight w:val="none"/>
          <w:lang w:val="en-US" w:eastAsia="zh-CN" w:bidi="ar-SA"/>
        </w:rPr>
        <w:t>(三)税金:</w:t>
      </w:r>
      <w:r>
        <w:rPr>
          <w:rFonts w:hint="default" w:ascii="宋体" w:hAnsi="宋体" w:eastAsia="宋体" w:cs="宋体"/>
          <w:color w:val="000000"/>
          <w:sz w:val="24"/>
          <w:szCs w:val="24"/>
          <w:lang w:val="en-US" w:eastAsia="zh-CN" w:bidi="ar-SA"/>
        </w:rPr>
        <w:t>详见工程量清单</w:t>
      </w:r>
      <w:r>
        <w:rPr>
          <w:rFonts w:hint="eastAsia" w:ascii="宋体" w:hAnsi="宋体" w:eastAsia="宋体" w:cs="Times New Roman"/>
          <w:bCs/>
          <w:sz w:val="24"/>
          <w:szCs w:val="22"/>
          <w:highlight w:val="none"/>
          <w:lang w:val="en-US" w:eastAsia="zh-CN" w:bidi="ar-SA"/>
        </w:rPr>
        <w:t>。</w:t>
      </w:r>
    </w:p>
    <w:p w14:paraId="6B348339">
      <w:pPr>
        <w:widowControl w:val="0"/>
        <w:spacing w:line="360" w:lineRule="auto"/>
        <w:ind w:left="0" w:firstLine="0"/>
        <w:jc w:val="both"/>
        <w:rPr>
          <w:rFonts w:hint="eastAsia" w:ascii="宋体" w:hAnsi="宋体" w:eastAsia="宋体" w:cs="Times New Roman"/>
          <w:b/>
          <w:bCs w:val="0"/>
          <w:sz w:val="24"/>
          <w:szCs w:val="22"/>
          <w:highlight w:val="none"/>
          <w:lang w:val="en-US" w:eastAsia="zh-CN" w:bidi="ar-SA"/>
        </w:rPr>
      </w:pPr>
      <w:r>
        <w:rPr>
          <w:rFonts w:hint="eastAsia" w:ascii="宋体" w:hAnsi="宋体" w:eastAsia="宋体" w:cs="Times New Roman"/>
          <w:b/>
          <w:bCs w:val="0"/>
          <w:sz w:val="24"/>
          <w:szCs w:val="22"/>
          <w:highlight w:val="none"/>
          <w:lang w:val="en-US" w:eastAsia="zh-CN" w:bidi="ar-SA"/>
        </w:rPr>
        <w:t>五、低于成本报价：</w:t>
      </w:r>
    </w:p>
    <w:p w14:paraId="33AE77D9">
      <w:pPr>
        <w:widowControl w:val="0"/>
        <w:spacing w:line="360" w:lineRule="auto"/>
        <w:ind w:firstLine="480"/>
        <w:jc w:val="both"/>
        <w:rPr>
          <w:rFonts w:hint="eastAsia" w:ascii="宋体" w:hAnsi="宋体" w:eastAsia="宋体" w:cs="Times New Roman"/>
          <w:bCs/>
          <w:sz w:val="24"/>
          <w:szCs w:val="22"/>
          <w:highlight w:val="none"/>
          <w:lang w:val="en-US" w:eastAsia="zh-CN" w:bidi="ar-SA"/>
        </w:rPr>
      </w:pPr>
      <w:r>
        <w:rPr>
          <w:rFonts w:hint="eastAsia" w:ascii="宋体" w:hAnsi="宋体" w:eastAsia="宋体" w:cs="Times New Roman"/>
          <w:bCs/>
          <w:sz w:val="24"/>
          <w:szCs w:val="22"/>
          <w:highlight w:val="none"/>
          <w:lang w:val="en-US" w:eastAsia="zh-CN" w:bidi="ar-SA"/>
        </w:rPr>
        <w:t xml:space="preserve">在磋商过程中，磋商小组发现供应商的报价明显低于其他报价，使得其报价可能低于其个别成本的，应当要求该供应商作出书面说明并提供相关证明材料。供应商不能合理说明或者不能提供相关证明材料的，由磋商小组会认定该供应商以低于成本报价，其响应文件应作无效响应文件处理。 </w:t>
      </w:r>
    </w:p>
    <w:p w14:paraId="5B543A61">
      <w:pPr>
        <w:widowControl w:val="0"/>
        <w:spacing w:line="360" w:lineRule="auto"/>
        <w:ind w:firstLine="480"/>
        <w:jc w:val="both"/>
        <w:rPr>
          <w:rFonts w:hint="eastAsia" w:ascii="宋体" w:hAnsi="宋体" w:eastAsia="宋体" w:cs="Times New Roman"/>
          <w:bCs/>
          <w:sz w:val="24"/>
          <w:szCs w:val="22"/>
          <w:highlight w:val="none"/>
          <w:lang w:val="en-US" w:eastAsia="zh-CN" w:bidi="ar-SA"/>
        </w:rPr>
      </w:pPr>
      <w:r>
        <w:rPr>
          <w:rFonts w:hint="eastAsia" w:ascii="宋体" w:hAnsi="宋体" w:eastAsia="宋体" w:cs="Times New Roman"/>
          <w:bCs/>
          <w:sz w:val="24"/>
          <w:szCs w:val="22"/>
          <w:highlight w:val="none"/>
          <w:lang w:val="en-US" w:eastAsia="zh-CN" w:bidi="ar-SA"/>
        </w:rPr>
        <w:t>磋商小组全体成员三分之二以上认为该供应商不能合理说明或者不能提供相关证明材料的，认定该供应商以低于成本报价，其响应文件应作无效响应文件处理。持有异议的磋商小组成员可以书面方式阐述其不同意见和理由，拒绝签字且不陈述其不同意见和理由的，视为同意。</w:t>
      </w:r>
    </w:p>
    <w:p w14:paraId="4A9D392B">
      <w:pPr>
        <w:widowControl w:val="0"/>
        <w:numPr>
          <w:ilvl w:val="0"/>
          <w:numId w:val="0"/>
        </w:numPr>
        <w:spacing w:line="360" w:lineRule="auto"/>
        <w:ind w:firstLine="723"/>
        <w:jc w:val="both"/>
        <w:rPr>
          <w:rFonts w:hint="eastAsia" w:ascii="宋体" w:hAnsi="宋体" w:eastAsia="宋体" w:cs="Times New Roman"/>
          <w:b/>
          <w:bCs w:val="0"/>
          <w:sz w:val="24"/>
          <w:szCs w:val="22"/>
          <w:highlight w:val="none"/>
          <w:lang w:val="en-US" w:eastAsia="zh-CN" w:bidi="ar-SA"/>
        </w:rPr>
      </w:pPr>
      <w:r>
        <w:rPr>
          <w:rFonts w:hint="eastAsia" w:ascii="宋体" w:hAnsi="宋体" w:eastAsia="宋体" w:cs="Times New Roman"/>
          <w:b/>
          <w:bCs w:val="0"/>
          <w:sz w:val="24"/>
          <w:szCs w:val="22"/>
          <w:highlight w:val="none"/>
          <w:lang w:val="en-US" w:eastAsia="zh-CN" w:bidi="ar-SA"/>
        </w:rPr>
        <w:t>六、其他要求：</w:t>
      </w:r>
    </w:p>
    <w:p w14:paraId="1F03B9E2">
      <w:pPr>
        <w:widowControl w:val="0"/>
        <w:spacing w:line="360" w:lineRule="auto"/>
        <w:ind w:firstLine="480"/>
        <w:jc w:val="both"/>
        <w:rPr>
          <w:rFonts w:hint="eastAsia" w:ascii="宋体" w:hAnsi="宋体" w:eastAsia="宋体" w:cs="Times New Roman"/>
          <w:bCs/>
          <w:sz w:val="24"/>
          <w:szCs w:val="22"/>
          <w:highlight w:val="none"/>
          <w:lang w:val="en-US" w:eastAsia="zh-CN" w:bidi="ar-SA"/>
        </w:rPr>
      </w:pPr>
      <w:r>
        <w:rPr>
          <w:rFonts w:hint="eastAsia" w:ascii="宋体" w:hAnsi="宋体" w:eastAsia="宋体" w:cs="Times New Roman"/>
          <w:bCs/>
          <w:sz w:val="24"/>
          <w:szCs w:val="22"/>
          <w:highlight w:val="none"/>
          <w:lang w:val="en-US" w:eastAsia="zh-CN" w:bidi="ar-SA"/>
        </w:rPr>
        <w:t>1.供应商报价时需考虑完成本项目内容所涉及的人工费、材料费、机械费、税费、验收等相关的一切费用。</w:t>
      </w:r>
    </w:p>
    <w:p w14:paraId="1BD61422">
      <w:pPr>
        <w:widowControl w:val="0"/>
        <w:spacing w:line="360" w:lineRule="auto"/>
        <w:ind w:firstLine="480"/>
        <w:jc w:val="both"/>
        <w:rPr>
          <w:rFonts w:hint="eastAsia" w:ascii="宋体" w:hAnsi="宋体" w:eastAsia="宋体" w:cs="Times New Roman"/>
          <w:bCs/>
          <w:sz w:val="24"/>
          <w:szCs w:val="22"/>
          <w:highlight w:val="none"/>
          <w:lang w:val="en-US" w:eastAsia="zh-CN" w:bidi="ar-SA"/>
        </w:rPr>
      </w:pPr>
      <w:r>
        <w:rPr>
          <w:rFonts w:hint="eastAsia" w:ascii="宋体" w:hAnsi="宋体" w:eastAsia="宋体" w:cs="Times New Roman"/>
          <w:bCs/>
          <w:sz w:val="24"/>
          <w:szCs w:val="22"/>
          <w:highlight w:val="none"/>
          <w:lang w:val="en-US" w:eastAsia="zh-CN" w:bidi="ar-SA"/>
        </w:rPr>
        <w:t>2.供应商应根据本项目实际情况，合理配置人员，除项目经理外，安全员、质检员、施工员、预算员、材料员等人员应经验丰富，确保项目顺利实施。</w:t>
      </w:r>
    </w:p>
    <w:p w14:paraId="6DADA357">
      <w:pPr>
        <w:widowControl w:val="0"/>
        <w:spacing w:line="360" w:lineRule="auto"/>
        <w:ind w:firstLine="480"/>
        <w:jc w:val="both"/>
        <w:rPr>
          <w:rFonts w:hint="eastAsia" w:ascii="宋体" w:hAnsi="宋体" w:eastAsia="宋体" w:cs="Times New Roman"/>
          <w:bCs/>
          <w:sz w:val="24"/>
          <w:szCs w:val="22"/>
          <w:highlight w:val="none"/>
          <w:lang w:val="en-US" w:eastAsia="zh-CN" w:bidi="ar-SA"/>
        </w:rPr>
      </w:pPr>
      <w:r>
        <w:rPr>
          <w:rFonts w:hint="eastAsia" w:ascii="宋体" w:hAnsi="宋体" w:eastAsia="宋体" w:cs="Times New Roman"/>
          <w:bCs/>
          <w:sz w:val="24"/>
          <w:szCs w:val="22"/>
          <w:highlight w:val="none"/>
          <w:lang w:val="en-US" w:eastAsia="zh-CN" w:bidi="ar-SA"/>
        </w:rPr>
        <w:t>3.符合徐州市有关部门规定的标准化施工现场要求，同时应满足市政、市容等相关主管部门的有关规定。施工工地一律实行封闭施工、防尘网覆盖、定时洒水，控制扬尘污染等安全文明施工措施。供应商违反规定所造成的损失和处罚由供应商承担。交工后一周内彻底清洁完毕撤离现场。</w:t>
      </w:r>
    </w:p>
    <w:p w14:paraId="58A9D565">
      <w:pPr>
        <w:widowControl w:val="0"/>
        <w:spacing w:line="360" w:lineRule="auto"/>
        <w:ind w:firstLine="480"/>
        <w:jc w:val="both"/>
        <w:rPr>
          <w:rFonts w:hint="eastAsia" w:ascii="宋体" w:hAnsi="宋体" w:eastAsia="宋体" w:cs="Times New Roman"/>
          <w:bCs/>
          <w:sz w:val="24"/>
          <w:szCs w:val="22"/>
          <w:highlight w:val="none"/>
          <w:lang w:val="en-US" w:eastAsia="zh-CN" w:bidi="ar-SA"/>
        </w:rPr>
      </w:pPr>
      <w:r>
        <w:rPr>
          <w:rFonts w:hint="eastAsia" w:ascii="宋体" w:hAnsi="宋体" w:eastAsia="宋体" w:cs="Times New Roman"/>
          <w:bCs/>
          <w:sz w:val="24"/>
          <w:szCs w:val="22"/>
          <w:highlight w:val="none"/>
          <w:lang w:val="en-US" w:eastAsia="zh-CN" w:bidi="ar-SA"/>
        </w:rPr>
        <w:t>4.供应商对工程建设期间扬尘治理工作负主体责任。应制定施工现场扬尘污染防治专项方案，按照承包工程范围做好扬尘污染防治措施的落实。方案必须符合我市“徐空气提升办【2018】11号”和“徐城管发【2018】55号”关于扬尘管控的相关规定要求。</w:t>
      </w:r>
    </w:p>
    <w:p w14:paraId="2A2AF193">
      <w:pPr>
        <w:widowControl w:val="0"/>
        <w:spacing w:line="360" w:lineRule="auto"/>
        <w:ind w:firstLine="480"/>
        <w:jc w:val="both"/>
        <w:rPr>
          <w:rFonts w:hint="default" w:ascii="宋体" w:hAnsi="宋体" w:eastAsia="宋体" w:cs="Times New Roman"/>
          <w:bCs/>
          <w:sz w:val="24"/>
          <w:szCs w:val="22"/>
          <w:highlight w:val="none"/>
          <w:lang w:val="en-US" w:eastAsia="zh-CN" w:bidi="ar-SA"/>
        </w:rPr>
      </w:pPr>
      <w:r>
        <w:rPr>
          <w:rFonts w:hint="eastAsia" w:ascii="宋体" w:hAnsi="宋体" w:eastAsia="宋体" w:cs="Times New Roman"/>
          <w:bCs/>
          <w:sz w:val="24"/>
          <w:szCs w:val="22"/>
          <w:highlight w:val="none"/>
          <w:lang w:val="en-US" w:eastAsia="zh-CN" w:bidi="ar-SA"/>
        </w:rPr>
        <w:t>5.工程质量必须达到合同约定标准，且保证相关部门验收通过；未达到质量要求的，成交供应商负责无条件返工，直至达到要求，所发生的费用由成交供应商承担，成交供应商还应赔偿因此给采购人造成的损失</w:t>
      </w:r>
      <w:r>
        <w:rPr>
          <w:rFonts w:hint="default" w:ascii="宋体" w:hAnsi="宋体" w:eastAsia="宋体" w:cs="Times New Roman"/>
          <w:bCs/>
          <w:sz w:val="24"/>
          <w:szCs w:val="22"/>
          <w:highlight w:val="none"/>
          <w:lang w:val="en-US" w:eastAsia="zh-CN" w:bidi="ar-SA"/>
        </w:rPr>
        <w:t>；</w:t>
      </w:r>
    </w:p>
    <w:p w14:paraId="2D0B49A0">
      <w:pPr>
        <w:keepNext w:val="0"/>
        <w:keepLines w:val="0"/>
        <w:pageBreakBefore w:val="0"/>
        <w:widowControl w:val="0"/>
        <w:spacing w:after="60" w:line="360" w:lineRule="auto"/>
        <w:ind w:left="72" w:right="30"/>
        <w:jc w:val="both"/>
        <w:rPr>
          <w:rFonts w:hint="eastAsia" w:ascii="宋体" w:hAnsi="宋体" w:eastAsia="宋体" w:cs="宋体"/>
          <w:color w:val="000000"/>
          <w:sz w:val="24"/>
          <w:szCs w:val="24"/>
          <w:highlight w:val="none"/>
          <w:lang w:val="en-US" w:eastAsia="zh-CN" w:bidi="ar-SA"/>
        </w:rPr>
      </w:pPr>
      <w:r>
        <w:rPr>
          <w:rFonts w:hint="eastAsia" w:ascii="宋体" w:hAnsi="宋体" w:eastAsia="宋体" w:cs="宋体"/>
          <w:b/>
          <w:bCs/>
          <w:color w:val="000000"/>
          <w:sz w:val="24"/>
          <w:szCs w:val="24"/>
          <w:highlight w:val="none"/>
          <w:lang w:val="en-US" w:eastAsia="zh-CN" w:bidi="ar-SA"/>
        </w:rPr>
        <w:t>七、</w:t>
      </w:r>
      <w:r>
        <w:rPr>
          <w:rFonts w:hint="eastAsia" w:ascii="宋体" w:hAnsi="Times New Roman" w:eastAsia="宋体" w:cs="宋体"/>
          <w:b/>
          <w:bCs/>
          <w:color w:val="000000"/>
          <w:sz w:val="24"/>
          <w:szCs w:val="24"/>
          <w:highlight w:val="none"/>
          <w:lang w:val="en-US" w:eastAsia="zh-CN" w:bidi="ar-SA"/>
        </w:rPr>
        <w:t>质保期限：</w:t>
      </w:r>
      <w:r>
        <w:rPr>
          <w:rFonts w:hint="eastAsia" w:ascii="宋体" w:hAnsi="宋体" w:eastAsia="宋体" w:cs="宋体"/>
          <w:b/>
          <w:bCs/>
          <w:color w:val="000000"/>
          <w:sz w:val="24"/>
          <w:szCs w:val="24"/>
          <w:lang w:val="en-US" w:eastAsia="zh-CN" w:bidi="ar-SA"/>
        </w:rPr>
        <w:t>整体</w:t>
      </w:r>
      <w:r>
        <w:rPr>
          <w:rFonts w:hint="eastAsia" w:ascii="宋体" w:hAnsi="宋体" w:eastAsia="宋体" w:cs="宋体"/>
          <w:b/>
          <w:bCs/>
          <w:color w:val="000000"/>
          <w:sz w:val="24"/>
          <w:szCs w:val="24"/>
          <w:highlight w:val="none"/>
          <w:lang w:val="en-US" w:eastAsia="zh-CN" w:bidi="ar-SA"/>
        </w:rPr>
        <w:t>工程质保期不低于二年</w:t>
      </w:r>
      <w:r>
        <w:rPr>
          <w:rFonts w:hint="eastAsia" w:ascii="宋体" w:hAnsi="Times New Roman" w:eastAsia="宋体" w:cs="宋体"/>
          <w:b/>
          <w:bCs/>
          <w:color w:val="000000"/>
          <w:sz w:val="24"/>
          <w:szCs w:val="24"/>
          <w:highlight w:val="none"/>
          <w:lang w:val="en-US" w:eastAsia="zh-CN" w:bidi="ar-SA"/>
        </w:rPr>
        <w:t>（自工程竣工验收合格后起算）。</w:t>
      </w:r>
    </w:p>
    <w:p w14:paraId="675ED0D7">
      <w:pPr>
        <w:widowControl w:val="0"/>
        <w:spacing w:line="360" w:lineRule="auto"/>
        <w:ind w:firstLine="480"/>
        <w:jc w:val="both"/>
        <w:rPr>
          <w:rFonts w:hint="eastAsia" w:ascii="宋体" w:hAnsi="宋体" w:eastAsia="宋体" w:cs="Times New Roman"/>
          <w:bCs/>
          <w:sz w:val="24"/>
          <w:szCs w:val="22"/>
          <w:highlight w:val="none"/>
          <w:lang w:val="en-US" w:eastAsia="zh-CN" w:bidi="ar-SA"/>
        </w:rPr>
      </w:pPr>
      <w:r>
        <w:rPr>
          <w:rFonts w:hint="eastAsia" w:ascii="宋体" w:hAnsi="宋体" w:eastAsia="宋体" w:cs="Times New Roman"/>
          <w:bCs/>
          <w:sz w:val="24"/>
          <w:szCs w:val="22"/>
          <w:highlight w:val="none"/>
          <w:lang w:val="en-US" w:eastAsia="zh-CN" w:bidi="ar-SA"/>
        </w:rPr>
        <w:t>质保期内，如发生故障，采购人通知中标人售后服务人员时，相关服务人员要在24小时内到达现场配合采购人处理问题，进行更换或进行必要的维修。否则发包人有权另行委托其他单位或个人进行处理，相关费用直接在工程费用中扣除。质保期外，工程质量出现问题，中标人应主动提供维修方案，只收取材料费。供应商需根据本项目特征及自身情况编制施工方案。</w:t>
      </w:r>
    </w:p>
    <w:p w14:paraId="269DE868">
      <w:pPr>
        <w:spacing w:line="360" w:lineRule="auto"/>
        <w:rPr>
          <w:rFonts w:hint="eastAsia" w:ascii="宋体" w:hAnsi="宋体" w:eastAsia="宋体" w:cs="Times New Roman"/>
          <w:b/>
          <w:bCs w:val="0"/>
          <w:sz w:val="24"/>
          <w:szCs w:val="22"/>
          <w:highlight w:val="none"/>
          <w:lang w:val="en-US" w:eastAsia="zh-CN" w:bidi="ar-SA"/>
        </w:rPr>
      </w:pPr>
      <w:r>
        <w:rPr>
          <w:rFonts w:hint="eastAsia" w:ascii="宋体" w:hAnsi="宋体" w:eastAsia="宋体" w:cs="Times New Roman"/>
          <w:b/>
          <w:bCs w:val="0"/>
          <w:sz w:val="24"/>
          <w:szCs w:val="22"/>
          <w:highlight w:val="none"/>
          <w:lang w:val="en-US" w:eastAsia="zh-CN" w:bidi="ar-SA"/>
        </w:rPr>
        <w:t>八、其他要求：见《合同草案条款》、《工程量清单》。</w:t>
      </w:r>
    </w:p>
    <w:p w14:paraId="5DBF10EA">
      <w:pPr>
        <w:rPr>
          <w:rFonts w:hint="eastAsia" w:ascii="宋体" w:hAnsi="宋体" w:eastAsia="宋体" w:cs="Times New Roman"/>
          <w:b/>
          <w:bCs w:val="0"/>
          <w:sz w:val="24"/>
          <w:szCs w:val="22"/>
          <w:highlight w:val="none"/>
          <w:lang w:val="en-US" w:eastAsia="zh-CN" w:bidi="ar-SA"/>
        </w:rPr>
      </w:pPr>
      <w:r>
        <w:rPr>
          <w:rFonts w:hint="eastAsia" w:ascii="宋体" w:hAnsi="宋体" w:eastAsia="宋体" w:cs="Times New Roman"/>
          <w:b/>
          <w:bCs w:val="0"/>
          <w:sz w:val="24"/>
          <w:szCs w:val="22"/>
          <w:highlight w:val="none"/>
          <w:lang w:val="en-US" w:eastAsia="zh-CN" w:bidi="ar-SA"/>
        </w:rPr>
        <w:br w:type="page"/>
      </w:r>
    </w:p>
    <w:p w14:paraId="19FFEB7C">
      <w:pPr>
        <w:spacing w:line="360" w:lineRule="auto"/>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资格条件（1～6项必须提供，否则响应无效）</w:t>
      </w:r>
    </w:p>
    <w:p w14:paraId="31E28333">
      <w:pPr>
        <w:widowControl w:val="0"/>
        <w:spacing w:after="0" w:line="360" w:lineRule="auto"/>
        <w:ind w:left="0" w:firstLine="482"/>
        <w:jc w:val="both"/>
        <w:rPr>
          <w:rFonts w:hint="eastAsia" w:ascii="宋体" w:hAnsi="宋体" w:eastAsia="宋体" w:cs="宋体"/>
          <w:b/>
          <w:bCs/>
          <w:color w:val="auto"/>
          <w:sz w:val="24"/>
          <w:szCs w:val="24"/>
          <w:highlight w:val="none"/>
          <w:lang w:val="en-US" w:eastAsia="zh-CN" w:bidi="ar-SA"/>
        </w:rPr>
      </w:pPr>
      <w:r>
        <w:rPr>
          <w:rFonts w:hint="eastAsia" w:ascii="宋体" w:hAnsi="宋体" w:eastAsia="宋体" w:cs="宋体"/>
          <w:b/>
          <w:bCs/>
          <w:color w:val="auto"/>
          <w:sz w:val="24"/>
          <w:szCs w:val="24"/>
          <w:highlight w:val="none"/>
          <w:lang w:val="en-US" w:eastAsia="zh-CN" w:bidi="ar-SA"/>
        </w:rPr>
        <w:t>（1）具有独立承担民事责任的能力，提供合法有效的法人的营业执照（或事业单位法人证书）或其他组织应提供合法证明文件（加盖电子签章）；</w:t>
      </w:r>
    </w:p>
    <w:p w14:paraId="13625826">
      <w:pPr>
        <w:widowControl w:val="0"/>
        <w:spacing w:after="0" w:line="360" w:lineRule="auto"/>
        <w:ind w:left="0" w:firstLine="482"/>
        <w:jc w:val="both"/>
        <w:rPr>
          <w:rFonts w:hint="eastAsia" w:ascii="宋体" w:hAnsi="宋体" w:eastAsia="宋体" w:cs="宋体"/>
          <w:b/>
          <w:bCs/>
          <w:color w:val="auto"/>
          <w:sz w:val="24"/>
          <w:szCs w:val="24"/>
          <w:highlight w:val="none"/>
          <w:lang w:val="en-US" w:eastAsia="zh-CN" w:bidi="ar-SA"/>
        </w:rPr>
      </w:pPr>
      <w:r>
        <w:rPr>
          <w:rFonts w:hint="eastAsia" w:ascii="宋体" w:hAnsi="宋体" w:eastAsia="宋体" w:cs="宋体"/>
          <w:b/>
          <w:bCs/>
          <w:color w:val="auto"/>
          <w:sz w:val="24"/>
          <w:szCs w:val="24"/>
          <w:highlight w:val="none"/>
          <w:lang w:val="en-US" w:eastAsia="zh-CN" w:bidi="ar-SA"/>
        </w:rPr>
        <w:t>（2）供应商的“首次响应文件提交的截止时间”前6个月内任何1月（不含“首次响应文件提交的截止时间”当月）的资产负债表的扫描件1份；供应商的“首次响应文件提交的截止时间”前6个月内任何1月（不含“首次响应文件提交的截止时间”当月）的利润表月报表的扫描件1份。或提供2024年度财务报告（应包括审计报告正文、资产负债表、现金流量表、利润表）；</w:t>
      </w:r>
    </w:p>
    <w:p w14:paraId="0035D91E">
      <w:pPr>
        <w:widowControl w:val="0"/>
        <w:spacing w:after="0" w:line="360" w:lineRule="auto"/>
        <w:ind w:left="0" w:firstLine="482"/>
        <w:jc w:val="both"/>
        <w:rPr>
          <w:rFonts w:hint="eastAsia" w:ascii="宋体" w:hAnsi="宋体" w:eastAsia="宋体" w:cs="宋体"/>
          <w:b/>
          <w:bCs/>
          <w:color w:val="auto"/>
          <w:sz w:val="24"/>
          <w:szCs w:val="24"/>
          <w:highlight w:val="none"/>
          <w:lang w:val="en-US" w:eastAsia="zh-CN" w:bidi="ar-SA"/>
        </w:rPr>
      </w:pPr>
      <w:r>
        <w:rPr>
          <w:rFonts w:hint="eastAsia" w:ascii="宋体" w:hAnsi="宋体" w:eastAsia="宋体" w:cs="宋体"/>
          <w:b/>
          <w:bCs/>
          <w:color w:val="auto"/>
          <w:sz w:val="24"/>
          <w:szCs w:val="24"/>
          <w:highlight w:val="none"/>
          <w:lang w:val="en-US" w:eastAsia="zh-CN" w:bidi="ar-SA"/>
        </w:rPr>
        <w:t>（3）投标人的本项目开标时间前6个月内（不含开标当月）的依法缴纳税收和社会保障资金的相关材料扫描件（依法免税或不需要缴纳社会保障资金的供应商,提供相应文件证明其依法免税或不需要缴纳社会保障资金)。</w:t>
      </w:r>
    </w:p>
    <w:p w14:paraId="4F20C2DC">
      <w:pPr>
        <w:widowControl w:val="0"/>
        <w:spacing w:after="0" w:line="360" w:lineRule="auto"/>
        <w:ind w:left="0" w:firstLine="482"/>
        <w:jc w:val="both"/>
        <w:rPr>
          <w:rFonts w:hint="eastAsia" w:ascii="宋体" w:hAnsi="宋体" w:eastAsia="宋体" w:cs="宋体"/>
          <w:b/>
          <w:bCs/>
          <w:color w:val="auto"/>
          <w:sz w:val="24"/>
          <w:szCs w:val="24"/>
          <w:highlight w:val="none"/>
          <w:lang w:val="en-US" w:eastAsia="zh-CN" w:bidi="ar-SA"/>
        </w:rPr>
      </w:pPr>
      <w:r>
        <w:rPr>
          <w:rFonts w:hint="eastAsia" w:ascii="宋体" w:hAnsi="宋体" w:eastAsia="宋体" w:cs="宋体"/>
          <w:b/>
          <w:bCs/>
          <w:color w:val="auto"/>
          <w:sz w:val="24"/>
          <w:szCs w:val="24"/>
          <w:highlight w:val="none"/>
          <w:lang w:val="en-US" w:eastAsia="zh-CN" w:bidi="ar-SA"/>
        </w:rPr>
        <w:t>（4）具备履行合同所必需的设备和专业技术能力的证明材料。响应文件中提供《具备履行合同所必需的设备和专业技术能力的书面声明》（加盖电子签章，格式见《磋商文件》附件）。</w:t>
      </w:r>
    </w:p>
    <w:p w14:paraId="4C0D3A64">
      <w:pPr>
        <w:widowControl w:val="0"/>
        <w:spacing w:after="0" w:line="360" w:lineRule="auto"/>
        <w:ind w:left="0" w:firstLine="482"/>
        <w:jc w:val="both"/>
        <w:rPr>
          <w:rFonts w:hint="eastAsia" w:ascii="宋体" w:hAnsi="宋体" w:eastAsia="宋体" w:cs="宋体"/>
          <w:b/>
          <w:bCs/>
          <w:color w:val="auto"/>
          <w:sz w:val="24"/>
          <w:szCs w:val="24"/>
          <w:highlight w:val="none"/>
          <w:lang w:val="en-US" w:eastAsia="zh-CN" w:bidi="ar-SA"/>
        </w:rPr>
      </w:pPr>
      <w:r>
        <w:rPr>
          <w:rFonts w:hint="eastAsia" w:ascii="宋体" w:hAnsi="宋体" w:eastAsia="宋体" w:cs="宋体"/>
          <w:b/>
          <w:bCs/>
          <w:color w:val="auto"/>
          <w:sz w:val="24"/>
          <w:szCs w:val="24"/>
          <w:highlight w:val="none"/>
          <w:lang w:val="en-US" w:eastAsia="zh-CN" w:bidi="ar-SA"/>
        </w:rPr>
        <w:t>（5）供应商参加政府采购活动前3年内在经营活动中没有重大违法记录的书面声明(格式见《磋商文件》附件)。</w:t>
      </w:r>
    </w:p>
    <w:p w14:paraId="5C46FF1D">
      <w:pPr>
        <w:spacing w:line="360" w:lineRule="auto"/>
        <w:ind w:right="-334" w:firstLine="482"/>
        <w:rPr>
          <w:rFonts w:hint="eastAsia" w:ascii="宋体" w:hAnsi="宋体" w:eastAsia="宋体" w:cs="宋体"/>
          <w:b/>
          <w:bCs/>
          <w:color w:val="auto"/>
          <w:kern w:val="0"/>
          <w:sz w:val="24"/>
          <w:szCs w:val="24"/>
          <w:highlight w:val="none"/>
          <w:lang w:val="en-US" w:eastAsia="zh-CN" w:bidi="ar-SA"/>
        </w:rPr>
      </w:pPr>
      <w:bookmarkStart w:id="0" w:name="OLE_LINK4"/>
      <w:r>
        <w:rPr>
          <w:rFonts w:hint="eastAsia" w:ascii="宋体" w:hAnsi="宋体" w:eastAsia="宋体" w:cs="宋体"/>
          <w:b/>
          <w:bCs/>
          <w:color w:val="auto"/>
          <w:kern w:val="0"/>
          <w:sz w:val="24"/>
          <w:szCs w:val="24"/>
          <w:highlight w:val="none"/>
          <w:lang w:val="en-US" w:eastAsia="zh-CN" w:bidi="ar-SA"/>
        </w:rPr>
        <w:t>（6）本项目特定资格条件：</w:t>
      </w:r>
    </w:p>
    <w:bookmarkEnd w:id="0"/>
    <w:p w14:paraId="7F946F9C">
      <w:pPr>
        <w:widowControl/>
        <w:adjustRightInd w:val="0"/>
        <w:snapToGrid w:val="0"/>
        <w:spacing w:line="360" w:lineRule="auto"/>
        <w:ind w:right="26" w:firstLine="482" w:firstLineChars="200"/>
        <w:jc w:val="left"/>
        <w:rPr>
          <w:rFonts w:hint="eastAsia" w:ascii="宋体" w:hAnsi="宋体" w:eastAsia="宋体" w:cs="宋体"/>
          <w:b/>
          <w:bCs/>
          <w:kern w:val="2"/>
          <w:sz w:val="24"/>
          <w:highlight w:val="none"/>
        </w:rPr>
      </w:pPr>
      <w:r>
        <w:rPr>
          <w:rFonts w:hint="eastAsia" w:ascii="宋体" w:hAnsi="宋体" w:eastAsia="宋体" w:cs="宋体"/>
          <w:b/>
          <w:bCs/>
          <w:kern w:val="2"/>
          <w:sz w:val="24"/>
          <w:highlight w:val="none"/>
        </w:rPr>
        <w:t>供应商资质类别和等级：</w:t>
      </w:r>
      <w:r>
        <w:rPr>
          <w:rFonts w:hint="eastAsia" w:ascii="宋体" w:hAnsi="宋体" w:eastAsia="宋体" w:cs="宋体"/>
          <w:b/>
          <w:bCs/>
          <w:kern w:val="2"/>
          <w:sz w:val="24"/>
          <w:highlight w:val="none"/>
          <w:lang w:eastAsia="zh-CN"/>
        </w:rPr>
        <w:t>具备建筑工程施工总承包叁级（含）及以上资质及有效的安全生产许可证；</w:t>
      </w:r>
      <w:r>
        <w:rPr>
          <w:rFonts w:hint="eastAsia" w:ascii="宋体" w:hAnsi="宋体" w:eastAsia="宋体" w:cs="宋体"/>
          <w:b/>
          <w:bCs/>
          <w:kern w:val="2"/>
          <w:sz w:val="24"/>
          <w:highlight w:val="none"/>
        </w:rPr>
        <w:t>(含)及以上资质，并具备合格有效的安全生产许可证;</w:t>
      </w:r>
    </w:p>
    <w:p w14:paraId="74DACAAC">
      <w:pPr>
        <w:widowControl/>
        <w:adjustRightInd w:val="0"/>
        <w:snapToGrid w:val="0"/>
        <w:spacing w:line="360" w:lineRule="auto"/>
        <w:ind w:right="26" w:firstLine="482" w:firstLineChars="200"/>
        <w:jc w:val="left"/>
        <w:rPr>
          <w:rFonts w:hint="eastAsia" w:ascii="宋体" w:hAnsi="宋体" w:eastAsia="宋体" w:cs="宋体"/>
          <w:b/>
          <w:bCs/>
          <w:kern w:val="2"/>
          <w:sz w:val="24"/>
          <w:highlight w:val="none"/>
        </w:rPr>
      </w:pPr>
      <w:r>
        <w:rPr>
          <w:rFonts w:hint="eastAsia" w:ascii="宋体" w:hAnsi="宋体" w:eastAsia="宋体" w:cs="宋体"/>
          <w:b/>
          <w:bCs/>
          <w:kern w:val="2"/>
          <w:sz w:val="24"/>
          <w:highlight w:val="none"/>
        </w:rPr>
        <w:t>项目负责人应为本单位注册的，具有市政公用工程专业二级(及以上)注册建造师证及安全生产考核合格证书(B证);</w:t>
      </w:r>
    </w:p>
    <w:p w14:paraId="752F9CF5">
      <w:pPr>
        <w:widowControl/>
        <w:adjustRightInd w:val="0"/>
        <w:snapToGrid w:val="0"/>
        <w:spacing w:line="360" w:lineRule="auto"/>
        <w:ind w:right="26" w:firstLine="482" w:firstLineChars="200"/>
        <w:jc w:val="left"/>
        <w:rPr>
          <w:rFonts w:hint="eastAsia" w:ascii="宋体" w:hAnsi="宋体" w:eastAsia="宋体" w:cs="宋体"/>
          <w:b/>
          <w:bCs/>
          <w:kern w:val="2"/>
          <w:sz w:val="24"/>
          <w:highlight w:val="none"/>
        </w:rPr>
      </w:pPr>
      <w:r>
        <w:rPr>
          <w:rFonts w:hint="eastAsia" w:ascii="宋体" w:hAnsi="宋体" w:eastAsia="宋体" w:cs="宋体"/>
          <w:b/>
          <w:bCs/>
          <w:kern w:val="2"/>
          <w:sz w:val="24"/>
          <w:highlight w:val="none"/>
        </w:rPr>
        <w:t>项目负责人在本单位签订</w:t>
      </w:r>
      <w:r>
        <w:rPr>
          <w:rFonts w:hint="eastAsia" w:ascii="宋体" w:hAnsi="宋体" w:eastAsia="宋体" w:cs="宋体"/>
          <w:b/>
          <w:bCs/>
          <w:kern w:val="2"/>
          <w:sz w:val="24"/>
          <w:highlight w:val="none"/>
          <w:lang w:val="en-US" w:eastAsia="zh-CN"/>
        </w:rPr>
        <w:t>的</w:t>
      </w:r>
      <w:r>
        <w:rPr>
          <w:rFonts w:hint="eastAsia" w:ascii="宋体" w:hAnsi="宋体" w:eastAsia="宋体" w:cs="宋体"/>
          <w:b/>
          <w:bCs/>
          <w:kern w:val="2"/>
          <w:sz w:val="24"/>
          <w:highlight w:val="none"/>
        </w:rPr>
        <w:t>劳动合同和</w:t>
      </w:r>
      <w:r>
        <w:rPr>
          <w:rFonts w:hint="eastAsia" w:ascii="宋体" w:hAnsi="宋体" w:eastAsia="宋体" w:cs="宋体"/>
          <w:b/>
          <w:bCs/>
          <w:kern w:val="2"/>
          <w:sz w:val="24"/>
          <w:highlight w:val="none"/>
          <w:lang w:eastAsia="zh-CN"/>
        </w:rPr>
        <w:t>提交</w:t>
      </w:r>
      <w:r>
        <w:rPr>
          <w:rFonts w:hint="eastAsia" w:ascii="宋体" w:hAnsi="宋体" w:eastAsia="宋体" w:cs="宋体"/>
          <w:b/>
          <w:bCs/>
          <w:kern w:val="2"/>
          <w:sz w:val="24"/>
          <w:highlight w:val="none"/>
          <w:lang w:val="en-US" w:eastAsia="zh-CN"/>
        </w:rPr>
        <w:t>首次响应文件时间前6个月（不含开标当月）为其缴纳社会保险的证明。（必须提供）。</w:t>
      </w:r>
    </w:p>
    <w:p w14:paraId="4E1AAC5E">
      <w:pPr>
        <w:spacing w:line="360" w:lineRule="auto"/>
        <w:ind w:right="-334" w:firstLine="482"/>
        <w:rPr>
          <w:rFonts w:hint="default" w:ascii="宋体" w:hAnsi="宋体" w:eastAsia="宋体" w:cs="宋体"/>
          <w:b/>
          <w:color w:val="auto"/>
          <w:kern w:val="0"/>
          <w:sz w:val="24"/>
          <w:highlight w:val="none"/>
        </w:rPr>
      </w:pPr>
      <w:r>
        <w:rPr>
          <w:rFonts w:hint="eastAsia" w:ascii="宋体" w:hAnsi="宋体" w:eastAsia="宋体" w:cs="宋体"/>
          <w:b/>
          <w:color w:val="auto"/>
          <w:kern w:val="0"/>
          <w:sz w:val="24"/>
          <w:highlight w:val="none"/>
          <w:lang w:eastAsia="zh-CN"/>
        </w:rPr>
        <w:t>（</w:t>
      </w:r>
      <w:r>
        <w:rPr>
          <w:rFonts w:hint="eastAsia" w:ascii="宋体" w:hAnsi="宋体" w:eastAsia="宋体" w:cs="宋体"/>
          <w:b/>
          <w:color w:val="auto"/>
          <w:kern w:val="0"/>
          <w:sz w:val="24"/>
          <w:highlight w:val="none"/>
          <w:lang w:val="en-US" w:eastAsia="zh-CN"/>
        </w:rPr>
        <w:t>7</w:t>
      </w:r>
      <w:r>
        <w:rPr>
          <w:rFonts w:hint="eastAsia" w:ascii="宋体" w:hAnsi="宋体" w:eastAsia="宋体" w:cs="宋体"/>
          <w:b/>
          <w:color w:val="auto"/>
          <w:kern w:val="0"/>
          <w:sz w:val="24"/>
          <w:highlight w:val="none"/>
          <w:lang w:eastAsia="zh-CN"/>
        </w:rPr>
        <w:t>）</w:t>
      </w:r>
      <w:r>
        <w:rPr>
          <w:rFonts w:hint="eastAsia" w:ascii="宋体" w:hAnsi="宋体" w:eastAsia="宋体" w:cs="宋体"/>
          <w:b/>
          <w:color w:val="auto"/>
          <w:kern w:val="0"/>
          <w:sz w:val="24"/>
          <w:highlight w:val="none"/>
        </w:rPr>
        <w:t>本项目属于专门面向中小微企业采购的项目，供应商应为中小微企业（含中型、小型、微型企业，下同），响应文件中提供《中小企业声明函》（加盖电子签章，必须提供，填写完整，格式见《磋商文件》附件，如不填写完整或未按要求填写的，视为无效）。《中小企业声明函》查询渠道用微信搜索“中小企业规模类型自测小程序”。</w:t>
      </w:r>
    </w:p>
    <w:p w14:paraId="2F88D785">
      <w:pPr>
        <w:spacing w:line="360" w:lineRule="auto"/>
        <w:ind w:right="-334"/>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注：中小微企业，应当同时符合以下条件：</w:t>
      </w:r>
    </w:p>
    <w:p w14:paraId="4ECDF9FC">
      <w:pPr>
        <w:spacing w:line="360" w:lineRule="auto"/>
        <w:ind w:right="-334" w:firstLine="360"/>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中小企业需满足的条件具体以《政府采购促进中小企业发展管理办法》（财库﹝2020﹞46 号）和《工业和信息化部、国家统计局、国家发展和改革委员会、财政部关于印发中小企业划型标准规定的通知》（工信部联企业[2011]300号）的规定为准。</w:t>
      </w:r>
    </w:p>
    <w:p w14:paraId="3EEF04CE">
      <w:pPr>
        <w:spacing w:line="360" w:lineRule="auto"/>
        <w:ind w:right="-334" w:firstLine="360"/>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供应商为残疾人福利性单位的，视同小微企业，提供《残疾人福利性单位声明函》（电子签章，格式见附件》）。具体以《关于促进残疾人就业政府采购政策的通知》（财库〔2017〕141号）的规定为准。</w:t>
      </w:r>
    </w:p>
    <w:p w14:paraId="5FF56C6B">
      <w:pPr>
        <w:spacing w:line="360" w:lineRule="auto"/>
        <w:ind w:right="-334" w:firstLine="360"/>
        <w:rPr>
          <w:rFonts w:ascii="宋体" w:hAnsi="宋体" w:cs="宋体"/>
          <w:b/>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供应商为监狱企业的，视同小微企业，提供省级以上监狱管理局、戒毒管理局（含新疆生产建设兵团）出具的属于监狱企业的证明文件扫描件。具体以《财政部 司法部关于政府采购支持监狱企业发展有关问题的通知》（财库〔2014〕68号）的规定为准。</w:t>
      </w:r>
    </w:p>
    <w:p w14:paraId="45076C50">
      <w:pPr>
        <w:rPr>
          <w:color w:val="000000" w:themeColor="text1"/>
          <w:highlight w:val="none"/>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60101010101"/>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E306ED"/>
    <w:multiLevelType w:val="multilevel"/>
    <w:tmpl w:val="B5E306ED"/>
    <w:lvl w:ilvl="0" w:tentative="0">
      <w:start w:val="1"/>
      <w:numFmt w:val="chineseCounting"/>
      <w:suff w:val="nothing"/>
      <w:lvlText w:val="（%1）"/>
      <w:lvlJc w:val="left"/>
      <w:rPr>
        <w:rFonts w:hint="eastAsia"/>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Q3NTVlMzBjNWNkZWM0ZjI4YTk4YmFiZTc5NjQzMjcifQ=="/>
  </w:docVars>
  <w:rsids>
    <w:rsidRoot w:val="04F9574B"/>
    <w:rsid w:val="02B1218C"/>
    <w:rsid w:val="04F9574B"/>
    <w:rsid w:val="0E0C675E"/>
    <w:rsid w:val="0ED53B9B"/>
    <w:rsid w:val="10047D52"/>
    <w:rsid w:val="103F05CD"/>
    <w:rsid w:val="105243C6"/>
    <w:rsid w:val="119B29BC"/>
    <w:rsid w:val="153926C6"/>
    <w:rsid w:val="170E10EF"/>
    <w:rsid w:val="1BA112D5"/>
    <w:rsid w:val="1FBE6A14"/>
    <w:rsid w:val="23966D86"/>
    <w:rsid w:val="2B3E5A31"/>
    <w:rsid w:val="2E5B02E2"/>
    <w:rsid w:val="302B485F"/>
    <w:rsid w:val="31A537B3"/>
    <w:rsid w:val="34967489"/>
    <w:rsid w:val="35A672D6"/>
    <w:rsid w:val="3E391E12"/>
    <w:rsid w:val="408D0DFA"/>
    <w:rsid w:val="40DE6362"/>
    <w:rsid w:val="4344638B"/>
    <w:rsid w:val="44DF4BB3"/>
    <w:rsid w:val="45C53DA9"/>
    <w:rsid w:val="45DE6139"/>
    <w:rsid w:val="46F34B8E"/>
    <w:rsid w:val="47A6430C"/>
    <w:rsid w:val="480C5DB6"/>
    <w:rsid w:val="48AF5722"/>
    <w:rsid w:val="4B4F6924"/>
    <w:rsid w:val="4BD16F06"/>
    <w:rsid w:val="4E30647F"/>
    <w:rsid w:val="4E345F70"/>
    <w:rsid w:val="594A0CAC"/>
    <w:rsid w:val="5C12517C"/>
    <w:rsid w:val="5D282A51"/>
    <w:rsid w:val="61325599"/>
    <w:rsid w:val="674F0F98"/>
    <w:rsid w:val="73367407"/>
    <w:rsid w:val="756465AF"/>
    <w:rsid w:val="7A5A656A"/>
    <w:rsid w:val="7C0E2F2D"/>
    <w:rsid w:val="7C6929D9"/>
    <w:rsid w:val="7CA045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qFormat/>
    <w:uiPriority w:val="0"/>
    <w:pPr>
      <w:widowControl w:val="0"/>
      <w:tabs>
        <w:tab w:val="left" w:pos="180"/>
      </w:tabs>
      <w:spacing w:line="520" w:lineRule="exact"/>
      <w:jc w:val="both"/>
    </w:pPr>
    <w:rPr>
      <w:rFonts w:hint="default" w:ascii="Calibri" w:hAnsi="Calibri" w:eastAsia="宋体" w:cs="Times New Roman"/>
      <w:sz w:val="28"/>
      <w:szCs w:val="24"/>
      <w:lang w:val="en-US" w:eastAsia="zh-CN" w:bidi="ar-SA"/>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paragraph" w:styleId="4">
    <w:name w:val="Title"/>
    <w:qFormat/>
    <w:uiPriority w:val="10"/>
    <w:pPr>
      <w:widowControl w:val="0"/>
      <w:spacing w:before="300" w:after="200"/>
      <w:contextualSpacing/>
      <w:jc w:val="both"/>
    </w:pPr>
    <w:rPr>
      <w:rFonts w:hint="default" w:ascii="Calibri" w:hAnsi="Calibri" w:eastAsia="宋体" w:cs="Times New Roman"/>
      <w:sz w:val="48"/>
      <w:szCs w:val="48"/>
      <w:lang w:val="en-US" w:eastAsia="zh-CN" w:bidi="ar-SA"/>
    </w:rPr>
  </w:style>
  <w:style w:type="paragraph" w:customStyle="1" w:styleId="7">
    <w:name w:val="普通(网站)1"/>
    <w:basedOn w:val="1"/>
    <w:qFormat/>
    <w:uiPriority w:val="99"/>
    <w:pPr>
      <w:widowControl/>
      <w:spacing w:before="100" w:beforeAutospacing="1" w:after="100" w:afterAutospacing="1"/>
      <w:jc w:val="left"/>
    </w:pPr>
    <w:rPr>
      <w:rFonts w:ascii="宋体" w:hAnsi="宋体" w:cs="宋体"/>
      <w:sz w:val="24"/>
    </w:rPr>
  </w:style>
  <w:style w:type="paragraph" w:customStyle="1" w:styleId="8">
    <w:name w:val="正文文本11"/>
    <w:basedOn w:val="1"/>
    <w:next w:val="1"/>
    <w:qFormat/>
    <w:uiPriority w:val="0"/>
    <w:pPr>
      <w:spacing w:after="120"/>
    </w:pPr>
  </w:style>
  <w:style w:type="paragraph" w:customStyle="1" w:styleId="9">
    <w:name w:val="正文文本缩进1"/>
    <w:basedOn w:val="10"/>
    <w:next w:val="18"/>
    <w:qFormat/>
    <w:uiPriority w:val="0"/>
    <w:pPr>
      <w:spacing w:after="120"/>
      <w:ind w:left="420"/>
    </w:pPr>
  </w:style>
  <w:style w:type="paragraph" w:customStyle="1" w:styleId="10">
    <w:name w:val="正文1"/>
    <w:basedOn w:val="11"/>
    <w:next w:val="12"/>
    <w:qFormat/>
    <w:uiPriority w:val="0"/>
    <w:pPr>
      <w:widowControl w:val="0"/>
      <w:jc w:val="both"/>
    </w:pPr>
    <w:rPr>
      <w:rFonts w:hint="default" w:ascii="Calibri" w:hAnsi="Calibri" w:eastAsia="宋体" w:cs="Times New Roman"/>
      <w:sz w:val="21"/>
      <w:szCs w:val="24"/>
      <w:lang w:val="en-US" w:eastAsia="zh-CN" w:bidi="ar-SA"/>
    </w:rPr>
  </w:style>
  <w:style w:type="paragraph" w:customStyle="1" w:styleId="11">
    <w:name w:val="正文111"/>
    <w:next w:val="1"/>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12">
    <w:name w:val="脚注文本1"/>
    <w:basedOn w:val="10"/>
    <w:next w:val="13"/>
    <w:qFormat/>
    <w:uiPriority w:val="0"/>
    <w:pPr>
      <w:spacing w:line="360" w:lineRule="atLeast"/>
      <w:jc w:val="left"/>
    </w:pPr>
    <w:rPr>
      <w:rFonts w:ascii="宋体" w:eastAsia="Times New Roman"/>
      <w:sz w:val="18"/>
      <w:szCs w:val="18"/>
    </w:rPr>
  </w:style>
  <w:style w:type="paragraph" w:customStyle="1" w:styleId="13">
    <w:name w:val="索引 51"/>
    <w:basedOn w:val="10"/>
    <w:next w:val="14"/>
    <w:qFormat/>
    <w:uiPriority w:val="0"/>
    <w:pPr>
      <w:spacing w:line="360" w:lineRule="atLeast"/>
      <w:ind w:left="798"/>
      <w:jc w:val="left"/>
    </w:pPr>
    <w:rPr>
      <w:sz w:val="24"/>
      <w:szCs w:val="20"/>
    </w:rPr>
  </w:style>
  <w:style w:type="paragraph" w:customStyle="1" w:styleId="14">
    <w:name w:val="正文11"/>
    <w:next w:val="15"/>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15">
    <w:name w:val="正文文本1"/>
    <w:basedOn w:val="16"/>
    <w:next w:val="14"/>
    <w:qFormat/>
    <w:uiPriority w:val="0"/>
    <w:pPr>
      <w:widowControl w:val="0"/>
      <w:spacing w:after="120"/>
      <w:jc w:val="both"/>
    </w:pPr>
    <w:rPr>
      <w:rFonts w:ascii="Calibri" w:hAnsi="Calibri"/>
      <w:sz w:val="21"/>
      <w:szCs w:val="24"/>
    </w:rPr>
  </w:style>
  <w:style w:type="paragraph" w:customStyle="1" w:styleId="16">
    <w:name w:val="正文12"/>
    <w:next w:val="17"/>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17">
    <w:name w:val="目录 111"/>
    <w:basedOn w:val="11"/>
    <w:next w:val="16"/>
    <w:qFormat/>
    <w:uiPriority w:val="0"/>
    <w:pPr>
      <w:tabs>
        <w:tab w:val="right" w:leader="dot" w:pos="8296"/>
      </w:tabs>
      <w:spacing w:before="120" w:after="120" w:line="360" w:lineRule="auto"/>
      <w:ind w:firstLine="0"/>
      <w:jc w:val="left"/>
    </w:pPr>
  </w:style>
  <w:style w:type="paragraph" w:customStyle="1" w:styleId="18">
    <w:name w:val="寄信人地址1"/>
    <w:basedOn w:val="1"/>
    <w:qFormat/>
    <w:uiPriority w:val="0"/>
    <w:rPr>
      <w:rFonts w:ascii="Arial" w:hAnsi="Arial"/>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5586</Words>
  <Characters>5854</Characters>
  <Lines>0</Lines>
  <Paragraphs>0</Paragraphs>
  <TotalTime>1</TotalTime>
  <ScaleCrop>false</ScaleCrop>
  <LinksUpToDate>false</LinksUpToDate>
  <CharactersWithSpaces>5882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2024-11-04T08:44:00Z</dcterms:created>
  <dc:creator>pc</dc:creator>
  <cp:lastModifiedBy>马静</cp:lastModifiedBy>
  <dcterms:modified xsi:type="dcterms:W3CDTF">2025-10-11T10:03:21Z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99D273CEEC314488AAA76F73E4233A43_13</vt:lpwstr>
  </property>
  <property fmtid="{D5CDD505-2E9C-101B-9397-08002B2CF9AE}" pid="4" name="KSOTemplateDocerSaveRecord">
    <vt:lpwstr>eyJoZGlkIjoiZTk2NzNhNTk0YTljZmE5ZTUzMGE0YWMxYmE3YjQ1YzgiLCJ1c2VySWQiOiIzMDIzMjYxNzAifQ==</vt:lpwstr>
  </property>
</Properties>
</file>