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4017A">
      <w:pPr>
        <w:pStyle w:val="3"/>
        <w:keepNext w:val="0"/>
        <w:keepLines w:val="0"/>
        <w:widowControl/>
        <w:suppressLineNumbers w:val="0"/>
        <w:spacing w:before="0" w:beforeAutospacing="1" w:after="0" w:afterAutospacing="1" w:line="27" w:lineRule="atLeast"/>
        <w:ind w:left="0" w:right="0"/>
        <w:rPr>
          <w:color w:val="000000" w:themeColor="text1"/>
          <w:highlight w:val="none"/>
          <w14:textFill>
            <w14:solidFill>
              <w14:schemeClr w14:val="tx1"/>
            </w14:solidFill>
          </w14:textFill>
        </w:rPr>
      </w:pPr>
      <w:r>
        <w:rPr>
          <w:color w:val="000000" w:themeColor="text1"/>
          <w:sz w:val="28"/>
          <w:szCs w:val="28"/>
          <w:highlight w:val="none"/>
          <w14:textFill>
            <w14:solidFill>
              <w14:schemeClr w14:val="tx1"/>
            </w14:solidFill>
          </w14:textFill>
        </w:rPr>
        <w:t>附件：</w:t>
      </w:r>
      <w:r>
        <w:rPr>
          <w:color w:val="000000" w:themeColor="text1"/>
          <w:highlight w:val="none"/>
          <w14:textFill>
            <w14:solidFill>
              <w14:schemeClr w14:val="tx1"/>
            </w14:solidFill>
          </w14:textFill>
        </w:rPr>
        <w:t xml:space="preserve"> </w:t>
      </w:r>
    </w:p>
    <w:p w14:paraId="4C8B375C">
      <w:pPr>
        <w:pStyle w:val="3"/>
        <w:keepNext w:val="0"/>
        <w:keepLines w:val="0"/>
        <w:widowControl/>
        <w:suppressLineNumbers w:val="0"/>
        <w:spacing w:before="0" w:beforeAutospacing="1" w:after="0" w:afterAutospacing="1" w:line="27" w:lineRule="atLeast"/>
        <w:ind w:left="0" w:right="0"/>
        <w:rPr>
          <w:color w:val="000000" w:themeColor="text1"/>
          <w:highlight w:val="none"/>
          <w14:textFill>
            <w14:solidFill>
              <w14:schemeClr w14:val="tx1"/>
            </w14:solidFill>
          </w14:textFill>
        </w:rPr>
      </w:pPr>
      <w:r>
        <w:rPr>
          <w:color w:val="000000" w:themeColor="text1"/>
          <w:sz w:val="28"/>
          <w:szCs w:val="28"/>
          <w:highlight w:val="none"/>
          <w14:textFill>
            <w14:solidFill>
              <w14:schemeClr w14:val="tx1"/>
            </w14:solidFill>
          </w14:textFill>
        </w:rPr>
        <w:t>如有建议或意见，请以书面形式并加盖公章、注明联系人、联系方式，</w:t>
      </w:r>
      <w:r>
        <w:rPr>
          <w:rFonts w:hint="eastAsia"/>
          <w:color w:val="000000" w:themeColor="text1"/>
          <w:sz w:val="28"/>
          <w:szCs w:val="28"/>
          <w:highlight w:val="none"/>
          <w14:textFill>
            <w14:solidFill>
              <w14:schemeClr w14:val="tx1"/>
            </w14:solidFill>
          </w14:textFill>
        </w:rPr>
        <w:t>于202</w:t>
      </w:r>
      <w:r>
        <w:rPr>
          <w:rFonts w:hint="eastAsia"/>
          <w:color w:val="000000" w:themeColor="text1"/>
          <w:sz w:val="28"/>
          <w:szCs w:val="28"/>
          <w:highlight w:val="none"/>
          <w:lang w:val="en-US" w:eastAsia="zh-CN"/>
          <w14:textFill>
            <w14:solidFill>
              <w14:schemeClr w14:val="tx1"/>
            </w14:solidFill>
          </w14:textFill>
        </w:rPr>
        <w:t>5</w:t>
      </w:r>
      <w:r>
        <w:rPr>
          <w:rFonts w:hint="eastAsia"/>
          <w:color w:val="000000" w:themeColor="text1"/>
          <w:sz w:val="28"/>
          <w:szCs w:val="28"/>
          <w:highlight w:val="none"/>
          <w14:textFill>
            <w14:solidFill>
              <w14:schemeClr w14:val="tx1"/>
            </w14:solidFill>
          </w14:textFill>
        </w:rPr>
        <w:t>年</w:t>
      </w:r>
      <w:r>
        <w:rPr>
          <w:rFonts w:hint="eastAsia"/>
          <w:color w:val="000000" w:themeColor="text1"/>
          <w:sz w:val="28"/>
          <w:szCs w:val="28"/>
          <w:highlight w:val="none"/>
          <w:lang w:val="en-US" w:eastAsia="zh-CN"/>
          <w14:textFill>
            <w14:solidFill>
              <w14:schemeClr w14:val="tx1"/>
            </w14:solidFill>
          </w14:textFill>
        </w:rPr>
        <w:t>10月16日17</w:t>
      </w:r>
      <w:r>
        <w:rPr>
          <w:rFonts w:hint="eastAsia"/>
          <w:color w:val="000000" w:themeColor="text1"/>
          <w:sz w:val="28"/>
          <w:szCs w:val="28"/>
          <w:highlight w:val="none"/>
          <w14:textFill>
            <w14:solidFill>
              <w14:schemeClr w14:val="tx1"/>
            </w14:solidFill>
          </w14:textFill>
        </w:rPr>
        <w:t>:</w:t>
      </w:r>
      <w:r>
        <w:rPr>
          <w:rFonts w:hint="eastAsia"/>
          <w:color w:val="000000" w:themeColor="text1"/>
          <w:sz w:val="28"/>
          <w:szCs w:val="28"/>
          <w:highlight w:val="none"/>
          <w:lang w:val="en-US" w:eastAsia="zh-CN"/>
          <w14:textFill>
            <w14:solidFill>
              <w14:schemeClr w14:val="tx1"/>
            </w14:solidFill>
          </w14:textFill>
        </w:rPr>
        <w:t>3</w:t>
      </w:r>
      <w:r>
        <w:rPr>
          <w:rFonts w:hint="eastAsia"/>
          <w:color w:val="000000" w:themeColor="text1"/>
          <w:sz w:val="28"/>
          <w:szCs w:val="28"/>
          <w:highlight w:val="none"/>
          <w14:textFill>
            <w14:solidFill>
              <w14:schemeClr w14:val="tx1"/>
            </w14:solidFill>
          </w14:textFill>
        </w:rPr>
        <w:t>0</w:t>
      </w:r>
      <w:r>
        <w:rPr>
          <w:color w:val="000000" w:themeColor="text1"/>
          <w:sz w:val="28"/>
          <w:szCs w:val="28"/>
          <w:highlight w:val="none"/>
          <w14:textFill>
            <w14:solidFill>
              <w14:schemeClr w14:val="tx1"/>
            </w14:solidFill>
          </w14:textFill>
        </w:rPr>
        <w:t>之前送至我单位，逾期不受理（如邮寄，</w:t>
      </w:r>
      <w:r>
        <w:rPr>
          <w:rFonts w:hint="eastAsia"/>
          <w:color w:val="000000" w:themeColor="text1"/>
          <w:sz w:val="28"/>
          <w:szCs w:val="28"/>
          <w:highlight w:val="none"/>
          <w14:textFill>
            <w14:solidFill>
              <w14:schemeClr w14:val="tx1"/>
            </w14:solidFill>
          </w14:textFill>
        </w:rPr>
        <w:t>202</w:t>
      </w:r>
      <w:r>
        <w:rPr>
          <w:rFonts w:hint="eastAsia"/>
          <w:color w:val="000000" w:themeColor="text1"/>
          <w:sz w:val="28"/>
          <w:szCs w:val="28"/>
          <w:highlight w:val="none"/>
          <w:lang w:val="en-US" w:eastAsia="zh-CN"/>
          <w14:textFill>
            <w14:solidFill>
              <w14:schemeClr w14:val="tx1"/>
            </w14:solidFill>
          </w14:textFill>
        </w:rPr>
        <w:t>5</w:t>
      </w:r>
      <w:r>
        <w:rPr>
          <w:rFonts w:hint="eastAsia"/>
          <w:color w:val="000000" w:themeColor="text1"/>
          <w:sz w:val="28"/>
          <w:szCs w:val="28"/>
          <w:highlight w:val="none"/>
          <w14:textFill>
            <w14:solidFill>
              <w14:schemeClr w14:val="tx1"/>
            </w14:solidFill>
          </w14:textFill>
        </w:rPr>
        <w:t>年</w:t>
      </w:r>
      <w:r>
        <w:rPr>
          <w:rFonts w:hint="eastAsia"/>
          <w:color w:val="000000" w:themeColor="text1"/>
          <w:sz w:val="28"/>
          <w:szCs w:val="28"/>
          <w:highlight w:val="none"/>
          <w:lang w:val="en-US" w:eastAsia="zh-CN"/>
          <w14:textFill>
            <w14:solidFill>
              <w14:schemeClr w14:val="tx1"/>
            </w14:solidFill>
          </w14:textFill>
        </w:rPr>
        <w:t>10月16日17</w:t>
      </w:r>
      <w:r>
        <w:rPr>
          <w:color w:val="000000" w:themeColor="text1"/>
          <w:sz w:val="28"/>
          <w:szCs w:val="28"/>
          <w:highlight w:val="none"/>
          <w14:textFill>
            <w14:solidFill>
              <w14:schemeClr w14:val="tx1"/>
            </w14:solidFill>
          </w14:textFill>
        </w:rPr>
        <w:t>:</w:t>
      </w:r>
      <w:r>
        <w:rPr>
          <w:rFonts w:hint="eastAsia"/>
          <w:color w:val="000000" w:themeColor="text1"/>
          <w:sz w:val="28"/>
          <w:szCs w:val="28"/>
          <w:highlight w:val="none"/>
          <w:lang w:val="en-US" w:eastAsia="zh-CN"/>
          <w14:textFill>
            <w14:solidFill>
              <w14:schemeClr w14:val="tx1"/>
            </w14:solidFill>
          </w14:textFill>
        </w:rPr>
        <w:t>3</w:t>
      </w:r>
      <w:r>
        <w:rPr>
          <w:color w:val="000000" w:themeColor="text1"/>
          <w:sz w:val="28"/>
          <w:szCs w:val="28"/>
          <w:highlight w:val="none"/>
          <w14:textFill>
            <w14:solidFill>
              <w14:schemeClr w14:val="tx1"/>
            </w14:solidFill>
          </w14:textFill>
        </w:rPr>
        <w:t>0之后到达本公司的邮件将不再受理。）</w:t>
      </w:r>
      <w:r>
        <w:rPr>
          <w:color w:val="000000" w:themeColor="text1"/>
          <w:highlight w:val="none"/>
          <w14:textFill>
            <w14:solidFill>
              <w14:schemeClr w14:val="tx1"/>
            </w14:solidFill>
          </w14:textFill>
        </w:rPr>
        <w:t xml:space="preserve"> </w:t>
      </w:r>
    </w:p>
    <w:p w14:paraId="1AD30EFD">
      <w:pPr>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项目要求（采购需求）</w:t>
      </w:r>
    </w:p>
    <w:p w14:paraId="0F559B38">
      <w:pPr>
        <w:spacing w:line="360" w:lineRule="auto"/>
        <w:rPr>
          <w:rFonts w:ascii="宋体" w:hAnsi="宋体" w:cs="宋体"/>
          <w:b/>
          <w:bCs/>
          <w:color w:val="000000" w:themeColor="text1"/>
          <w:sz w:val="24"/>
          <w:highlight w:val="none"/>
          <w14:textFill>
            <w14:solidFill>
              <w14:schemeClr w14:val="tx1"/>
            </w14:solidFill>
          </w14:textFill>
        </w:rPr>
      </w:pPr>
    </w:p>
    <w:p w14:paraId="14608300">
      <w:pPr>
        <w:keepNext w:val="0"/>
        <w:keepLines w:val="0"/>
        <w:pageBreakBefore w:val="0"/>
        <w:pBdr>
          <w:top w:val="none" w:color="000000" w:sz="0" w:space="0"/>
          <w:left w:val="none" w:color="000000" w:sz="0" w:space="0"/>
          <w:bottom w:val="none" w:color="000000" w:sz="0" w:space="0"/>
          <w:right w:val="none" w:color="000000" w:sz="0" w:space="0"/>
        </w:pBdr>
        <w:spacing w:line="360" w:lineRule="auto"/>
        <w:jc w:val="both"/>
        <w:rPr>
          <w:rFonts w:hint="eastAsia" w:ascii="宋体" w:hAnsi="宋体" w:eastAsia="宋体" w:cs="宋体"/>
          <w:color w:val="000000"/>
          <w:kern w:val="0"/>
          <w:sz w:val="24"/>
          <w:highlight w:val="none"/>
          <w:lang w:eastAsia="zh-CN"/>
        </w:rPr>
      </w:pPr>
      <w:r>
        <w:rPr>
          <w:rFonts w:hint="eastAsia" w:ascii="宋体" w:hAnsi="宋体" w:eastAsia="宋体" w:cs="宋体"/>
          <w:b/>
          <w:bCs/>
          <w:color w:val="000000"/>
          <w:kern w:val="0"/>
          <w:sz w:val="24"/>
          <w:highlight w:val="none"/>
          <w:lang w:val="en-US" w:eastAsia="zh-CN"/>
        </w:rPr>
        <w:t>一、</w:t>
      </w:r>
      <w:r>
        <w:rPr>
          <w:rFonts w:hint="eastAsia" w:ascii="宋体" w:hAnsi="宋体" w:eastAsia="宋体" w:cs="宋体"/>
          <w:b/>
          <w:bCs/>
          <w:color w:val="000000"/>
          <w:kern w:val="0"/>
          <w:sz w:val="24"/>
          <w:highlight w:val="none"/>
        </w:rPr>
        <w:t>项目名称</w:t>
      </w: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highlight w:val="none"/>
          <w:lang w:eastAsia="zh-CN"/>
        </w:rPr>
        <w:t xml:space="preserve">沛县崔寨中学运动场地改造提升工程    </w:t>
      </w:r>
    </w:p>
    <w:p w14:paraId="5F5514D7">
      <w:pPr>
        <w:keepNext w:val="0"/>
        <w:keepLines w:val="0"/>
        <w:pageBreakBefore w:val="0"/>
        <w:pBdr>
          <w:top w:val="none" w:color="000000" w:sz="0" w:space="0"/>
          <w:left w:val="none" w:color="000000" w:sz="0" w:space="0"/>
          <w:bottom w:val="none" w:color="000000" w:sz="0" w:space="0"/>
          <w:right w:val="none" w:color="000000" w:sz="0" w:space="0"/>
        </w:pBdr>
        <w:spacing w:line="360" w:lineRule="auto"/>
        <w:jc w:val="both"/>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二、</w:t>
      </w:r>
      <w:r>
        <w:rPr>
          <w:rFonts w:hint="eastAsia" w:ascii="宋体" w:hAnsi="宋体" w:eastAsia="宋体" w:cs="宋体"/>
          <w:b/>
          <w:bCs/>
          <w:color w:val="000000"/>
          <w:kern w:val="0"/>
          <w:sz w:val="24"/>
          <w:highlight w:val="none"/>
          <w:lang w:val="en-US" w:eastAsia="zh-CN"/>
        </w:rPr>
        <w:t>采购预算</w:t>
      </w:r>
      <w:r>
        <w:rPr>
          <w:rFonts w:hint="eastAsia" w:ascii="宋体" w:hAnsi="宋体" w:eastAsia="宋体" w:cs="宋体"/>
          <w:color w:val="000000"/>
          <w:kern w:val="0"/>
          <w:sz w:val="24"/>
          <w:highlight w:val="none"/>
          <w:lang w:val="en-US" w:eastAsia="zh-CN"/>
        </w:rPr>
        <w:t>：</w:t>
      </w:r>
      <w:r>
        <w:rPr>
          <w:rFonts w:hint="eastAsia" w:ascii="宋体" w:hAnsi="宋体" w:eastAsia="宋体" w:cs="宋体"/>
          <w:color w:val="000000"/>
          <w:kern w:val="0"/>
          <w:sz w:val="24"/>
          <w:highlight w:val="none"/>
          <w:lang w:eastAsia="zh-CN"/>
        </w:rPr>
        <w:t>采购项目预算金额</w:t>
      </w:r>
      <w:r>
        <w:rPr>
          <w:rFonts w:hint="eastAsia" w:ascii="宋体" w:hAnsi="宋体" w:eastAsia="宋体" w:cs="宋体"/>
          <w:color w:val="000000"/>
          <w:kern w:val="0"/>
          <w:sz w:val="24"/>
          <w:highlight w:val="none"/>
          <w:lang w:val="en-US" w:eastAsia="zh-CN"/>
        </w:rPr>
        <w:t>126万元；</w:t>
      </w:r>
      <w:r>
        <w:rPr>
          <w:rFonts w:hint="eastAsia" w:ascii="宋体" w:hAnsi="宋体" w:eastAsia="宋体" w:cs="宋体"/>
          <w:color w:val="000000"/>
          <w:kern w:val="0"/>
          <w:sz w:val="24"/>
          <w:highlight w:val="none"/>
          <w:lang w:eastAsia="zh-CN"/>
        </w:rPr>
        <w:t>本项目不接受超过</w:t>
      </w:r>
      <w:r>
        <w:rPr>
          <w:rFonts w:hint="eastAsia" w:ascii="宋体" w:hAnsi="宋体" w:eastAsia="宋体" w:cs="宋体"/>
          <w:color w:val="000000"/>
          <w:kern w:val="0"/>
          <w:sz w:val="24"/>
          <w:highlight w:val="none"/>
          <w:lang w:val="en-US" w:eastAsia="zh-CN"/>
        </w:rPr>
        <w:t>控制价112.79 万元</w:t>
      </w:r>
      <w:r>
        <w:rPr>
          <w:rFonts w:hint="eastAsia" w:ascii="宋体" w:hAnsi="宋体" w:eastAsia="宋体" w:cs="宋体"/>
          <w:color w:val="000000"/>
          <w:kern w:val="0"/>
          <w:sz w:val="24"/>
          <w:highlight w:val="none"/>
          <w:lang w:eastAsia="zh-CN"/>
        </w:rPr>
        <w:t>的报价。</w:t>
      </w:r>
      <w:r>
        <w:rPr>
          <w:rFonts w:hint="default" w:ascii="宋体" w:hAnsi="宋体" w:eastAsia="宋体" w:cs="宋体"/>
          <w:color w:val="000000"/>
          <w:kern w:val="0"/>
          <w:sz w:val="24"/>
          <w:highlight w:val="none"/>
        </w:rPr>
        <w:t>采购人不再支付报价以外的任何费用。</w:t>
      </w:r>
      <w:r>
        <w:rPr>
          <w:rFonts w:hint="eastAsia" w:ascii="宋体" w:hAnsi="宋体" w:eastAsia="宋体" w:cs="宋体"/>
          <w:color w:val="000000"/>
          <w:kern w:val="0"/>
          <w:sz w:val="24"/>
          <w:highlight w:val="none"/>
          <w:lang w:val="en-US" w:eastAsia="zh-CN"/>
        </w:rPr>
        <w:t>按照法律规定及合同约定组织完成工程施工，现场派驻项目经理与合同备案信息一致，不进行转包及违法分包，并在缺陷责任期及保修期内承担相应的工程维修责任。严格按照图纸及招标工程量清单内容施工，施工过程中不进行设计变更，不增加签证内容，超出招标工程量清单的内容审计时不予认可。</w:t>
      </w:r>
    </w:p>
    <w:p w14:paraId="263F22C7">
      <w:pPr>
        <w:keepNext w:val="0"/>
        <w:keepLines w:val="0"/>
        <w:pageBreakBefore w:val="0"/>
        <w:widowControl/>
        <w:suppressLineNumbers w:val="0"/>
        <w:spacing w:before="0" w:beforeAutospacing="0" w:after="0" w:afterAutospacing="0" w:line="480" w:lineRule="auto"/>
        <w:ind w:right="0"/>
        <w:jc w:val="left"/>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三、项目概况：</w:t>
      </w:r>
    </w:p>
    <w:p w14:paraId="7FCED546">
      <w:pPr>
        <w:keepNext w:val="0"/>
        <w:keepLines w:val="0"/>
        <w:pageBreakBefore w:val="0"/>
        <w:widowControl/>
        <w:spacing w:line="360" w:lineRule="auto"/>
        <w:ind w:left="0" w:firstLine="0"/>
        <w:jc w:val="left"/>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1、项目地点：沛县河口镇吕楼小学院内。</w:t>
      </w:r>
    </w:p>
    <w:p w14:paraId="57A9EBDE">
      <w:pPr>
        <w:keepNext w:val="0"/>
        <w:keepLines w:val="0"/>
        <w:pageBreakBefore w:val="0"/>
        <w:widowControl/>
        <w:spacing w:line="360" w:lineRule="auto"/>
        <w:ind w:left="0" w:firstLine="0"/>
        <w:jc w:val="left"/>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2、本项目主要内容：1、跑道砼地面硬化铺设C25混凝土，铺设塑胶</w:t>
      </w:r>
    </w:p>
    <w:p w14:paraId="17B3FBFA">
      <w:pPr>
        <w:keepNext w:val="0"/>
        <w:keepLines w:val="0"/>
        <w:pageBreakBefore w:val="0"/>
        <w:widowControl/>
        <w:spacing w:line="360" w:lineRule="auto"/>
        <w:ind w:left="0" w:firstLine="0"/>
        <w:jc w:val="left"/>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面层面积约2445.74平方米。2、半圆弧内、周边及缓冲区域，砼地面硬化铺设C25混凝土面积约2054.76平方米。半圆弧内铺设塑胶面层1158.54平方米。3、足球场种植土回填，天然草皮面积约1330.06平方米。4、引接外排水管道54米。5、新建内环排水沟190.04米。安砌路牙石163.92米。6、砌检查井7座等。具体内容详见图纸及工程量清单。</w:t>
      </w:r>
    </w:p>
    <w:p w14:paraId="76858F57">
      <w:pPr>
        <w:keepNext w:val="0"/>
        <w:keepLines w:val="0"/>
        <w:pageBreakBefore w:val="0"/>
        <w:pBdr>
          <w:top w:val="none" w:color="000000" w:sz="0" w:space="0"/>
          <w:left w:val="none" w:color="000000" w:sz="0" w:space="0"/>
          <w:bottom w:val="none" w:color="000000" w:sz="0" w:space="0"/>
          <w:right w:val="none" w:color="000000" w:sz="0" w:space="0"/>
        </w:pBdr>
        <w:spacing w:line="360" w:lineRule="auto"/>
        <w:jc w:val="both"/>
        <w:rPr>
          <w:rFonts w:hint="eastAsia" w:ascii="宋体" w:hAnsi="宋体" w:eastAsia="宋体" w:cs="宋体"/>
          <w:b w:val="0"/>
          <w:bCs w:val="0"/>
          <w:color w:val="000000"/>
          <w:kern w:val="0"/>
          <w:sz w:val="24"/>
          <w:highlight w:val="none"/>
          <w:lang w:eastAsia="zh-CN"/>
        </w:rPr>
      </w:pPr>
      <w:r>
        <w:rPr>
          <w:rFonts w:hint="eastAsia" w:ascii="宋体" w:hAnsi="宋体" w:eastAsia="宋体" w:cs="宋体"/>
          <w:b w:val="0"/>
          <w:bCs w:val="0"/>
          <w:color w:val="000000"/>
          <w:kern w:val="0"/>
          <w:sz w:val="24"/>
          <w:highlight w:val="none"/>
          <w:lang w:val="en-US" w:eastAsia="zh-CN"/>
        </w:rPr>
        <w:t>3、</w:t>
      </w:r>
      <w:r>
        <w:rPr>
          <w:rFonts w:hint="default" w:ascii="宋体" w:hAnsi="宋体" w:eastAsia="宋体" w:cs="宋体"/>
          <w:b w:val="0"/>
          <w:bCs w:val="0"/>
          <w:color w:val="000000"/>
          <w:kern w:val="0"/>
          <w:sz w:val="24"/>
          <w:highlight w:val="none"/>
        </w:rPr>
        <w:t>工程期限：</w:t>
      </w:r>
      <w:r>
        <w:rPr>
          <w:rFonts w:hint="eastAsia" w:ascii="宋体" w:hAnsi="宋体" w:eastAsia="宋体" w:cs="宋体"/>
          <w:b w:val="0"/>
          <w:bCs w:val="0"/>
          <w:color w:val="000000"/>
          <w:kern w:val="0"/>
          <w:sz w:val="24"/>
          <w:highlight w:val="none"/>
          <w:u w:val="single"/>
          <w:lang w:val="en-US" w:eastAsia="zh-CN"/>
        </w:rPr>
        <w:t>50日历天</w:t>
      </w:r>
      <w:r>
        <w:rPr>
          <w:rFonts w:hint="eastAsia" w:ascii="宋体" w:hAnsi="宋体" w:eastAsia="宋体" w:cs="宋体"/>
          <w:b w:val="0"/>
          <w:bCs w:val="0"/>
          <w:color w:val="000000"/>
          <w:kern w:val="0"/>
          <w:sz w:val="24"/>
          <w:highlight w:val="none"/>
          <w:lang w:eastAsia="zh-CN"/>
        </w:rPr>
        <w:t>；</w:t>
      </w:r>
    </w:p>
    <w:p w14:paraId="03015ED9">
      <w:pPr>
        <w:keepNext w:val="0"/>
        <w:keepLines w:val="0"/>
        <w:pageBreakBefore w:val="0"/>
        <w:pBdr>
          <w:top w:val="none" w:color="000000" w:sz="0" w:space="0"/>
          <w:left w:val="none" w:color="000000" w:sz="0" w:space="0"/>
          <w:bottom w:val="none" w:color="000000" w:sz="0" w:space="0"/>
          <w:right w:val="none" w:color="000000" w:sz="0" w:space="0"/>
        </w:pBdr>
        <w:spacing w:line="360" w:lineRule="auto"/>
        <w:jc w:val="both"/>
        <w:rPr>
          <w:rFonts w:hint="eastAsia" w:ascii="宋体" w:hAnsi="宋体" w:eastAsia="宋体" w:cs="宋体"/>
          <w:color w:val="000000"/>
          <w:kern w:val="0"/>
          <w:sz w:val="24"/>
          <w:szCs w:val="24"/>
          <w:highlight w:val="none"/>
        </w:rPr>
      </w:pPr>
      <w:r>
        <w:rPr>
          <w:rFonts w:hint="eastAsia" w:ascii="宋体" w:hAnsi="宋体" w:eastAsia="宋体" w:cs="宋体"/>
          <w:b w:val="0"/>
          <w:bCs w:val="0"/>
          <w:color w:val="000000"/>
          <w:kern w:val="0"/>
          <w:sz w:val="24"/>
          <w:highlight w:val="none"/>
          <w:lang w:val="en-US" w:eastAsia="zh-CN"/>
        </w:rPr>
        <w:t>4、</w:t>
      </w:r>
      <w:r>
        <w:rPr>
          <w:rFonts w:hint="default" w:ascii="宋体" w:hAnsi="宋体" w:eastAsia="宋体" w:cs="宋体"/>
          <w:color w:val="000000"/>
          <w:kern w:val="0"/>
          <w:sz w:val="24"/>
          <w:highlight w:val="none"/>
        </w:rPr>
        <w:t>质量要求标准：合格，通过相关部门验收。</w:t>
      </w:r>
      <w:r>
        <w:rPr>
          <w:rFonts w:hint="eastAsia" w:ascii="宋体" w:hAnsi="宋体" w:eastAsia="宋体" w:cs="宋体"/>
          <w:b/>
          <w:bCs/>
          <w:color w:val="000000"/>
          <w:kern w:val="0"/>
          <w:sz w:val="24"/>
          <w:szCs w:val="24"/>
          <w:highlight w:val="none"/>
        </w:rPr>
        <w:t>所使用塑胶跑道</w:t>
      </w:r>
      <w:r>
        <w:rPr>
          <w:rFonts w:hint="eastAsia" w:ascii="宋体" w:hAnsi="宋体" w:eastAsia="宋体" w:cs="宋体"/>
          <w:b/>
          <w:bCs/>
          <w:color w:val="000000"/>
          <w:kern w:val="0"/>
          <w:sz w:val="24"/>
          <w:szCs w:val="24"/>
          <w:highlight w:val="none"/>
          <w:lang w:val="en-US" w:eastAsia="zh-CN"/>
        </w:rPr>
        <w:t>及相关</w:t>
      </w:r>
      <w:r>
        <w:rPr>
          <w:rFonts w:hint="eastAsia" w:ascii="宋体" w:hAnsi="宋体" w:eastAsia="宋体" w:cs="宋体"/>
          <w:b/>
          <w:bCs/>
          <w:color w:val="000000"/>
          <w:kern w:val="0"/>
          <w:sz w:val="24"/>
          <w:szCs w:val="24"/>
          <w:highlight w:val="none"/>
        </w:rPr>
        <w:t>材料应</w:t>
      </w:r>
      <w:r>
        <w:rPr>
          <w:rFonts w:hint="eastAsia" w:ascii="宋体" w:hAnsi="宋体" w:eastAsia="宋体" w:cs="宋体"/>
          <w:b/>
          <w:bCs/>
          <w:color w:val="000000"/>
          <w:kern w:val="0"/>
          <w:sz w:val="24"/>
          <w:szCs w:val="24"/>
          <w:highlight w:val="none"/>
          <w:lang w:val="en-US" w:eastAsia="zh-CN"/>
        </w:rPr>
        <w:t>全部</w:t>
      </w:r>
      <w:r>
        <w:rPr>
          <w:rFonts w:hint="eastAsia" w:ascii="宋体" w:hAnsi="宋体" w:eastAsia="宋体" w:cs="宋体"/>
          <w:b/>
          <w:bCs/>
          <w:color w:val="000000"/>
          <w:kern w:val="0"/>
          <w:sz w:val="24"/>
          <w:szCs w:val="24"/>
          <w:highlight w:val="none"/>
        </w:rPr>
        <w:t>符合GB36246-2018中小学合成材料面层运动场地验收规范</w:t>
      </w:r>
      <w:r>
        <w:rPr>
          <w:rFonts w:hint="eastAsia" w:ascii="宋体" w:hAnsi="宋体" w:eastAsia="宋体" w:cs="宋体"/>
          <w:color w:val="000000"/>
          <w:kern w:val="0"/>
          <w:sz w:val="24"/>
          <w:szCs w:val="24"/>
          <w:highlight w:val="none"/>
        </w:rPr>
        <w:t>，</w:t>
      </w:r>
      <w:r>
        <w:rPr>
          <w:rFonts w:hint="eastAsia" w:ascii="宋体" w:hAnsi="宋体" w:eastAsia="宋体" w:cs="宋体"/>
          <w:b/>
          <w:bCs/>
          <w:color w:val="000000"/>
          <w:kern w:val="0"/>
          <w:sz w:val="24"/>
          <w:szCs w:val="24"/>
          <w:highlight w:val="none"/>
          <w:lang w:eastAsia="zh-CN"/>
        </w:rPr>
        <w:t>要求</w:t>
      </w:r>
      <w:r>
        <w:rPr>
          <w:rFonts w:hint="eastAsia" w:ascii="宋体" w:hAnsi="宋体" w:eastAsia="宋体" w:cs="宋体"/>
          <w:b/>
          <w:bCs/>
          <w:color w:val="000000"/>
          <w:kern w:val="0"/>
          <w:sz w:val="24"/>
          <w:szCs w:val="24"/>
          <w:highlight w:val="none"/>
        </w:rPr>
        <w:t>环保达标，满足采购人需求；通过相关部门（现场取样送检）验收合格并出具合格检测报告</w:t>
      </w:r>
      <w:r>
        <w:rPr>
          <w:rFonts w:hint="eastAsia" w:ascii="宋体" w:hAnsi="宋体" w:eastAsia="宋体" w:cs="宋体"/>
          <w:color w:val="000000"/>
          <w:kern w:val="0"/>
          <w:sz w:val="24"/>
          <w:szCs w:val="24"/>
          <w:highlight w:val="none"/>
        </w:rPr>
        <w:t>。</w:t>
      </w:r>
    </w:p>
    <w:p w14:paraId="4749EED8">
      <w:pPr>
        <w:keepNext w:val="0"/>
        <w:keepLines w:val="0"/>
        <w:pageBreakBefore w:val="0"/>
        <w:pBdr>
          <w:top w:val="none" w:color="000000" w:sz="0" w:space="0"/>
          <w:left w:val="none" w:color="000000" w:sz="0" w:space="0"/>
          <w:bottom w:val="none" w:color="000000" w:sz="0" w:space="0"/>
          <w:right w:val="none" w:color="000000" w:sz="0" w:space="0"/>
        </w:pBdr>
        <w:spacing w:line="360" w:lineRule="auto"/>
        <w:ind w:firstLine="480"/>
        <w:jc w:val="both"/>
        <w:rPr>
          <w:rFonts w:hint="eastAsia" w:ascii="宋体" w:hAnsi="宋体" w:eastAsia="宋体" w:cs="宋体"/>
          <w:color w:val="000000"/>
          <w:kern w:val="0"/>
          <w:sz w:val="24"/>
          <w:szCs w:val="24"/>
          <w:highlight w:val="none"/>
          <w:lang w:val="en-US" w:eastAsia="zh-CN"/>
        </w:rPr>
      </w:pPr>
      <w:r>
        <w:rPr>
          <w:rFonts w:hint="default" w:ascii="宋体" w:hAnsi="宋体" w:eastAsia="宋体" w:cs="宋体"/>
          <w:color w:val="000000"/>
          <w:kern w:val="0"/>
          <w:sz w:val="24"/>
          <w:highlight w:val="none"/>
        </w:rPr>
        <w:t>工程质量必须达到合同约定标准，且保证相关部门验收通过；未达到质量要求的，承包人负责无条件返工，直至达到要求，所发生的费用由承包人承担，承包人还应赔偿因此给发包人造成的损失，工期不予顺延，同时发包人有权对承包人进行适当处罚</w:t>
      </w:r>
      <w:r>
        <w:rPr>
          <w:rFonts w:hint="eastAsia" w:ascii="宋体" w:hAnsi="宋体" w:eastAsia="宋体" w:cs="宋体"/>
          <w:color w:val="000000"/>
          <w:kern w:val="0"/>
          <w:sz w:val="24"/>
          <w:highlight w:val="none"/>
        </w:rPr>
        <w:t>。</w:t>
      </w:r>
    </w:p>
    <w:p w14:paraId="46464553">
      <w:pPr>
        <w:keepNext w:val="0"/>
        <w:keepLines w:val="0"/>
        <w:pageBreakBefore w:val="0"/>
        <w:spacing w:line="360" w:lineRule="auto"/>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lang w:val="en-US" w:eastAsia="zh-CN"/>
        </w:rPr>
        <w:t>四</w:t>
      </w:r>
      <w:r>
        <w:rPr>
          <w:rFonts w:hint="eastAsia" w:ascii="宋体" w:hAnsi="宋体" w:eastAsia="宋体" w:cs="宋体"/>
          <w:b/>
          <w:bCs/>
          <w:color w:val="000000"/>
          <w:kern w:val="0"/>
          <w:sz w:val="24"/>
          <w:highlight w:val="none"/>
        </w:rPr>
        <w:t>、工程量清单报价</w:t>
      </w:r>
    </w:p>
    <w:p w14:paraId="2C2C0A75">
      <w:pPr>
        <w:widowControl w:val="0"/>
        <w:spacing w:line="360" w:lineRule="auto"/>
        <w:ind w:firstLine="480"/>
        <w:jc w:val="both"/>
        <w:rPr>
          <w:rFonts w:hint="eastAsia" w:ascii="宋体" w:hAnsi="宋体" w:eastAsia="宋体" w:cs="Times New Roman"/>
          <w:b/>
          <w:bCs w:val="0"/>
          <w:sz w:val="24"/>
          <w:szCs w:val="22"/>
          <w:highlight w:val="none"/>
          <w:lang w:val="en-US" w:eastAsia="zh-CN" w:bidi="ar-SA"/>
        </w:rPr>
      </w:pPr>
      <w:r>
        <w:rPr>
          <w:rFonts w:hint="eastAsia" w:ascii="宋体" w:hAnsi="宋体" w:eastAsia="宋体" w:cs="Times New Roman"/>
          <w:b/>
          <w:bCs w:val="0"/>
          <w:sz w:val="24"/>
          <w:szCs w:val="22"/>
          <w:highlight w:val="none"/>
          <w:lang w:val="en-US" w:eastAsia="zh-CN" w:bidi="ar-SA"/>
        </w:rPr>
        <w:t>1、报价内容</w:t>
      </w:r>
    </w:p>
    <w:p w14:paraId="5EB22F16">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1.1 响应报价应包括磋商文件中所确定的范围内工程量清单以及施工图中所含的全部内容，以及为完成上述内容所需的全部费用。</w:t>
      </w:r>
    </w:p>
    <w:p w14:paraId="75E51446">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注：供应商必须按采购人提供的工程量清单进行报价，否则视为对竞争性磋商文件商务条款的实质性偏离。供应商不得修改工程量清单中的分布分项内容及数量，否则视为不响应磋商文件。</w:t>
      </w:r>
    </w:p>
    <w:p w14:paraId="2114DC09">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1.2 供应商应按采购人提供的工程量清单填报价格。填写的项目名称、项目特征、计量单位、工程量必须与采购人提供的一致。</w:t>
      </w:r>
    </w:p>
    <w:p w14:paraId="022C9C7A">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1.3 供应商应按采购人提供的工程量计算工程项目的单价和合价。工程量清单中的每一单项均需计算填写单价和合价，供应商没有填写单价和合价的项目将被认为此项费用已包括在工程量清单的其他单价和合价中。</w:t>
      </w:r>
    </w:p>
    <w:p w14:paraId="44FA5F45">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1.4 响应的供应商必须按统一的工程量清单报价，成交后，在施工过程中，不论由于工程量清单有误或漏项，还是由于设计变更、现场变更、签证引起的工程量清单项目或清单项目工程数量的增减，均按变更估价原则调整。</w:t>
      </w:r>
    </w:p>
    <w:p w14:paraId="24A3182C">
      <w:pPr>
        <w:widowControl w:val="0"/>
        <w:spacing w:line="360" w:lineRule="auto"/>
        <w:ind w:firstLine="480"/>
        <w:jc w:val="both"/>
        <w:rPr>
          <w:rFonts w:hint="default"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1.5</w:t>
      </w:r>
      <w:r>
        <w:rPr>
          <w:rFonts w:hint="default" w:ascii="宋体" w:hAnsi="宋体" w:eastAsia="宋体" w:cs="Times New Roman"/>
          <w:bCs/>
          <w:sz w:val="24"/>
          <w:szCs w:val="22"/>
          <w:highlight w:val="none"/>
          <w:lang w:val="en-US" w:eastAsia="zh-CN" w:bidi="ar-SA"/>
        </w:rPr>
        <w:t>清单项目中特征描述不全的工序，如图纸已明确或已指明引用规范、图集等或是常规工艺必须的工序，应包括在报价中。</w:t>
      </w:r>
    </w:p>
    <w:p w14:paraId="584D1BE3">
      <w:pPr>
        <w:widowControl w:val="0"/>
        <w:spacing w:line="360" w:lineRule="auto"/>
        <w:ind w:firstLine="480"/>
        <w:jc w:val="both"/>
        <w:rPr>
          <w:rFonts w:hint="default"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1.6响应供应商应认真研读竞争性磋商文件和合同内容，已明示含在投标报价中的费用供应商自行考虑，不管工程量清单是否单独列支，采购人均认为供应商已充分考虑此部分费用，应包括在报价中。</w:t>
      </w:r>
    </w:p>
    <w:p w14:paraId="61BFBF02">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1.7 供应商自行勘察，了解周边原有建筑、设施，事先视察工地，充分了解工程位置、邻近建筑物、工地情况，通路、储存空间、起卸限制、及任何其它足以影响报价之情况，供应商须按接收工地日的现况，接收工地及自费清理任何遗留在工地上之废物，施工过程中因工地特殊情况而引起二次搬运、安全防护等。供应商在响应报价时应考虑这样因素，并在响应报价中予以考虑，采购人不接受供应商关于此类费用的任何诉讼或索赔。</w:t>
      </w:r>
    </w:p>
    <w:p w14:paraId="1646E007">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1.8 安全文明施工是供应商的责任，采购人不接受任何由于供应商施工而导致的扰民或民扰引起的诉讼或索赔。供应商应在其响应报价时充分考虑因扰民与民扰而造成的工期影响与费用增加，在报价予以考虑，采购人不接受任何由于供应商考虑不周为由而提出的任何索赔。</w:t>
      </w:r>
    </w:p>
    <w:p w14:paraId="107C2CF4">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1.9本项目招标期为 2025年7月，采购人在适宜的时间下发开工令，供应商需考虑时间间隔对自身产生的影响并视为已体现在响应报价中，结算时不予调整。</w:t>
      </w:r>
    </w:p>
    <w:p w14:paraId="4E6DC6BB">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1.10 垃圾外运，在报价中综合考虑。</w:t>
      </w:r>
    </w:p>
    <w:p w14:paraId="4EB6F8A7">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1.11地方关系协调费投标人自行考虑，就此项招标人不支付任何费用。</w:t>
      </w:r>
    </w:p>
    <w:p w14:paraId="4DDD2EB4">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1.12由响应单位负责办理相关建设、城管、市政、安全、环保等部门的手续，响应单位在响应报价时应考虑此方在的因素，费用包含在报价中，采购人不接受响应单位关于此类费用的任何诉讼或索赔。</w:t>
      </w:r>
    </w:p>
    <w:p w14:paraId="02964D33">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1.13施工时需做好防护措施保证周边安全，因中标人保障不利对招标人或第三方造成损失的，赔偿责任全部由中标人承担，若因此会增加费用，控制价不计取，投标人自行考虑在报价中，结算时不予调整。</w:t>
      </w:r>
    </w:p>
    <w:p w14:paraId="1C682920">
      <w:pPr>
        <w:widowControl w:val="0"/>
        <w:spacing w:line="360" w:lineRule="auto"/>
        <w:ind w:firstLine="480"/>
        <w:jc w:val="both"/>
        <w:rPr>
          <w:rFonts w:hint="eastAsia" w:ascii="宋体" w:hAnsi="宋体" w:eastAsia="宋体" w:cs="Times New Roman"/>
          <w:b/>
          <w:bCs w:val="0"/>
          <w:sz w:val="24"/>
          <w:szCs w:val="22"/>
          <w:highlight w:val="none"/>
          <w:lang w:val="en-US" w:eastAsia="zh-CN" w:bidi="ar-SA"/>
        </w:rPr>
      </w:pPr>
      <w:r>
        <w:rPr>
          <w:rFonts w:hint="eastAsia" w:ascii="宋体" w:hAnsi="宋体" w:eastAsia="宋体" w:cs="Times New Roman"/>
          <w:b/>
          <w:bCs w:val="0"/>
          <w:sz w:val="24"/>
          <w:szCs w:val="22"/>
          <w:highlight w:val="none"/>
          <w:lang w:val="en-US" w:eastAsia="zh-CN" w:bidi="ar-SA"/>
        </w:rPr>
        <w:t>2、报价方式</w:t>
      </w:r>
    </w:p>
    <w:p w14:paraId="4DE7740D">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2.1本工程采用固定单价合同。响应单位应充分考虑施工期间各类建材的市场风险，并计入总报价，响应单位在计算报价时应考虑一定的风险系数。</w:t>
      </w:r>
    </w:p>
    <w:p w14:paraId="576573E7">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2.2 材料风险约定：</w:t>
      </w:r>
    </w:p>
    <w:p w14:paraId="00C122E4">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2.2.1 对于法律、法规、规章或有关政策出台导致工程税金、规费等发生变化的，应按照有关规定执行。</w:t>
      </w:r>
    </w:p>
    <w:p w14:paraId="34CBBFF4">
      <w:pPr>
        <w:widowControl w:val="0"/>
        <w:spacing w:line="360" w:lineRule="auto"/>
        <w:ind w:firstLine="480"/>
        <w:jc w:val="both"/>
        <w:rPr>
          <w:rFonts w:hint="eastAsia" w:ascii="宋体" w:hAnsi="宋体" w:eastAsia="宋体" w:cs="Times New Roman"/>
          <w:b w:val="0"/>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2.2.2本工程对材料风险约定如下：供应商应充分考虑施工期间各类建材的市场风险，充分考虑政策性关于人工、机械费用等方面调整，并计入总报价，</w:t>
      </w:r>
      <w:r>
        <w:rPr>
          <w:rFonts w:hint="eastAsia" w:ascii="宋体" w:hAnsi="宋体" w:eastAsia="宋体" w:cs="Times New Roman"/>
          <w:b w:val="0"/>
          <w:bCs/>
          <w:sz w:val="24"/>
          <w:szCs w:val="22"/>
          <w:highlight w:val="none"/>
          <w:lang w:val="en-US" w:eastAsia="zh-CN" w:bidi="ar-SA"/>
        </w:rPr>
        <w:t>供应商所填写的单价和合价在合同实施期间不因市场变化因素而变动，结算不再调整。</w:t>
      </w:r>
    </w:p>
    <w:p w14:paraId="7E3CC16B">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2.3变更估价</w:t>
      </w:r>
    </w:p>
    <w:p w14:paraId="60A0F864">
      <w:pPr>
        <w:widowControl w:val="0"/>
        <w:spacing w:before="240" w:after="0" w:line="360" w:lineRule="auto"/>
        <w:ind w:left="0" w:firstLine="552"/>
        <w:jc w:val="both"/>
        <w:rPr>
          <w:rFonts w:hint="default" w:ascii="宋体" w:hAnsi="宋体" w:eastAsia="宋体" w:cs="宋体"/>
          <w:sz w:val="24"/>
          <w:szCs w:val="20"/>
          <w:lang w:val="en-US" w:eastAsia="zh-CN" w:bidi="ar-SA"/>
        </w:rPr>
      </w:pPr>
      <w:r>
        <w:rPr>
          <w:rFonts w:hint="eastAsia" w:ascii="宋体" w:hAnsi="宋体" w:eastAsia="宋体" w:cs="宋体"/>
          <w:sz w:val="24"/>
          <w:szCs w:val="20"/>
          <w:lang w:val="en-US" w:eastAsia="zh-CN" w:bidi="ar-SA"/>
        </w:rPr>
        <w:t>2.3.1 变更估价原则</w:t>
      </w:r>
    </w:p>
    <w:p w14:paraId="42EA11A2">
      <w:pPr>
        <w:widowControl w:val="0"/>
        <w:spacing w:before="240" w:after="0" w:line="360" w:lineRule="auto"/>
        <w:ind w:left="0" w:firstLine="552"/>
        <w:jc w:val="both"/>
        <w:rPr>
          <w:rFonts w:hint="default" w:ascii="宋体" w:hAnsi="宋体" w:eastAsia="宋体" w:cs="宋体"/>
          <w:sz w:val="24"/>
          <w:szCs w:val="20"/>
          <w:lang w:val="en-US" w:eastAsia="zh-CN" w:bidi="ar-SA"/>
        </w:rPr>
      </w:pPr>
      <w:r>
        <w:rPr>
          <w:rFonts w:hint="eastAsia" w:ascii="宋体" w:hAnsi="宋体" w:eastAsia="宋体" w:cs="宋体"/>
          <w:sz w:val="24"/>
          <w:szCs w:val="20"/>
          <w:lang w:val="en-US" w:eastAsia="zh-CN" w:bidi="ar-SA"/>
        </w:rPr>
        <w:t>关于变更估价的约定：</w:t>
      </w:r>
    </w:p>
    <w:p w14:paraId="486F7B0B">
      <w:pPr>
        <w:widowControl w:val="0"/>
        <w:spacing w:before="240" w:after="0" w:line="360" w:lineRule="auto"/>
        <w:ind w:left="0" w:firstLine="552"/>
        <w:jc w:val="both"/>
        <w:rPr>
          <w:rFonts w:hint="default" w:ascii="宋体" w:hAnsi="宋体" w:eastAsia="宋体" w:cs="宋体"/>
          <w:sz w:val="24"/>
          <w:szCs w:val="20"/>
          <w:lang w:val="en-US" w:eastAsia="zh-CN" w:bidi="ar-SA"/>
        </w:rPr>
      </w:pPr>
      <w:r>
        <w:rPr>
          <w:rFonts w:hint="eastAsia" w:ascii="宋体" w:hAnsi="宋体" w:eastAsia="宋体" w:cs="宋体"/>
          <w:sz w:val="24"/>
          <w:szCs w:val="20"/>
          <w:lang w:val="en-US" w:eastAsia="zh-CN" w:bidi="ar-SA"/>
        </w:rPr>
        <w:t xml:space="preserve">（1）采用工程量清单方式计价，竣工结算的工程量按发承包双方在合同中约定应予计量的工程量确定，完成发包人要求的合同以外的零星工作或发生非承包人责任事件的工程量按现场签证确定。 </w:t>
      </w:r>
    </w:p>
    <w:p w14:paraId="491F8641">
      <w:pPr>
        <w:widowControl w:val="0"/>
        <w:spacing w:before="240" w:after="0" w:line="360" w:lineRule="auto"/>
        <w:ind w:left="0" w:firstLine="552"/>
        <w:jc w:val="both"/>
        <w:rPr>
          <w:rFonts w:hint="default" w:ascii="宋体" w:hAnsi="宋体" w:eastAsia="宋体" w:cs="宋体"/>
          <w:sz w:val="24"/>
          <w:szCs w:val="20"/>
          <w:lang w:val="en-US" w:eastAsia="zh-CN" w:bidi="ar-SA"/>
        </w:rPr>
      </w:pPr>
      <w:r>
        <w:rPr>
          <w:rFonts w:hint="eastAsia" w:ascii="宋体" w:hAnsi="宋体" w:eastAsia="宋体" w:cs="宋体"/>
          <w:sz w:val="24"/>
          <w:szCs w:val="20"/>
          <w:lang w:val="en-US" w:eastAsia="zh-CN" w:bidi="ar-SA"/>
        </w:rPr>
        <w:t xml:space="preserve">（2）所有工程量及工程变更签证单上必须有发包人工地代表、监理工程师、项目经理、审计部门四方的签字盖章，方可作为竣工结算的依据；签证单上必须明确签证的原因、位置、尺寸、数量、综合单价及签证时间。签证单应注意时效性，所有签证单最终价款的确认以审计部门的结论为准。 </w:t>
      </w:r>
    </w:p>
    <w:p w14:paraId="07A171A8">
      <w:pPr>
        <w:widowControl w:val="0"/>
        <w:spacing w:before="240" w:after="0" w:line="360" w:lineRule="auto"/>
        <w:ind w:left="0" w:firstLine="552"/>
        <w:jc w:val="both"/>
        <w:rPr>
          <w:rFonts w:hint="default" w:ascii="宋体" w:hAnsi="宋体" w:eastAsia="宋体" w:cs="宋体"/>
          <w:sz w:val="24"/>
          <w:szCs w:val="20"/>
          <w:lang w:val="en-US" w:eastAsia="zh-CN" w:bidi="ar-SA"/>
        </w:rPr>
      </w:pPr>
      <w:r>
        <w:rPr>
          <w:rFonts w:hint="eastAsia" w:ascii="宋体" w:hAnsi="宋体" w:eastAsia="宋体" w:cs="宋体"/>
          <w:sz w:val="24"/>
          <w:szCs w:val="20"/>
          <w:lang w:val="en-US" w:eastAsia="zh-CN" w:bidi="ar-SA"/>
        </w:rPr>
        <w:t xml:space="preserve">（3）因非承包人原因的工程变更，造成增加新的工程量清单项目，其对应的综合单价按下列方法确定： </w:t>
      </w:r>
    </w:p>
    <w:p w14:paraId="77DFF0C9">
      <w:pPr>
        <w:widowControl w:val="0"/>
        <w:spacing w:before="240" w:after="0" w:line="360" w:lineRule="auto"/>
        <w:ind w:left="0" w:firstLine="552"/>
        <w:jc w:val="both"/>
        <w:rPr>
          <w:rFonts w:hint="default" w:ascii="宋体" w:hAnsi="宋体" w:eastAsia="宋体" w:cs="宋体"/>
          <w:sz w:val="24"/>
          <w:szCs w:val="20"/>
          <w:lang w:val="en-US" w:eastAsia="zh-CN" w:bidi="ar-SA"/>
        </w:rPr>
      </w:pPr>
      <w:r>
        <w:rPr>
          <w:rFonts w:hint="eastAsia" w:ascii="宋体" w:hAnsi="宋体" w:eastAsia="宋体" w:cs="宋体"/>
          <w:sz w:val="24"/>
          <w:szCs w:val="20"/>
          <w:lang w:val="en-US" w:eastAsia="zh-CN" w:bidi="ar-SA"/>
        </w:rPr>
        <w:t xml:space="preserve">①合同中已有的综合单价，按合同中已有的综合单价确定； </w:t>
      </w:r>
    </w:p>
    <w:p w14:paraId="4A360305">
      <w:pPr>
        <w:widowControl w:val="0"/>
        <w:spacing w:before="240" w:after="0" w:line="360" w:lineRule="auto"/>
        <w:ind w:left="0" w:firstLine="552"/>
        <w:jc w:val="both"/>
        <w:rPr>
          <w:rFonts w:hint="default" w:ascii="宋体" w:hAnsi="宋体" w:eastAsia="宋体" w:cs="宋体"/>
          <w:sz w:val="24"/>
          <w:szCs w:val="20"/>
          <w:lang w:val="en-US" w:eastAsia="zh-CN" w:bidi="ar-SA"/>
        </w:rPr>
      </w:pPr>
      <w:r>
        <w:rPr>
          <w:rFonts w:hint="eastAsia" w:ascii="宋体" w:hAnsi="宋体" w:eastAsia="宋体" w:cs="宋体"/>
          <w:sz w:val="24"/>
          <w:szCs w:val="20"/>
          <w:lang w:val="en-US" w:eastAsia="zh-CN" w:bidi="ar-SA"/>
        </w:rPr>
        <w:t xml:space="preserve">②合同中已有类似的综合单价，参照类似的综合单价确定。 </w:t>
      </w:r>
    </w:p>
    <w:p w14:paraId="750CB1C1">
      <w:pPr>
        <w:widowControl w:val="0"/>
        <w:spacing w:before="240" w:after="0" w:line="360" w:lineRule="auto"/>
        <w:ind w:left="0" w:firstLine="552"/>
        <w:jc w:val="both"/>
        <w:rPr>
          <w:rFonts w:hint="default" w:ascii="宋体" w:hAnsi="宋体" w:eastAsia="宋体" w:cs="宋体"/>
          <w:sz w:val="24"/>
          <w:szCs w:val="20"/>
          <w:lang w:val="en-US" w:eastAsia="zh-CN" w:bidi="ar-SA"/>
        </w:rPr>
      </w:pPr>
      <w:r>
        <w:rPr>
          <w:rFonts w:hint="eastAsia" w:ascii="宋体" w:hAnsi="宋体" w:eastAsia="宋体" w:cs="宋体"/>
          <w:sz w:val="24"/>
          <w:szCs w:val="20"/>
          <w:lang w:val="en-US" w:eastAsia="zh-CN" w:bidi="ar-SA"/>
        </w:rPr>
        <w:t xml:space="preserve">③合同中没有适用或类似的综合单价，由承包人提出综合单价，经发包人确认后执行，结算原则按中标价与招标控制价相比的让利幅度同比例下浮。 </w:t>
      </w:r>
    </w:p>
    <w:p w14:paraId="290E2BAA">
      <w:pPr>
        <w:widowControl w:val="0"/>
        <w:spacing w:before="240" w:after="0" w:line="360" w:lineRule="auto"/>
        <w:ind w:left="0" w:firstLine="552"/>
        <w:jc w:val="both"/>
        <w:rPr>
          <w:rFonts w:hint="default" w:ascii="宋体" w:hAnsi="宋体" w:eastAsia="宋体" w:cs="宋体"/>
          <w:sz w:val="24"/>
          <w:szCs w:val="20"/>
          <w:lang w:val="en-US" w:eastAsia="zh-CN" w:bidi="ar-SA"/>
        </w:rPr>
      </w:pPr>
      <w:r>
        <w:rPr>
          <w:rFonts w:hint="eastAsia" w:ascii="宋体" w:hAnsi="宋体" w:eastAsia="宋体" w:cs="宋体"/>
          <w:sz w:val="24"/>
          <w:szCs w:val="20"/>
          <w:lang w:val="en-US" w:eastAsia="zh-CN" w:bidi="ar-SA"/>
        </w:rPr>
        <w:t xml:space="preserve">（4）因非承包人原因的工程变更引起施工方案改变并使措施项目发生变化时，承包人提出调整措施项目费的，措施项目费应按下列原则调整：“总价措施项目”中的措施费仍按投标时费率进行调整；“单价措施项目”中的措施费发生关联变化时，除脚手架、模板按招标控制价计价办法计算，并乘以承包人报价浮动比率【承包人报价浮动比率=（1-中标价/招标控制价）×100%】进行结算外，其余的措施费均不作调整。 </w:t>
      </w:r>
    </w:p>
    <w:p w14:paraId="18139C89">
      <w:pPr>
        <w:widowControl w:val="0"/>
        <w:spacing w:before="240" w:after="0" w:line="360" w:lineRule="auto"/>
        <w:ind w:left="0" w:firstLine="552"/>
        <w:jc w:val="both"/>
        <w:rPr>
          <w:rFonts w:hint="default" w:ascii="宋体" w:hAnsi="宋体" w:eastAsia="宋体" w:cs="宋体"/>
          <w:sz w:val="24"/>
          <w:szCs w:val="20"/>
          <w:lang w:val="en-US" w:eastAsia="zh-CN" w:bidi="ar-SA"/>
        </w:rPr>
      </w:pPr>
      <w:r>
        <w:rPr>
          <w:rFonts w:hint="eastAsia" w:ascii="宋体" w:hAnsi="宋体" w:eastAsia="宋体" w:cs="宋体"/>
          <w:sz w:val="24"/>
          <w:szCs w:val="20"/>
          <w:lang w:val="en-US" w:eastAsia="zh-CN" w:bidi="ar-SA"/>
        </w:rPr>
        <w:t>（5）因工程变更引起工程量偏差在15%以内时，其综合单价不做调整，执行原有的综合单价；当分部分项工程量增加超过15%以上时（不含15%），增加部分的工程量的综合单价应予调低5%；当分部分项工程量减少超过15%以上时（不含15%），减少后剩余部分的工程量的综合单价应予调高5%，合同另有约定的按合同执行。</w:t>
      </w:r>
    </w:p>
    <w:p w14:paraId="01D426E6">
      <w:pPr>
        <w:widowControl w:val="0"/>
        <w:spacing w:before="240" w:after="0" w:line="360" w:lineRule="auto"/>
        <w:ind w:left="0" w:firstLine="552"/>
        <w:jc w:val="both"/>
        <w:rPr>
          <w:rFonts w:hint="default" w:ascii="宋体" w:hAnsi="宋体" w:eastAsia="宋体" w:cs="宋体"/>
          <w:sz w:val="24"/>
          <w:szCs w:val="20"/>
          <w:lang w:val="en-US" w:eastAsia="zh-CN" w:bidi="ar-SA"/>
        </w:rPr>
      </w:pPr>
      <w:r>
        <w:rPr>
          <w:rFonts w:hint="eastAsia" w:ascii="宋体" w:hAnsi="宋体" w:eastAsia="宋体" w:cs="宋体"/>
          <w:sz w:val="24"/>
          <w:szCs w:val="20"/>
          <w:lang w:val="en-US" w:eastAsia="zh-CN" w:bidi="ar-SA"/>
        </w:rPr>
        <w:t xml:space="preserve">（6）清单项目中特征描述不全的工序，如图纸已明确或已指明引用规范、图集等或是常规工艺必须的工序，应视为包括在报价中。 </w:t>
      </w:r>
    </w:p>
    <w:p w14:paraId="2D908107">
      <w:pPr>
        <w:widowControl w:val="0"/>
        <w:spacing w:before="240" w:after="0" w:line="360" w:lineRule="auto"/>
        <w:ind w:left="0" w:firstLine="552"/>
        <w:jc w:val="both"/>
        <w:rPr>
          <w:rFonts w:hint="default" w:ascii="宋体" w:hAnsi="宋体" w:eastAsia="宋体" w:cs="宋体"/>
          <w:sz w:val="24"/>
          <w:szCs w:val="20"/>
          <w:lang w:val="en-US" w:eastAsia="zh-CN" w:bidi="ar-SA"/>
        </w:rPr>
      </w:pPr>
      <w:r>
        <w:rPr>
          <w:rFonts w:hint="eastAsia" w:ascii="宋体" w:hAnsi="宋体" w:eastAsia="宋体" w:cs="宋体"/>
          <w:sz w:val="24"/>
          <w:szCs w:val="20"/>
          <w:lang w:val="en-US" w:eastAsia="zh-CN" w:bidi="ar-SA"/>
        </w:rPr>
        <w:t>（</w:t>
      </w:r>
      <w:r>
        <w:rPr>
          <w:rFonts w:hint="default" w:ascii="宋体" w:hAnsi="宋体" w:eastAsia="宋体" w:cs="宋体"/>
          <w:sz w:val="24"/>
          <w:szCs w:val="20"/>
          <w:lang w:val="en-US" w:eastAsia="zh-CN" w:bidi="ar-SA"/>
        </w:rPr>
        <w:t>7</w:t>
      </w:r>
      <w:r>
        <w:rPr>
          <w:rFonts w:hint="eastAsia" w:ascii="宋体" w:hAnsi="宋体" w:eastAsia="宋体" w:cs="宋体"/>
          <w:sz w:val="24"/>
          <w:szCs w:val="20"/>
          <w:lang w:val="en-US" w:eastAsia="zh-CN" w:bidi="ar-SA"/>
        </w:rPr>
        <w:t>）工程量清单项未予实施或工程量减少的，按照投标报价从中标价款中予以减除，竣工结算时予以扣减。</w:t>
      </w:r>
    </w:p>
    <w:p w14:paraId="259D8E0F">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报价的计价方法:本工程项目采用工程量清单计价。响应单位应根据磋商文件中提供的工程量清单计算工程项目的单价、合价。工程量清单中每一个子目和单项均需计算填写单价、合价。若供应商没有填写单价、合价的项目采购人将不予支付，并认为此项费用已包括在工程量清单的其它单价、合价中。</w:t>
      </w:r>
    </w:p>
    <w:p w14:paraId="104CF69B">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报价编制依据及要求：本工程执行现行国家标准《建设工程工程量清单计价规范》(GB50500-2013)、《建筑与装饰工程工程量计算规范》(GB50854-2013)、《通用安装工程工程量计算规范》(GB50856-2013)、《江苏省建筑与装饰工程计价定额》、《2009江苏修缮建筑定额》、《江苏省建设工程费用定额》(2014年)含营改增后调整内容及苏建函价[2019]178号文件关于建筑业税率调整的通知;</w:t>
      </w:r>
    </w:p>
    <w:p w14:paraId="5EAEE462">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不可竞争费用:执行《江苏省建设工程费用定额》(2014)的各项要求，该项费用按《江苏省建设工程费用定额》(2014)文件规定计算。(不可竞争费包括:安全文明施工措施费、社会保险费、住房公积金、税金);</w:t>
      </w:r>
    </w:p>
    <w:p w14:paraId="00CF5864">
      <w:pPr>
        <w:widowControl w:val="0"/>
        <w:spacing w:line="360" w:lineRule="auto"/>
        <w:ind w:left="0" w:firstLine="0"/>
        <w:jc w:val="both"/>
        <w:rPr>
          <w:rFonts w:hint="eastAsia" w:ascii="宋体" w:hAnsi="宋体" w:eastAsia="宋体" w:cs="Times New Roman"/>
          <w:b/>
          <w:bCs w:val="0"/>
          <w:sz w:val="24"/>
          <w:szCs w:val="22"/>
          <w:highlight w:val="none"/>
          <w:lang w:val="en-US" w:eastAsia="zh-CN" w:bidi="ar-SA"/>
        </w:rPr>
      </w:pPr>
      <w:r>
        <w:rPr>
          <w:rFonts w:hint="eastAsia" w:ascii="宋体" w:hAnsi="宋体" w:eastAsia="宋体" w:cs="Times New Roman"/>
          <w:b/>
          <w:bCs w:val="0"/>
          <w:sz w:val="24"/>
          <w:szCs w:val="22"/>
          <w:highlight w:val="none"/>
          <w:lang w:val="en-US" w:eastAsia="zh-CN" w:bidi="ar-SA"/>
        </w:rPr>
        <w:t>3、本工程的其他规定：</w:t>
      </w:r>
    </w:p>
    <w:p w14:paraId="3F0FC99C">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3.1招标控制价编制价格参考2025年第5期《徐州工程造价信息》中的指导价及市场价，供应商的材料价格根据市场行情自主报价。</w:t>
      </w:r>
    </w:p>
    <w:p w14:paraId="4419BAE7">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3.2招标控制价人工费按苏建函价[2025]66号。</w:t>
      </w:r>
    </w:p>
    <w:p w14:paraId="692DE940">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3.3建筑安装工程造价的组成：</w:t>
      </w:r>
    </w:p>
    <w:p w14:paraId="379F24F0">
      <w:pPr>
        <w:widowControl w:val="0"/>
        <w:numPr>
          <w:ilvl w:val="0"/>
          <w:numId w:val="1"/>
        </w:numPr>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总价措施项目费</w:t>
      </w:r>
    </w:p>
    <w:p w14:paraId="0BBE43B8">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现场安全文明施工基本费：</w:t>
      </w:r>
      <w:r>
        <w:rPr>
          <w:rFonts w:hint="default" w:ascii="宋体" w:hAnsi="宋体" w:eastAsia="宋体" w:cs="宋体"/>
          <w:color w:val="000000"/>
          <w:sz w:val="24"/>
          <w:szCs w:val="24"/>
          <w:lang w:val="en-US" w:eastAsia="zh-CN" w:bidi="ar-SA"/>
        </w:rPr>
        <w:t>详见工程量清单</w:t>
      </w:r>
      <w:r>
        <w:rPr>
          <w:rFonts w:hint="eastAsia" w:ascii="宋体" w:hAnsi="宋体" w:eastAsia="宋体" w:cs="Times New Roman"/>
          <w:bCs/>
          <w:sz w:val="24"/>
          <w:szCs w:val="22"/>
          <w:highlight w:val="none"/>
          <w:lang w:val="en-US" w:eastAsia="zh-CN" w:bidi="ar-SA"/>
        </w:rPr>
        <w:t>；</w:t>
      </w:r>
    </w:p>
    <w:p w14:paraId="29868FB5">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工地扬尘污染防治措施费：</w:t>
      </w:r>
      <w:r>
        <w:rPr>
          <w:rFonts w:hint="default" w:ascii="宋体" w:hAnsi="宋体" w:eastAsia="宋体" w:cs="宋体"/>
          <w:color w:val="000000"/>
          <w:sz w:val="24"/>
          <w:szCs w:val="24"/>
          <w:lang w:val="en-US" w:eastAsia="zh-CN" w:bidi="ar-SA"/>
        </w:rPr>
        <w:t>详见工程量清单</w:t>
      </w:r>
      <w:r>
        <w:rPr>
          <w:rFonts w:hint="eastAsia" w:ascii="宋体" w:hAnsi="宋体" w:eastAsia="宋体" w:cs="Times New Roman"/>
          <w:bCs/>
          <w:sz w:val="24"/>
          <w:szCs w:val="22"/>
          <w:highlight w:val="none"/>
          <w:lang w:val="en-US" w:eastAsia="zh-CN" w:bidi="ar-SA"/>
        </w:rPr>
        <w:t>；</w:t>
      </w:r>
    </w:p>
    <w:p w14:paraId="0BE6BB5F">
      <w:pPr>
        <w:numPr>
          <w:ilvl w:val="0"/>
          <w:numId w:val="0"/>
        </w:numPr>
        <w:spacing w:line="360" w:lineRule="auto"/>
        <w:ind w:firstLine="361"/>
        <w:jc w:val="both"/>
        <w:rPr>
          <w:rFonts w:hint="default" w:ascii="宋体" w:hAnsi="宋体" w:eastAsia="仿宋_GB2312" w:cs="Times New Roman"/>
          <w:sz w:val="18"/>
          <w:szCs w:val="18"/>
          <w:lang w:val="en-US" w:eastAsia="zh-CN" w:bidi="ar-SA"/>
        </w:rPr>
      </w:pPr>
    </w:p>
    <w:p w14:paraId="4A548D7C">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(二)规费</w:t>
      </w:r>
    </w:p>
    <w:p w14:paraId="1A18819C">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1、社会保险费:</w:t>
      </w:r>
      <w:r>
        <w:rPr>
          <w:rFonts w:hint="default" w:ascii="宋体" w:hAnsi="宋体" w:eastAsia="宋体" w:cs="宋体"/>
          <w:color w:val="000000"/>
          <w:sz w:val="24"/>
          <w:szCs w:val="24"/>
          <w:lang w:val="en-US" w:eastAsia="zh-CN" w:bidi="ar-SA"/>
        </w:rPr>
        <w:t>详见工程量清单</w:t>
      </w:r>
      <w:r>
        <w:rPr>
          <w:rFonts w:hint="eastAsia" w:ascii="宋体" w:hAnsi="宋体" w:eastAsia="宋体" w:cs="Times New Roman"/>
          <w:bCs/>
          <w:sz w:val="24"/>
          <w:szCs w:val="22"/>
          <w:highlight w:val="none"/>
          <w:lang w:val="en-US" w:eastAsia="zh-CN" w:bidi="ar-SA"/>
        </w:rPr>
        <w:t>;</w:t>
      </w:r>
    </w:p>
    <w:p w14:paraId="627D89B7">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2、住房公积金:</w:t>
      </w:r>
      <w:r>
        <w:rPr>
          <w:rFonts w:hint="default" w:ascii="宋体" w:hAnsi="宋体" w:eastAsia="宋体" w:cs="宋体"/>
          <w:color w:val="000000"/>
          <w:sz w:val="24"/>
          <w:szCs w:val="24"/>
          <w:lang w:val="en-US" w:eastAsia="zh-CN" w:bidi="ar-SA"/>
        </w:rPr>
        <w:t>详见工程量清单</w:t>
      </w:r>
      <w:r>
        <w:rPr>
          <w:rFonts w:hint="eastAsia" w:ascii="宋体" w:hAnsi="宋体" w:eastAsia="宋体" w:cs="Times New Roman"/>
          <w:bCs/>
          <w:sz w:val="24"/>
          <w:szCs w:val="22"/>
          <w:highlight w:val="none"/>
          <w:lang w:val="en-US" w:eastAsia="zh-CN" w:bidi="ar-SA"/>
        </w:rPr>
        <w:t>;</w:t>
      </w:r>
    </w:p>
    <w:p w14:paraId="3BAEF6DE">
      <w:pPr>
        <w:widowControl w:val="0"/>
        <w:spacing w:line="360" w:lineRule="auto"/>
        <w:ind w:firstLine="480"/>
        <w:jc w:val="both"/>
        <w:rPr>
          <w:rFonts w:hint="eastAsia" w:ascii="Times New Roman" w:hAnsi="Times New Roman" w:eastAsia="宋体" w:cs="Times New Roman"/>
          <w:sz w:val="24"/>
          <w:szCs w:val="24"/>
          <w:highlight w:val="none"/>
          <w:lang w:val="en-US" w:eastAsia="zh-CN" w:bidi="ar-SA"/>
        </w:rPr>
      </w:pPr>
      <w:r>
        <w:rPr>
          <w:rFonts w:hint="eastAsia" w:ascii="宋体" w:hAnsi="宋体" w:eastAsia="宋体" w:cs="Times New Roman"/>
          <w:bCs/>
          <w:sz w:val="24"/>
          <w:szCs w:val="22"/>
          <w:highlight w:val="none"/>
          <w:lang w:val="en-US" w:eastAsia="zh-CN" w:bidi="ar-SA"/>
        </w:rPr>
        <w:t>(三)税金:</w:t>
      </w:r>
      <w:r>
        <w:rPr>
          <w:rFonts w:hint="default" w:ascii="宋体" w:hAnsi="宋体" w:eastAsia="宋体" w:cs="宋体"/>
          <w:color w:val="000000"/>
          <w:sz w:val="24"/>
          <w:szCs w:val="24"/>
          <w:lang w:val="en-US" w:eastAsia="zh-CN" w:bidi="ar-SA"/>
        </w:rPr>
        <w:t>详见工程量清单</w:t>
      </w:r>
      <w:r>
        <w:rPr>
          <w:rFonts w:hint="eastAsia" w:ascii="宋体" w:hAnsi="宋体" w:eastAsia="宋体" w:cs="Times New Roman"/>
          <w:bCs/>
          <w:sz w:val="24"/>
          <w:szCs w:val="22"/>
          <w:highlight w:val="none"/>
          <w:lang w:val="en-US" w:eastAsia="zh-CN" w:bidi="ar-SA"/>
        </w:rPr>
        <w:t>。</w:t>
      </w:r>
    </w:p>
    <w:p w14:paraId="57626BB1">
      <w:pPr>
        <w:widowControl w:val="0"/>
        <w:spacing w:line="360" w:lineRule="auto"/>
        <w:ind w:left="0" w:firstLine="0"/>
        <w:jc w:val="both"/>
        <w:rPr>
          <w:rFonts w:hint="eastAsia" w:ascii="宋体" w:hAnsi="宋体" w:eastAsia="宋体" w:cs="Times New Roman"/>
          <w:b/>
          <w:bCs w:val="0"/>
          <w:sz w:val="24"/>
          <w:szCs w:val="22"/>
          <w:highlight w:val="none"/>
          <w:lang w:val="en-US" w:eastAsia="zh-CN" w:bidi="ar-SA"/>
        </w:rPr>
      </w:pPr>
      <w:r>
        <w:rPr>
          <w:rFonts w:hint="eastAsia" w:ascii="宋体" w:hAnsi="宋体" w:eastAsia="宋体" w:cs="Times New Roman"/>
          <w:b/>
          <w:bCs w:val="0"/>
          <w:sz w:val="24"/>
          <w:szCs w:val="22"/>
          <w:highlight w:val="none"/>
          <w:lang w:val="en-US" w:eastAsia="zh-CN" w:bidi="ar-SA"/>
        </w:rPr>
        <w:t>五、低于成本报价：</w:t>
      </w:r>
    </w:p>
    <w:p w14:paraId="7188B142">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 xml:space="preserve">在磋商过程中，磋商小组发现供应商的报价明显低于其他报价，使得其报价可能低于其个别成本的，应当要求该供应商作出书面说明并提供相关证明材料。供应商不能合理说明或者不能提供相关证明材料的，由磋商小组会认定该供应商以低于成本报价，其响应文件应作无效响应文件处理。 </w:t>
      </w:r>
    </w:p>
    <w:p w14:paraId="477D2F6A">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磋商小组全体成员三分之二以上认为该供应商不能合理说明或者不能提供相关证明材料的，认定该供应商以低于成本报价，其响应文件应作无效响应文件处理。持有异议的磋商小组成员可以书面方式阐述其不同意见和理由，拒绝签字且不陈述其不同意见和理由的，视为同意。</w:t>
      </w:r>
    </w:p>
    <w:p w14:paraId="35F419F0">
      <w:pPr>
        <w:widowControl w:val="0"/>
        <w:numPr>
          <w:ilvl w:val="0"/>
          <w:numId w:val="0"/>
        </w:numPr>
        <w:spacing w:line="360" w:lineRule="auto"/>
        <w:ind w:firstLine="723"/>
        <w:jc w:val="both"/>
        <w:rPr>
          <w:rFonts w:hint="eastAsia" w:ascii="宋体" w:hAnsi="宋体" w:eastAsia="宋体" w:cs="Times New Roman"/>
          <w:b/>
          <w:bCs w:val="0"/>
          <w:sz w:val="24"/>
          <w:szCs w:val="22"/>
          <w:highlight w:val="none"/>
          <w:lang w:val="en-US" w:eastAsia="zh-CN" w:bidi="ar-SA"/>
        </w:rPr>
      </w:pPr>
      <w:r>
        <w:rPr>
          <w:rFonts w:hint="eastAsia" w:ascii="宋体" w:hAnsi="宋体" w:eastAsia="宋体" w:cs="Times New Roman"/>
          <w:b/>
          <w:bCs w:val="0"/>
          <w:sz w:val="24"/>
          <w:szCs w:val="22"/>
          <w:highlight w:val="none"/>
          <w:lang w:val="en-US" w:eastAsia="zh-CN" w:bidi="ar-SA"/>
        </w:rPr>
        <w:t>六、其他要求：</w:t>
      </w:r>
    </w:p>
    <w:p w14:paraId="0A2B4673">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1.供应商报价时需考虑完成本项目内容所涉及的人工费、材料费、机械费、税费、验收等相关的一切费用。</w:t>
      </w:r>
    </w:p>
    <w:p w14:paraId="4848C642">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2.供应商应根据本项目实际情况，合理配置人员，除项目经理外，安全员、质检员、施工员、预算员、材料员等人员应经验丰富，确保项目顺利实施。</w:t>
      </w:r>
    </w:p>
    <w:p w14:paraId="2D4B2711">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3.符合徐州市有关部门规定的标准化施工现场要求，同时应满足市政、市容等相关主管部门的有关规定。施工工地一律实行封闭施工、防尘网覆盖、定时洒水，控制扬尘污染等安全文明施工措施。供应商违反规定所造成的损失和处罚由供应商承担。交工后一周内彻底清洁完毕撤离现场。</w:t>
      </w:r>
    </w:p>
    <w:p w14:paraId="77C0E28B">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4.供应商对工程建设期间扬尘治理工作负主体责任。应制定施工现场扬尘污染防治专项方案，按照承包工程范围做好扬尘污染防治措施的落实。方案必须符合我市“徐空气提升办【2018】11号”和“徐城管发【2018】55号”关于扬尘管控的相关规定要求。</w:t>
      </w:r>
    </w:p>
    <w:p w14:paraId="41747920">
      <w:pPr>
        <w:widowControl w:val="0"/>
        <w:spacing w:line="360" w:lineRule="auto"/>
        <w:ind w:firstLine="480"/>
        <w:jc w:val="both"/>
        <w:rPr>
          <w:rFonts w:hint="default"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5.工程质量必须达到合同约定标准，且保证相关部门验收通过；未达到质量要求的，成交供应商负责无条件返工，直至达到要求，所发生的费用由成交供应商承担，成交供应商还应赔偿因此给采购人造成的损失</w:t>
      </w:r>
      <w:r>
        <w:rPr>
          <w:rFonts w:hint="default" w:ascii="宋体" w:hAnsi="宋体" w:eastAsia="宋体" w:cs="Times New Roman"/>
          <w:bCs/>
          <w:sz w:val="24"/>
          <w:szCs w:val="22"/>
          <w:highlight w:val="none"/>
          <w:lang w:val="en-US" w:eastAsia="zh-CN" w:bidi="ar-SA"/>
        </w:rPr>
        <w:t>；</w:t>
      </w:r>
    </w:p>
    <w:p w14:paraId="421C95C0">
      <w:pPr>
        <w:keepNext w:val="0"/>
        <w:keepLines w:val="0"/>
        <w:pageBreakBefore w:val="0"/>
        <w:widowControl w:val="0"/>
        <w:spacing w:after="60" w:line="360" w:lineRule="auto"/>
        <w:ind w:left="72" w:right="3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七、</w:t>
      </w:r>
      <w:r>
        <w:rPr>
          <w:rFonts w:hint="eastAsia" w:ascii="宋体" w:hAnsi="Times New Roman" w:eastAsia="宋体" w:cs="宋体"/>
          <w:b/>
          <w:bCs/>
          <w:color w:val="000000"/>
          <w:sz w:val="24"/>
          <w:szCs w:val="24"/>
          <w:highlight w:val="none"/>
          <w:lang w:val="en-US" w:eastAsia="zh-CN" w:bidi="ar-SA"/>
        </w:rPr>
        <w:t>质保期限：</w:t>
      </w:r>
      <w:r>
        <w:rPr>
          <w:rFonts w:hint="eastAsia" w:ascii="宋体" w:hAnsi="宋体" w:eastAsia="宋体" w:cs="宋体"/>
          <w:b/>
          <w:bCs/>
          <w:color w:val="000000"/>
          <w:sz w:val="24"/>
          <w:szCs w:val="24"/>
          <w:lang w:val="en-US" w:eastAsia="zh-CN" w:bidi="ar-SA"/>
        </w:rPr>
        <w:t>整体</w:t>
      </w:r>
      <w:r>
        <w:rPr>
          <w:rFonts w:hint="eastAsia" w:ascii="宋体" w:hAnsi="宋体" w:eastAsia="宋体" w:cs="宋体"/>
          <w:b/>
          <w:bCs/>
          <w:color w:val="000000"/>
          <w:sz w:val="24"/>
          <w:szCs w:val="24"/>
          <w:highlight w:val="none"/>
          <w:lang w:val="en-US" w:eastAsia="zh-CN" w:bidi="ar-SA"/>
        </w:rPr>
        <w:t>工程质保期不低于二年</w:t>
      </w:r>
      <w:r>
        <w:rPr>
          <w:rFonts w:hint="eastAsia" w:ascii="宋体" w:hAnsi="Times New Roman" w:eastAsia="宋体" w:cs="宋体"/>
          <w:b/>
          <w:bCs/>
          <w:color w:val="000000"/>
          <w:sz w:val="24"/>
          <w:szCs w:val="24"/>
          <w:highlight w:val="none"/>
          <w:lang w:val="en-US" w:eastAsia="zh-CN" w:bidi="ar-SA"/>
        </w:rPr>
        <w:t>（自工程竣工验收合格后起算）。</w:t>
      </w:r>
    </w:p>
    <w:p w14:paraId="42EB3809">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质保期内，如发生故障，采购人通知中标人售后服务人员时，相关服务人员要在24小时内到达现场配合采购人处理问题，进行更换或进行必要的维修。否则发包人有权另行委托其他单位或个人进行处理，相关费用直接在工程费用中扣除。质保期外，工程质量出现问题，中标人应主动提供维修方案，只收取材料费。供应商需根据本项目特征及自身情况编制施工方案。</w:t>
      </w:r>
    </w:p>
    <w:p w14:paraId="53F3573E">
      <w:pPr>
        <w:spacing w:line="360" w:lineRule="auto"/>
        <w:rPr>
          <w:rFonts w:hint="eastAsia" w:ascii="宋体" w:hAnsi="宋体" w:eastAsia="宋体" w:cs="Times New Roman"/>
          <w:b/>
          <w:bCs w:val="0"/>
          <w:sz w:val="24"/>
          <w:szCs w:val="22"/>
          <w:highlight w:val="none"/>
          <w:lang w:val="en-US" w:eastAsia="zh-CN" w:bidi="ar-SA"/>
        </w:rPr>
      </w:pPr>
      <w:r>
        <w:rPr>
          <w:rFonts w:hint="eastAsia" w:ascii="宋体" w:hAnsi="宋体" w:eastAsia="宋体" w:cs="Times New Roman"/>
          <w:b/>
          <w:bCs w:val="0"/>
          <w:sz w:val="24"/>
          <w:szCs w:val="22"/>
          <w:highlight w:val="none"/>
          <w:lang w:val="en-US" w:eastAsia="zh-CN" w:bidi="ar-SA"/>
        </w:rPr>
        <w:t>八、其他要求：见《合同草案条款》、《工程量清单》。</w:t>
      </w:r>
    </w:p>
    <w:p w14:paraId="213BEBA7">
      <w:pPr>
        <w:rPr>
          <w:rFonts w:hint="eastAsia" w:ascii="宋体" w:hAnsi="宋体" w:eastAsia="宋体" w:cs="Times New Roman"/>
          <w:b/>
          <w:bCs w:val="0"/>
          <w:sz w:val="24"/>
          <w:szCs w:val="22"/>
          <w:highlight w:val="none"/>
          <w:lang w:val="en-US" w:eastAsia="zh-CN" w:bidi="ar-SA"/>
        </w:rPr>
      </w:pPr>
      <w:r>
        <w:rPr>
          <w:rFonts w:hint="eastAsia" w:ascii="宋体" w:hAnsi="宋体" w:eastAsia="宋体" w:cs="Times New Roman"/>
          <w:b/>
          <w:bCs w:val="0"/>
          <w:sz w:val="24"/>
          <w:szCs w:val="22"/>
          <w:highlight w:val="none"/>
          <w:lang w:val="en-US" w:eastAsia="zh-CN" w:bidi="ar-SA"/>
        </w:rPr>
        <w:br w:type="page"/>
      </w:r>
    </w:p>
    <w:p w14:paraId="3E32B656">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资格条件（1～6项必须提供，否则响应无效）</w:t>
      </w:r>
    </w:p>
    <w:p w14:paraId="0994B351">
      <w:pPr>
        <w:widowControl w:val="0"/>
        <w:spacing w:after="0" w:line="360" w:lineRule="auto"/>
        <w:ind w:left="0" w:firstLine="482"/>
        <w:jc w:val="both"/>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（1）具有独立承担民事责任的能力，提供合法有效的法人的营业执照（或事业单位法人证书）或其他组织应提供合法证明文件（加盖电子签章）；</w:t>
      </w:r>
    </w:p>
    <w:p w14:paraId="6729EA6F">
      <w:pPr>
        <w:widowControl w:val="0"/>
        <w:spacing w:after="0" w:line="360" w:lineRule="auto"/>
        <w:ind w:left="0" w:firstLine="482"/>
        <w:jc w:val="both"/>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2）供应商的“首次响应文件提交的截止时间”前6个月内任何1月（不含“首次响应文件提交的截止时间”当月）的资产负债表的扫描件1份；供应商的“首次响应文件提交的截止时间”前6个月内任何1月（不含“首次响应文件提交的截止时间”当月）的利润表月报表的扫描件1份。或提供2024年度财务报告（应包括审计报告正文、资产负债表、现金流量表、利润表）；</w:t>
      </w:r>
    </w:p>
    <w:p w14:paraId="6EA80A91">
      <w:pPr>
        <w:widowControl w:val="0"/>
        <w:spacing w:after="0" w:line="360" w:lineRule="auto"/>
        <w:ind w:left="0" w:firstLine="482"/>
        <w:jc w:val="both"/>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3）投标人的本项目开标时间前6个月内（不含开标当月）的依法缴纳税收和社会保障资金的相关材料扫描件（依法免税或不需要缴纳社会保障资金的供应商,提供相应文件证明其依法免税或不需要缴纳社会保障资金)。</w:t>
      </w:r>
    </w:p>
    <w:p w14:paraId="20016C6A">
      <w:pPr>
        <w:widowControl w:val="0"/>
        <w:spacing w:after="0" w:line="360" w:lineRule="auto"/>
        <w:ind w:left="0" w:firstLine="482"/>
        <w:jc w:val="both"/>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（4）具备履行合同所必需的设备和专业技术能力的证明材料。响应文件中提供《具备履行合同所必需的设备和专业技术能力的书面声明》（加盖电子签章，格式见《磋商文件》附件）。</w:t>
      </w:r>
    </w:p>
    <w:p w14:paraId="6A7BBEBE">
      <w:pPr>
        <w:widowControl w:val="0"/>
        <w:spacing w:after="0" w:line="360" w:lineRule="auto"/>
        <w:ind w:left="0" w:firstLine="482"/>
        <w:jc w:val="both"/>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（5）供应商参加政府采购活动前3年内在经营活动中没有重大违法记录的书面声明(格式见《磋商文件》附件)。</w:t>
      </w:r>
    </w:p>
    <w:p w14:paraId="5CB3223F">
      <w:pPr>
        <w:spacing w:line="360" w:lineRule="auto"/>
        <w:ind w:right="-334" w:firstLine="482"/>
        <w:rPr>
          <w:rFonts w:hint="eastAsia" w:ascii="宋体" w:hAnsi="宋体" w:eastAsia="宋体" w:cs="宋体"/>
          <w:b/>
          <w:bCs/>
          <w:color w:val="auto"/>
          <w:kern w:val="0"/>
          <w:sz w:val="24"/>
          <w:szCs w:val="24"/>
          <w:highlight w:val="none"/>
          <w:lang w:val="en-US" w:eastAsia="zh-CN" w:bidi="ar-SA"/>
        </w:rPr>
      </w:pPr>
      <w:bookmarkStart w:id="0" w:name="OLE_LINK4"/>
      <w:r>
        <w:rPr>
          <w:rFonts w:hint="eastAsia" w:ascii="宋体" w:hAnsi="宋体" w:eastAsia="宋体" w:cs="宋体"/>
          <w:b/>
          <w:bCs/>
          <w:color w:val="auto"/>
          <w:kern w:val="0"/>
          <w:sz w:val="24"/>
          <w:szCs w:val="24"/>
          <w:highlight w:val="none"/>
          <w:lang w:val="en-US" w:eastAsia="zh-CN" w:bidi="ar-SA"/>
        </w:rPr>
        <w:t>（6）本项目特定资格条件：</w:t>
      </w:r>
    </w:p>
    <w:bookmarkEnd w:id="0"/>
    <w:p w14:paraId="65F09797">
      <w:pPr>
        <w:widowControl/>
        <w:adjustRightInd w:val="0"/>
        <w:snapToGrid w:val="0"/>
        <w:spacing w:line="360" w:lineRule="auto"/>
        <w:ind w:right="26" w:firstLine="482" w:firstLineChars="200"/>
        <w:jc w:val="left"/>
        <w:rPr>
          <w:rFonts w:hint="eastAsia" w:ascii="宋体" w:hAnsi="宋体" w:eastAsia="宋体" w:cs="宋体"/>
          <w:b/>
          <w:bCs/>
          <w:kern w:val="2"/>
          <w:sz w:val="24"/>
          <w:highlight w:val="none"/>
        </w:rPr>
      </w:pPr>
      <w:r>
        <w:rPr>
          <w:rFonts w:hint="eastAsia" w:ascii="宋体" w:hAnsi="宋体" w:eastAsia="宋体" w:cs="宋体"/>
          <w:b/>
          <w:bCs/>
          <w:kern w:val="2"/>
          <w:sz w:val="24"/>
          <w:highlight w:val="none"/>
        </w:rPr>
        <w:t>供应商资质类别和等级：</w:t>
      </w:r>
      <w:r>
        <w:rPr>
          <w:rFonts w:hint="eastAsia" w:ascii="宋体" w:hAnsi="宋体" w:eastAsia="宋体" w:cs="宋体"/>
          <w:b/>
          <w:bCs/>
          <w:kern w:val="2"/>
          <w:sz w:val="24"/>
          <w:highlight w:val="none"/>
          <w:lang w:eastAsia="zh-CN"/>
        </w:rPr>
        <w:t>具备建筑工程施工总承包叁级（含）及以上资质及有效的安全生产许可证；</w:t>
      </w:r>
      <w:r>
        <w:rPr>
          <w:rFonts w:hint="eastAsia" w:ascii="宋体" w:hAnsi="宋体" w:eastAsia="宋体" w:cs="宋体"/>
          <w:b/>
          <w:bCs/>
          <w:kern w:val="2"/>
          <w:sz w:val="24"/>
          <w:highlight w:val="none"/>
        </w:rPr>
        <w:t>(含)及以上资质，并具备合格有效的安全生产许可证;</w:t>
      </w:r>
    </w:p>
    <w:p w14:paraId="4CB228D0">
      <w:pPr>
        <w:widowControl/>
        <w:adjustRightInd w:val="0"/>
        <w:snapToGrid w:val="0"/>
        <w:spacing w:line="360" w:lineRule="auto"/>
        <w:ind w:right="26" w:firstLine="482" w:firstLineChars="200"/>
        <w:jc w:val="left"/>
        <w:rPr>
          <w:rFonts w:hint="eastAsia" w:ascii="宋体" w:hAnsi="宋体" w:eastAsia="宋体" w:cs="宋体"/>
          <w:b/>
          <w:bCs/>
          <w:kern w:val="2"/>
          <w:sz w:val="24"/>
          <w:highlight w:val="none"/>
        </w:rPr>
      </w:pPr>
      <w:r>
        <w:rPr>
          <w:rFonts w:hint="eastAsia" w:ascii="宋体" w:hAnsi="宋体" w:eastAsia="宋体" w:cs="宋体"/>
          <w:b/>
          <w:bCs/>
          <w:kern w:val="2"/>
          <w:sz w:val="24"/>
          <w:highlight w:val="none"/>
        </w:rPr>
        <w:t>项目负责人应为本单位注册的，具有市政公用工程专业二级(及以上)注册建造师证及安全生产考核合格证书(B证);</w:t>
      </w:r>
    </w:p>
    <w:p w14:paraId="00AC220C">
      <w:pPr>
        <w:spacing w:line="360" w:lineRule="auto"/>
        <w:ind w:right="-334" w:firstLine="482"/>
        <w:rPr>
          <w:rFonts w:hint="default" w:ascii="宋体" w:hAnsi="宋体" w:eastAsia="宋体" w:cs="宋体"/>
          <w:b/>
          <w:color w:val="auto"/>
          <w:kern w:val="0"/>
          <w:sz w:val="24"/>
          <w:highlight w:val="none"/>
        </w:rPr>
      </w:pPr>
      <w:r>
        <w:rPr>
          <w:rFonts w:hint="eastAsia" w:ascii="宋体" w:hAnsi="宋体" w:eastAsia="宋体" w:cs="宋体"/>
          <w:b/>
          <w:color w:val="auto"/>
          <w:kern w:val="0"/>
          <w:sz w:val="24"/>
          <w:highlight w:val="none"/>
          <w:lang w:eastAsia="zh-CN"/>
        </w:rPr>
        <w:t>（</w:t>
      </w:r>
      <w:r>
        <w:rPr>
          <w:rFonts w:hint="eastAsia" w:ascii="宋体" w:hAnsi="宋体" w:eastAsia="宋体" w:cs="宋体"/>
          <w:b/>
          <w:color w:val="auto"/>
          <w:kern w:val="0"/>
          <w:sz w:val="24"/>
          <w:highlight w:val="none"/>
          <w:lang w:val="en-US" w:eastAsia="zh-CN"/>
        </w:rPr>
        <w:t>7</w:t>
      </w:r>
      <w:r>
        <w:rPr>
          <w:rFonts w:hint="eastAsia" w:ascii="宋体" w:hAnsi="宋体" w:eastAsia="宋体" w:cs="宋体"/>
          <w:b/>
          <w:color w:val="auto"/>
          <w:kern w:val="0"/>
          <w:sz w:val="24"/>
          <w:highlight w:val="none"/>
          <w:lang w:eastAsia="zh-CN"/>
        </w:rPr>
        <w:t>）</w:t>
      </w:r>
      <w:r>
        <w:rPr>
          <w:rFonts w:hint="eastAsia" w:ascii="宋体" w:hAnsi="宋体" w:eastAsia="宋体" w:cs="宋体"/>
          <w:b/>
          <w:color w:val="auto"/>
          <w:kern w:val="0"/>
          <w:sz w:val="24"/>
          <w:highlight w:val="none"/>
        </w:rPr>
        <w:t>本项目属于专门面向中小微企业采购的项目，供应商应为中小微企业（含中型、小型、微型企业，下同），响应文件中提供《中小企业声明函》（加盖电子签章，必须提供，填写完整，格式见《磋商文件》附件，如不填写完整或未按要求填写的，视为无效）。《中小企业声明函》查询渠道用微信搜索“中小企业规模类型自测小程序”。</w:t>
      </w:r>
    </w:p>
    <w:p w14:paraId="0047279D">
      <w:pPr>
        <w:spacing w:line="360" w:lineRule="auto"/>
        <w:ind w:right="-33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注：中小微企业，应当同时符合以下条件：</w:t>
      </w:r>
    </w:p>
    <w:p w14:paraId="1EFA2996">
      <w:pPr>
        <w:spacing w:line="360" w:lineRule="auto"/>
        <w:ind w:right="-334" w:firstLine="36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中小企业需满足的条件具体以《政府采购促进中小企业发展管理办法》（财库﹝2020﹞46 号）和《工业和信息化部、国家统计局、国家发展和改革委员会、财政部关于印发中小企业划型标准规定的通知》（工信部联企业[2011]300号）的规定为准。</w:t>
      </w:r>
    </w:p>
    <w:p w14:paraId="308CEA17">
      <w:pPr>
        <w:spacing w:line="360" w:lineRule="auto"/>
        <w:ind w:right="-334" w:firstLine="36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供应商为残疾人福利性单位的，视同小微企业，提供《残疾人福利性单位声明函》（电子签章，格式见附件》）。具体以《关于促进残疾人就业政府采购政策的通知》（财库〔2017〕141号）的规定为准。</w:t>
      </w:r>
    </w:p>
    <w:p w14:paraId="2D7A5905">
      <w:pPr>
        <w:spacing w:line="360" w:lineRule="auto"/>
        <w:ind w:right="-334" w:firstLine="360"/>
        <w:rPr>
          <w:rFonts w:ascii="宋体" w:hAnsi="宋体" w:cs="宋体"/>
          <w:b/>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供应商为监狱企业的，视同小微企业，提供省级以上监狱管理局、戒毒管理局（含新疆生产建设兵团）出具的属于监狱企业的证明文件扫描件。具体以《财政部 司法部关于政府采购支持监狱企业发展有关问题的通知》（财库〔2014〕68号）的规定为准。</w:t>
      </w:r>
    </w:p>
    <w:p w14:paraId="436153A8">
      <w:pPr>
        <w:rPr>
          <w:color w:val="000000" w:themeColor="text1"/>
          <w:highlight w:val="none"/>
          <w14:textFill>
            <w14:solidFill>
              <w14:schemeClr w14:val="tx1"/>
            </w14:solidFill>
          </w14:textFill>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3NTVlMzBjNWNkZWM0ZjI4YTk4YmFiZTc5NjQzMjcifQ=="/>
  </w:docVars>
  <w:rsids>
    <w:rsidRoot w:val="04F9574B"/>
    <w:rsid w:val="04F9574B"/>
    <w:rsid w:val="0ED53B9B"/>
    <w:rsid w:val="103F05CD"/>
    <w:rsid w:val="105243C6"/>
    <w:rsid w:val="119B29BC"/>
    <w:rsid w:val="153926C6"/>
    <w:rsid w:val="170E10EF"/>
    <w:rsid w:val="1BA112D5"/>
    <w:rsid w:val="1FBE6A14"/>
    <w:rsid w:val="2245603E"/>
    <w:rsid w:val="23966D86"/>
    <w:rsid w:val="2E5B02E2"/>
    <w:rsid w:val="302B485F"/>
    <w:rsid w:val="34967489"/>
    <w:rsid w:val="35A672D6"/>
    <w:rsid w:val="3E391E12"/>
    <w:rsid w:val="40DE6362"/>
    <w:rsid w:val="45C53DA9"/>
    <w:rsid w:val="45DE6139"/>
    <w:rsid w:val="46F34B8E"/>
    <w:rsid w:val="47A6430C"/>
    <w:rsid w:val="4B4F6924"/>
    <w:rsid w:val="4BD16F06"/>
    <w:rsid w:val="4E30647F"/>
    <w:rsid w:val="548C4B0D"/>
    <w:rsid w:val="594A0CAC"/>
    <w:rsid w:val="5C12517C"/>
    <w:rsid w:val="5D282A51"/>
    <w:rsid w:val="61325599"/>
    <w:rsid w:val="674F0F98"/>
    <w:rsid w:val="73367407"/>
    <w:rsid w:val="756465AF"/>
    <w:rsid w:val="7A5A656A"/>
    <w:rsid w:val="7C0E2F2D"/>
    <w:rsid w:val="7CA04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tabs>
        <w:tab w:val="left" w:pos="180"/>
      </w:tabs>
      <w:spacing w:line="520" w:lineRule="exact"/>
      <w:jc w:val="both"/>
    </w:pPr>
    <w:rPr>
      <w:rFonts w:hint="default" w:ascii="Calibri" w:hAnsi="Calibri" w:eastAsia="宋体" w:cs="Times New Roman"/>
      <w:sz w:val="28"/>
      <w:szCs w:val="24"/>
      <w:lang w:val="en-US" w:eastAsia="zh-CN"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Title"/>
    <w:qFormat/>
    <w:uiPriority w:val="10"/>
    <w:pPr>
      <w:widowControl w:val="0"/>
      <w:spacing w:before="300" w:after="200"/>
      <w:contextualSpacing/>
      <w:jc w:val="both"/>
    </w:pPr>
    <w:rPr>
      <w:rFonts w:hint="default" w:ascii="Calibri" w:hAnsi="Calibri" w:eastAsia="宋体" w:cs="Times New Roman"/>
      <w:sz w:val="48"/>
      <w:szCs w:val="48"/>
      <w:lang w:val="en-US" w:eastAsia="zh-CN" w:bidi="ar-SA"/>
    </w:rPr>
  </w:style>
  <w:style w:type="paragraph" w:customStyle="1" w:styleId="7">
    <w:name w:val="普通(网站)1"/>
    <w:basedOn w:val="1"/>
    <w:qFormat/>
    <w:uiPriority w:val="99"/>
    <w:pPr>
      <w:widowControl/>
      <w:spacing w:before="100" w:beforeAutospacing="1" w:after="100" w:afterAutospacing="1"/>
      <w:jc w:val="left"/>
    </w:pPr>
    <w:rPr>
      <w:rFonts w:ascii="宋体" w:hAnsi="宋体" w:cs="宋体"/>
      <w:sz w:val="24"/>
    </w:rPr>
  </w:style>
  <w:style w:type="paragraph" w:customStyle="1" w:styleId="8">
    <w:name w:val="正文文本11"/>
    <w:basedOn w:val="1"/>
    <w:next w:val="1"/>
    <w:qFormat/>
    <w:uiPriority w:val="0"/>
    <w:pPr>
      <w:spacing w:after="120"/>
    </w:pPr>
  </w:style>
  <w:style w:type="paragraph" w:customStyle="1" w:styleId="9">
    <w:name w:val="正文文本缩进1"/>
    <w:basedOn w:val="10"/>
    <w:next w:val="18"/>
    <w:qFormat/>
    <w:uiPriority w:val="0"/>
    <w:pPr>
      <w:spacing w:after="120"/>
      <w:ind w:left="420"/>
    </w:pPr>
  </w:style>
  <w:style w:type="paragraph" w:customStyle="1" w:styleId="10">
    <w:name w:val="正文1"/>
    <w:basedOn w:val="11"/>
    <w:next w:val="12"/>
    <w:qFormat/>
    <w:uiPriority w:val="0"/>
    <w:pPr>
      <w:widowControl w:val="0"/>
      <w:jc w:val="both"/>
    </w:pPr>
    <w:rPr>
      <w:rFonts w:hint="default" w:ascii="Calibri" w:hAnsi="Calibri" w:eastAsia="宋体" w:cs="Times New Roman"/>
      <w:sz w:val="21"/>
      <w:szCs w:val="24"/>
      <w:lang w:val="en-US" w:eastAsia="zh-CN" w:bidi="ar-SA"/>
    </w:rPr>
  </w:style>
  <w:style w:type="paragraph" w:customStyle="1" w:styleId="11">
    <w:name w:val="正文111"/>
    <w:next w:val="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2">
    <w:name w:val="脚注文本1"/>
    <w:basedOn w:val="10"/>
    <w:next w:val="13"/>
    <w:qFormat/>
    <w:uiPriority w:val="0"/>
    <w:pPr>
      <w:spacing w:line="360" w:lineRule="atLeast"/>
      <w:jc w:val="left"/>
    </w:pPr>
    <w:rPr>
      <w:rFonts w:ascii="宋体" w:eastAsia="Times New Roman"/>
      <w:sz w:val="18"/>
      <w:szCs w:val="18"/>
    </w:rPr>
  </w:style>
  <w:style w:type="paragraph" w:customStyle="1" w:styleId="13">
    <w:name w:val="索引 51"/>
    <w:basedOn w:val="10"/>
    <w:next w:val="14"/>
    <w:qFormat/>
    <w:uiPriority w:val="0"/>
    <w:pPr>
      <w:spacing w:line="360" w:lineRule="atLeast"/>
      <w:ind w:left="798"/>
      <w:jc w:val="left"/>
    </w:pPr>
    <w:rPr>
      <w:sz w:val="24"/>
      <w:szCs w:val="20"/>
    </w:rPr>
  </w:style>
  <w:style w:type="paragraph" w:customStyle="1" w:styleId="14">
    <w:name w:val="正文11"/>
    <w:next w:val="15"/>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5">
    <w:name w:val="正文文本1"/>
    <w:basedOn w:val="16"/>
    <w:next w:val="14"/>
    <w:qFormat/>
    <w:uiPriority w:val="0"/>
    <w:pPr>
      <w:widowControl w:val="0"/>
      <w:spacing w:after="120"/>
      <w:jc w:val="both"/>
    </w:pPr>
    <w:rPr>
      <w:rFonts w:ascii="Calibri" w:hAnsi="Calibri"/>
      <w:sz w:val="21"/>
      <w:szCs w:val="24"/>
    </w:rPr>
  </w:style>
  <w:style w:type="paragraph" w:customStyle="1" w:styleId="16">
    <w:name w:val="正文12"/>
    <w:next w:val="17"/>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7">
    <w:name w:val="目录 111"/>
    <w:basedOn w:val="11"/>
    <w:next w:val="16"/>
    <w:qFormat/>
    <w:uiPriority w:val="0"/>
    <w:pPr>
      <w:tabs>
        <w:tab w:val="right" w:leader="dot" w:pos="8296"/>
      </w:tabs>
      <w:spacing w:before="120" w:after="120" w:line="360" w:lineRule="auto"/>
      <w:ind w:firstLine="0"/>
      <w:jc w:val="left"/>
    </w:pPr>
  </w:style>
  <w:style w:type="paragraph" w:customStyle="1" w:styleId="18">
    <w:name w:val="寄信人地址1"/>
    <w:basedOn w:val="1"/>
    <w:qFormat/>
    <w:uiPriority w:val="0"/>
    <w:rPr>
      <w:rFonts w:ascii="Arial" w:hAnsi="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5438</Words>
  <Characters>5685</Characters>
  <Lines>0</Lines>
  <Paragraphs>0</Paragraphs>
  <TotalTime>1</TotalTime>
  <ScaleCrop>false</ScaleCrop>
  <LinksUpToDate>false</LinksUpToDate>
  <CharactersWithSpaces>5713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2024-11-04T08:44:00Z</dcterms:created>
  <dc:creator>pc</dc:creator>
  <cp:lastModifiedBy>马静</cp:lastModifiedBy>
  <dcterms:modified xsi:type="dcterms:W3CDTF">2025-10-11T03:45:15Z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A801D3E7D61346F09BE7B9DB920E5F05_13</vt:lpwstr>
  </property>
  <property fmtid="{D5CDD505-2E9C-101B-9397-08002B2CF9AE}" pid="4" name="KSOTemplateDocerSaveRecord">
    <vt:lpwstr>eyJoZGlkIjoiZTk2NzNhNTk0YTljZmE5ZTUzMGE0YWMxYmE3YjQ1YzgiLCJ1c2VySWQiOiIzMDIzMjYxNzAifQ==</vt:lpwstr>
  </property>
</Properties>
</file>