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16F8CF">
      <w:pPr>
        <w:pStyle w:val="3"/>
        <w:keepNext w:val="0"/>
        <w:keepLines w:val="0"/>
        <w:widowControl/>
        <w:suppressLineNumbers w:val="0"/>
        <w:spacing w:before="0" w:beforeAutospacing="1" w:after="0" w:afterAutospacing="1" w:line="27" w:lineRule="atLeast"/>
        <w:ind w:left="0" w:right="0"/>
        <w:rPr>
          <w:color w:val="000000" w:themeColor="text1"/>
          <w:highlight w:val="none"/>
          <w14:textFill>
            <w14:solidFill>
              <w14:schemeClr w14:val="tx1"/>
            </w14:solidFill>
          </w14:textFill>
        </w:rPr>
      </w:pPr>
      <w:r>
        <w:rPr>
          <w:color w:val="000000" w:themeColor="text1"/>
          <w:sz w:val="28"/>
          <w:szCs w:val="28"/>
          <w:highlight w:val="none"/>
          <w14:textFill>
            <w14:solidFill>
              <w14:schemeClr w14:val="tx1"/>
            </w14:solidFill>
          </w14:textFill>
        </w:rPr>
        <w:t>附件：</w:t>
      </w:r>
      <w:r>
        <w:rPr>
          <w:color w:val="000000" w:themeColor="text1"/>
          <w:highlight w:val="none"/>
          <w14:textFill>
            <w14:solidFill>
              <w14:schemeClr w14:val="tx1"/>
            </w14:solidFill>
          </w14:textFill>
        </w:rPr>
        <w:t xml:space="preserve"> </w:t>
      </w:r>
    </w:p>
    <w:p w14:paraId="35A14BFE">
      <w:pPr>
        <w:pStyle w:val="3"/>
        <w:keepNext w:val="0"/>
        <w:keepLines w:val="0"/>
        <w:widowControl/>
        <w:suppressLineNumbers w:val="0"/>
        <w:spacing w:before="0" w:beforeAutospacing="1" w:after="0" w:afterAutospacing="1" w:line="27" w:lineRule="atLeast"/>
        <w:ind w:left="0" w:right="0"/>
        <w:rPr>
          <w:color w:val="000000" w:themeColor="text1"/>
          <w:highlight w:val="none"/>
          <w14:textFill>
            <w14:solidFill>
              <w14:schemeClr w14:val="tx1"/>
            </w14:solidFill>
          </w14:textFill>
        </w:rPr>
      </w:pPr>
      <w:r>
        <w:rPr>
          <w:color w:val="000000" w:themeColor="text1"/>
          <w:sz w:val="28"/>
          <w:szCs w:val="28"/>
          <w:highlight w:val="none"/>
          <w14:textFill>
            <w14:solidFill>
              <w14:schemeClr w14:val="tx1"/>
            </w14:solidFill>
          </w14:textFill>
        </w:rPr>
        <w:t>如有建议或意见，请以书面形式并加盖公章、注明联系人、联系方式，</w:t>
      </w:r>
      <w:r>
        <w:rPr>
          <w:rFonts w:hint="eastAsia"/>
          <w:color w:val="000000" w:themeColor="text1"/>
          <w:sz w:val="28"/>
          <w:szCs w:val="28"/>
          <w:highlight w:val="none"/>
          <w14:textFill>
            <w14:solidFill>
              <w14:schemeClr w14:val="tx1"/>
            </w14:solidFill>
          </w14:textFill>
        </w:rPr>
        <w:t>于202</w:t>
      </w:r>
      <w:r>
        <w:rPr>
          <w:rFonts w:hint="eastAsia"/>
          <w:color w:val="000000" w:themeColor="text1"/>
          <w:sz w:val="28"/>
          <w:szCs w:val="28"/>
          <w:highlight w:val="none"/>
          <w:lang w:val="en-US" w:eastAsia="zh-CN"/>
          <w14:textFill>
            <w14:solidFill>
              <w14:schemeClr w14:val="tx1"/>
            </w14:solidFill>
          </w14:textFill>
        </w:rPr>
        <w:t>5</w:t>
      </w:r>
      <w:r>
        <w:rPr>
          <w:rFonts w:hint="eastAsia"/>
          <w:color w:val="000000" w:themeColor="text1"/>
          <w:sz w:val="28"/>
          <w:szCs w:val="28"/>
          <w:highlight w:val="none"/>
          <w14:textFill>
            <w14:solidFill>
              <w14:schemeClr w14:val="tx1"/>
            </w14:solidFill>
          </w14:textFill>
        </w:rPr>
        <w:t>年</w:t>
      </w:r>
      <w:r>
        <w:rPr>
          <w:rFonts w:hint="eastAsia"/>
          <w:color w:val="000000" w:themeColor="text1"/>
          <w:sz w:val="28"/>
          <w:szCs w:val="28"/>
          <w:highlight w:val="none"/>
          <w:lang w:val="en-US" w:eastAsia="zh-CN"/>
          <w14:textFill>
            <w14:solidFill>
              <w14:schemeClr w14:val="tx1"/>
            </w14:solidFill>
          </w14:textFill>
        </w:rPr>
        <w:t>10月16日17</w:t>
      </w:r>
      <w:r>
        <w:rPr>
          <w:rFonts w:hint="eastAsia"/>
          <w:color w:val="000000" w:themeColor="text1"/>
          <w:sz w:val="28"/>
          <w:szCs w:val="28"/>
          <w:highlight w:val="none"/>
          <w14:textFill>
            <w14:solidFill>
              <w14:schemeClr w14:val="tx1"/>
            </w14:solidFill>
          </w14:textFill>
        </w:rPr>
        <w:t>:</w:t>
      </w:r>
      <w:r>
        <w:rPr>
          <w:rFonts w:hint="eastAsia"/>
          <w:color w:val="000000" w:themeColor="text1"/>
          <w:sz w:val="28"/>
          <w:szCs w:val="28"/>
          <w:highlight w:val="none"/>
          <w:lang w:val="en-US" w:eastAsia="zh-CN"/>
          <w14:textFill>
            <w14:solidFill>
              <w14:schemeClr w14:val="tx1"/>
            </w14:solidFill>
          </w14:textFill>
        </w:rPr>
        <w:t>3</w:t>
      </w:r>
      <w:r>
        <w:rPr>
          <w:rFonts w:hint="eastAsia"/>
          <w:color w:val="000000" w:themeColor="text1"/>
          <w:sz w:val="28"/>
          <w:szCs w:val="28"/>
          <w:highlight w:val="none"/>
          <w14:textFill>
            <w14:solidFill>
              <w14:schemeClr w14:val="tx1"/>
            </w14:solidFill>
          </w14:textFill>
        </w:rPr>
        <w:t>0</w:t>
      </w:r>
      <w:r>
        <w:rPr>
          <w:color w:val="000000" w:themeColor="text1"/>
          <w:sz w:val="28"/>
          <w:szCs w:val="28"/>
          <w:highlight w:val="none"/>
          <w14:textFill>
            <w14:solidFill>
              <w14:schemeClr w14:val="tx1"/>
            </w14:solidFill>
          </w14:textFill>
        </w:rPr>
        <w:t>之前送至我单位，逾期不受理（如邮寄，</w:t>
      </w:r>
      <w:r>
        <w:rPr>
          <w:rFonts w:hint="eastAsia"/>
          <w:color w:val="000000" w:themeColor="text1"/>
          <w:sz w:val="28"/>
          <w:szCs w:val="28"/>
          <w:highlight w:val="none"/>
          <w14:textFill>
            <w14:solidFill>
              <w14:schemeClr w14:val="tx1"/>
            </w14:solidFill>
          </w14:textFill>
        </w:rPr>
        <w:t>202</w:t>
      </w:r>
      <w:r>
        <w:rPr>
          <w:rFonts w:hint="eastAsia"/>
          <w:color w:val="000000" w:themeColor="text1"/>
          <w:sz w:val="28"/>
          <w:szCs w:val="28"/>
          <w:highlight w:val="none"/>
          <w:lang w:val="en-US" w:eastAsia="zh-CN"/>
          <w14:textFill>
            <w14:solidFill>
              <w14:schemeClr w14:val="tx1"/>
            </w14:solidFill>
          </w14:textFill>
        </w:rPr>
        <w:t>5</w:t>
      </w:r>
      <w:r>
        <w:rPr>
          <w:rFonts w:hint="eastAsia"/>
          <w:color w:val="000000" w:themeColor="text1"/>
          <w:sz w:val="28"/>
          <w:szCs w:val="28"/>
          <w:highlight w:val="none"/>
          <w14:textFill>
            <w14:solidFill>
              <w14:schemeClr w14:val="tx1"/>
            </w14:solidFill>
          </w14:textFill>
        </w:rPr>
        <w:t>年</w:t>
      </w:r>
      <w:r>
        <w:rPr>
          <w:rFonts w:hint="eastAsia"/>
          <w:color w:val="000000" w:themeColor="text1"/>
          <w:sz w:val="28"/>
          <w:szCs w:val="28"/>
          <w:highlight w:val="none"/>
          <w:lang w:val="en-US" w:eastAsia="zh-CN"/>
          <w14:textFill>
            <w14:solidFill>
              <w14:schemeClr w14:val="tx1"/>
            </w14:solidFill>
          </w14:textFill>
        </w:rPr>
        <w:t>10月16日17</w:t>
      </w:r>
      <w:r>
        <w:rPr>
          <w:color w:val="000000" w:themeColor="text1"/>
          <w:sz w:val="28"/>
          <w:szCs w:val="28"/>
          <w:highlight w:val="none"/>
          <w14:textFill>
            <w14:solidFill>
              <w14:schemeClr w14:val="tx1"/>
            </w14:solidFill>
          </w14:textFill>
        </w:rPr>
        <w:t>:</w:t>
      </w:r>
      <w:r>
        <w:rPr>
          <w:rFonts w:hint="eastAsia"/>
          <w:color w:val="000000" w:themeColor="text1"/>
          <w:sz w:val="28"/>
          <w:szCs w:val="28"/>
          <w:highlight w:val="none"/>
          <w:lang w:val="en-US" w:eastAsia="zh-CN"/>
          <w14:textFill>
            <w14:solidFill>
              <w14:schemeClr w14:val="tx1"/>
            </w14:solidFill>
          </w14:textFill>
        </w:rPr>
        <w:t>3</w:t>
      </w:r>
      <w:r>
        <w:rPr>
          <w:color w:val="000000" w:themeColor="text1"/>
          <w:sz w:val="28"/>
          <w:szCs w:val="28"/>
          <w:highlight w:val="none"/>
          <w14:textFill>
            <w14:solidFill>
              <w14:schemeClr w14:val="tx1"/>
            </w14:solidFill>
          </w14:textFill>
        </w:rPr>
        <w:t>0之后到达本公司的邮件将不再受理。）</w:t>
      </w:r>
      <w:r>
        <w:rPr>
          <w:color w:val="000000" w:themeColor="text1"/>
          <w:highlight w:val="none"/>
          <w14:textFill>
            <w14:solidFill>
              <w14:schemeClr w14:val="tx1"/>
            </w14:solidFill>
          </w14:textFill>
        </w:rPr>
        <w:t xml:space="preserve"> </w:t>
      </w:r>
    </w:p>
    <w:p w14:paraId="7909D8E5">
      <w:pPr>
        <w:jc w:val="center"/>
        <w:rPr>
          <w:rFonts w:ascii="宋体" w:hAnsi="宋体" w:cs="宋体"/>
          <w:b/>
          <w:bCs/>
          <w:color w:val="000000" w:themeColor="text1"/>
          <w:sz w:val="32"/>
          <w:szCs w:val="32"/>
          <w:highlight w:val="none"/>
          <w14:textFill>
            <w14:solidFill>
              <w14:schemeClr w14:val="tx1"/>
            </w14:solidFill>
          </w14:textFill>
        </w:rPr>
      </w:pPr>
      <w:r>
        <w:rPr>
          <w:rFonts w:hint="eastAsia" w:ascii="宋体" w:hAnsi="宋体" w:cs="宋体"/>
          <w:b/>
          <w:bCs/>
          <w:color w:val="000000" w:themeColor="text1"/>
          <w:sz w:val="32"/>
          <w:szCs w:val="32"/>
          <w:highlight w:val="none"/>
          <w14:textFill>
            <w14:solidFill>
              <w14:schemeClr w14:val="tx1"/>
            </w14:solidFill>
          </w14:textFill>
        </w:rPr>
        <w:t>项目要求（采购需求）</w:t>
      </w:r>
    </w:p>
    <w:p w14:paraId="038BFF9D">
      <w:pPr>
        <w:spacing w:line="360" w:lineRule="auto"/>
        <w:rPr>
          <w:rFonts w:ascii="宋体" w:hAnsi="宋体" w:cs="宋体"/>
          <w:b/>
          <w:bCs/>
          <w:color w:val="000000" w:themeColor="text1"/>
          <w:sz w:val="24"/>
          <w:highlight w:val="none"/>
          <w14:textFill>
            <w14:solidFill>
              <w14:schemeClr w14:val="tx1"/>
            </w14:solidFill>
          </w14:textFill>
        </w:rPr>
      </w:pPr>
    </w:p>
    <w:p w14:paraId="56938155">
      <w:pPr>
        <w:keepNext w:val="0"/>
        <w:keepLines w:val="0"/>
        <w:pageBreakBefore w:val="0"/>
        <w:pBdr>
          <w:top w:val="none" w:color="000000" w:sz="0" w:space="0"/>
          <w:left w:val="none" w:color="000000" w:sz="0" w:space="0"/>
          <w:bottom w:val="none" w:color="000000" w:sz="0" w:space="0"/>
          <w:right w:val="none" w:color="000000" w:sz="0" w:space="0"/>
        </w:pBdr>
        <w:spacing w:line="360" w:lineRule="auto"/>
        <w:jc w:val="both"/>
        <w:rPr>
          <w:rFonts w:hint="eastAsia" w:ascii="宋体" w:hAnsi="宋体" w:eastAsia="宋体" w:cs="宋体"/>
          <w:color w:val="000000"/>
          <w:kern w:val="0"/>
          <w:sz w:val="24"/>
          <w:highlight w:val="none"/>
          <w:lang w:eastAsia="zh-CN"/>
        </w:rPr>
      </w:pPr>
      <w:r>
        <w:rPr>
          <w:rFonts w:hint="eastAsia" w:ascii="宋体" w:hAnsi="宋体" w:eastAsia="宋体" w:cs="宋体"/>
          <w:b/>
          <w:bCs/>
          <w:color w:val="000000"/>
          <w:kern w:val="0"/>
          <w:sz w:val="24"/>
          <w:highlight w:val="none"/>
          <w:lang w:val="en-US" w:eastAsia="zh-CN"/>
        </w:rPr>
        <w:t>一、</w:t>
      </w:r>
      <w:r>
        <w:rPr>
          <w:rFonts w:hint="eastAsia" w:ascii="宋体" w:hAnsi="宋体" w:eastAsia="宋体" w:cs="宋体"/>
          <w:b/>
          <w:bCs/>
          <w:color w:val="000000"/>
          <w:kern w:val="0"/>
          <w:sz w:val="24"/>
          <w:highlight w:val="none"/>
        </w:rPr>
        <w:t>项目名称</w:t>
      </w:r>
      <w:r>
        <w:rPr>
          <w:rFonts w:hint="eastAsia" w:ascii="宋体" w:hAnsi="宋体" w:eastAsia="宋体" w:cs="宋体"/>
          <w:color w:val="000000"/>
          <w:kern w:val="0"/>
          <w:sz w:val="24"/>
          <w:highlight w:val="none"/>
        </w:rPr>
        <w:t>：</w:t>
      </w:r>
      <w:r>
        <w:rPr>
          <w:rFonts w:hint="eastAsia" w:ascii="宋体" w:hAnsi="宋体" w:eastAsia="宋体" w:cs="宋体"/>
          <w:color w:val="000000"/>
          <w:kern w:val="0"/>
          <w:sz w:val="24"/>
          <w:highlight w:val="none"/>
          <w:lang w:eastAsia="zh-CN"/>
        </w:rPr>
        <w:t xml:space="preserve">沛县鹿楼中学运动场地改造提升工程    </w:t>
      </w:r>
    </w:p>
    <w:p w14:paraId="28F5FC17">
      <w:pPr>
        <w:keepNext w:val="0"/>
        <w:keepLines w:val="0"/>
        <w:pageBreakBefore w:val="0"/>
        <w:pBdr>
          <w:top w:val="none" w:color="000000" w:sz="0" w:space="0"/>
          <w:left w:val="none" w:color="000000" w:sz="0" w:space="0"/>
          <w:bottom w:val="none" w:color="000000" w:sz="0" w:space="0"/>
          <w:right w:val="none" w:color="000000" w:sz="0" w:space="0"/>
        </w:pBdr>
        <w:spacing w:line="360" w:lineRule="auto"/>
        <w:jc w:val="both"/>
        <w:rPr>
          <w:rFonts w:hint="eastAsia" w:ascii="宋体" w:hAnsi="宋体" w:eastAsia="宋体" w:cs="宋体"/>
          <w:color w:val="000000"/>
          <w:kern w:val="0"/>
          <w:sz w:val="24"/>
          <w:highlight w:val="none"/>
          <w:lang w:eastAsia="zh-CN"/>
        </w:rPr>
      </w:pPr>
      <w:r>
        <w:rPr>
          <w:rFonts w:hint="eastAsia" w:ascii="宋体" w:hAnsi="宋体" w:eastAsia="宋体" w:cs="宋体"/>
          <w:color w:val="000000"/>
          <w:kern w:val="0"/>
          <w:sz w:val="24"/>
          <w:highlight w:val="none"/>
          <w:lang w:eastAsia="zh-CN"/>
        </w:rPr>
        <w:t>二、</w:t>
      </w:r>
      <w:r>
        <w:rPr>
          <w:rFonts w:hint="eastAsia" w:ascii="宋体" w:hAnsi="宋体" w:eastAsia="宋体" w:cs="宋体"/>
          <w:b/>
          <w:bCs/>
          <w:color w:val="000000"/>
          <w:kern w:val="0"/>
          <w:sz w:val="24"/>
          <w:highlight w:val="none"/>
          <w:lang w:val="en-US" w:eastAsia="zh-CN"/>
        </w:rPr>
        <w:t>采购预算</w:t>
      </w:r>
      <w:r>
        <w:rPr>
          <w:rFonts w:hint="eastAsia" w:ascii="宋体" w:hAnsi="宋体" w:eastAsia="宋体" w:cs="宋体"/>
          <w:color w:val="000000"/>
          <w:kern w:val="0"/>
          <w:sz w:val="24"/>
          <w:highlight w:val="none"/>
          <w:lang w:val="en-US" w:eastAsia="zh-CN"/>
        </w:rPr>
        <w:t>：</w:t>
      </w:r>
      <w:r>
        <w:rPr>
          <w:rFonts w:hint="eastAsia" w:ascii="宋体" w:hAnsi="宋体" w:eastAsia="宋体" w:cs="宋体"/>
          <w:color w:val="000000"/>
          <w:kern w:val="0"/>
          <w:sz w:val="24"/>
          <w:highlight w:val="none"/>
          <w:lang w:eastAsia="zh-CN"/>
        </w:rPr>
        <w:t>采购项目预算金额117</w:t>
      </w:r>
      <w:r>
        <w:rPr>
          <w:rFonts w:hint="eastAsia" w:ascii="宋体" w:hAnsi="宋体" w:eastAsia="宋体" w:cs="宋体"/>
          <w:color w:val="000000"/>
          <w:kern w:val="0"/>
          <w:sz w:val="24"/>
          <w:highlight w:val="none"/>
          <w:lang w:val="en-US" w:eastAsia="zh-CN"/>
        </w:rPr>
        <w:t>万元；</w:t>
      </w:r>
      <w:r>
        <w:rPr>
          <w:rFonts w:hint="eastAsia" w:ascii="宋体" w:hAnsi="宋体" w:eastAsia="宋体" w:cs="宋体"/>
          <w:color w:val="000000"/>
          <w:kern w:val="0"/>
          <w:sz w:val="24"/>
          <w:highlight w:val="none"/>
          <w:lang w:eastAsia="zh-CN"/>
        </w:rPr>
        <w:t>本项目不接受超过</w:t>
      </w:r>
      <w:r>
        <w:rPr>
          <w:rFonts w:hint="eastAsia" w:ascii="宋体" w:hAnsi="宋体" w:eastAsia="宋体" w:cs="宋体"/>
          <w:color w:val="000000"/>
          <w:kern w:val="0"/>
          <w:sz w:val="24"/>
          <w:highlight w:val="none"/>
          <w:lang w:val="en-US" w:eastAsia="zh-CN"/>
        </w:rPr>
        <w:t>控制价102.3万元</w:t>
      </w:r>
      <w:r>
        <w:rPr>
          <w:rFonts w:hint="eastAsia" w:ascii="宋体" w:hAnsi="宋体" w:eastAsia="宋体" w:cs="宋体"/>
          <w:color w:val="000000"/>
          <w:kern w:val="0"/>
          <w:sz w:val="24"/>
          <w:highlight w:val="none"/>
          <w:lang w:eastAsia="zh-CN"/>
        </w:rPr>
        <w:t>的报价。</w:t>
      </w:r>
      <w:r>
        <w:rPr>
          <w:rFonts w:hint="default" w:ascii="宋体" w:hAnsi="宋体" w:eastAsia="宋体" w:cs="宋体"/>
          <w:color w:val="000000"/>
          <w:kern w:val="0"/>
          <w:sz w:val="24"/>
          <w:highlight w:val="none"/>
        </w:rPr>
        <w:t>采购人不再支付报价以外的任何费用。</w:t>
      </w:r>
      <w:r>
        <w:rPr>
          <w:rFonts w:hint="eastAsia" w:ascii="宋体" w:hAnsi="宋体" w:eastAsia="宋体" w:cs="宋体"/>
          <w:color w:val="000000"/>
          <w:kern w:val="0"/>
          <w:sz w:val="24"/>
          <w:highlight w:val="none"/>
          <w:lang w:val="en-US" w:eastAsia="zh-CN"/>
        </w:rPr>
        <w:t>按照法律规定及合同约定组织完成工程施工，现场派驻项目经理与合同备案信息一致，不进行转包及违法分包，并在缺陷责任期及保修期内承担相应的工程维修责任。严格按照图纸及招标工程量清单内容施工，施工过程中不进行设计变更，不增加签证内容，超出招标工程量清单的内容审计时不予认可。</w:t>
      </w:r>
    </w:p>
    <w:p w14:paraId="7A44CA52">
      <w:pPr>
        <w:keepNext w:val="0"/>
        <w:keepLines w:val="0"/>
        <w:pageBreakBefore w:val="0"/>
        <w:widowControl/>
        <w:suppressLineNumbers w:val="0"/>
        <w:spacing w:before="0" w:beforeAutospacing="0" w:after="0" w:afterAutospacing="0" w:line="480" w:lineRule="auto"/>
        <w:ind w:right="0"/>
        <w:jc w:val="left"/>
        <w:rPr>
          <w:rFonts w:hint="eastAsia" w:ascii="宋体" w:hAnsi="宋体" w:eastAsia="宋体" w:cs="宋体"/>
          <w:b/>
          <w:bCs/>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三、项目概况：</w:t>
      </w:r>
    </w:p>
    <w:p w14:paraId="39CEB687">
      <w:pPr>
        <w:keepNext w:val="0"/>
        <w:keepLines w:val="0"/>
        <w:pageBreakBefore w:val="0"/>
        <w:widowControl/>
        <w:spacing w:line="360" w:lineRule="auto"/>
        <w:ind w:left="0" w:firstLine="0"/>
        <w:jc w:val="left"/>
        <w:rPr>
          <w:rFonts w:hint="default"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1、项目地点：沛县崔寨中学院内。</w:t>
      </w:r>
    </w:p>
    <w:p w14:paraId="0DF52455">
      <w:pPr>
        <w:keepNext w:val="0"/>
        <w:keepLines w:val="0"/>
        <w:pageBreakBefore w:val="0"/>
        <w:widowControl/>
        <w:spacing w:line="360" w:lineRule="auto"/>
        <w:ind w:left="0" w:firstLine="0"/>
        <w:jc w:val="left"/>
        <w:rPr>
          <w:rFonts w:hint="eastAsia" w:ascii="宋体" w:hAnsi="宋体" w:eastAsia="宋体" w:cs="宋体"/>
          <w:color w:val="000000"/>
          <w:sz w:val="24"/>
          <w:szCs w:val="24"/>
          <w:highlight w:val="none"/>
          <w:lang w:val="en-US" w:eastAsia="zh-CN" w:bidi="ar-SA"/>
        </w:rPr>
      </w:pPr>
      <w:r>
        <w:rPr>
          <w:rFonts w:hint="eastAsia" w:ascii="宋体" w:hAnsi="宋体" w:eastAsia="宋体" w:cs="宋体"/>
          <w:color w:val="000000"/>
          <w:sz w:val="24"/>
          <w:szCs w:val="24"/>
          <w:highlight w:val="none"/>
          <w:lang w:val="en-US" w:eastAsia="zh-CN" w:bidi="ar-SA"/>
        </w:rPr>
        <w:t>2、本项目主要内容：1、跑道砼地面硬化铺设C25混凝土，铺设塑胶面层面积约2449.06平方米。2、半圆弧内、周边及缓冲区域，砼地面硬化铺设C25混凝土面积约1027.42平方米。半圆弧内铺设塑胶面层1017.36平方米。3、足球场种植土回填，天然草皮面积约2103.66平方米。4、引接外排水管道60米。5、拆除排水沟248米，新建内环排水沟238.28米。6、安砌路牙石99.12米。7、砌检查井8座。8、铅球场地1项。9、跑道西侧原有硬化地面抬高3.58平方米。具体内容详见图纸及工程量清单。</w:t>
      </w:r>
      <w:bookmarkStart w:id="1" w:name="_GoBack"/>
      <w:bookmarkEnd w:id="1"/>
    </w:p>
    <w:p w14:paraId="70CA32A6">
      <w:pPr>
        <w:keepNext w:val="0"/>
        <w:keepLines w:val="0"/>
        <w:pageBreakBefore w:val="0"/>
        <w:pBdr>
          <w:top w:val="none" w:color="000000" w:sz="0" w:space="0"/>
          <w:left w:val="none" w:color="000000" w:sz="0" w:space="0"/>
          <w:bottom w:val="none" w:color="000000" w:sz="0" w:space="0"/>
          <w:right w:val="none" w:color="000000" w:sz="0" w:space="0"/>
        </w:pBdr>
        <w:spacing w:line="360" w:lineRule="auto"/>
        <w:jc w:val="both"/>
        <w:rPr>
          <w:rFonts w:hint="eastAsia" w:ascii="宋体" w:hAnsi="宋体" w:eastAsia="宋体" w:cs="宋体"/>
          <w:b w:val="0"/>
          <w:bCs w:val="0"/>
          <w:color w:val="000000"/>
          <w:kern w:val="0"/>
          <w:sz w:val="24"/>
          <w:highlight w:val="none"/>
          <w:lang w:eastAsia="zh-CN"/>
        </w:rPr>
      </w:pPr>
      <w:r>
        <w:rPr>
          <w:rFonts w:hint="eastAsia" w:ascii="宋体" w:hAnsi="宋体" w:eastAsia="宋体" w:cs="宋体"/>
          <w:b w:val="0"/>
          <w:bCs w:val="0"/>
          <w:color w:val="000000"/>
          <w:kern w:val="0"/>
          <w:sz w:val="24"/>
          <w:highlight w:val="none"/>
          <w:lang w:val="en-US" w:eastAsia="zh-CN"/>
        </w:rPr>
        <w:t>3、</w:t>
      </w:r>
      <w:r>
        <w:rPr>
          <w:rFonts w:hint="default" w:ascii="宋体" w:hAnsi="宋体" w:eastAsia="宋体" w:cs="宋体"/>
          <w:b w:val="0"/>
          <w:bCs w:val="0"/>
          <w:color w:val="000000"/>
          <w:kern w:val="0"/>
          <w:sz w:val="24"/>
          <w:highlight w:val="none"/>
        </w:rPr>
        <w:t>工程期限：</w:t>
      </w:r>
      <w:r>
        <w:rPr>
          <w:rFonts w:hint="eastAsia" w:ascii="宋体" w:hAnsi="宋体" w:eastAsia="宋体" w:cs="宋体"/>
          <w:b w:val="0"/>
          <w:bCs w:val="0"/>
          <w:color w:val="000000"/>
          <w:kern w:val="0"/>
          <w:sz w:val="24"/>
          <w:highlight w:val="none"/>
          <w:u w:val="single"/>
          <w:lang w:val="en-US" w:eastAsia="zh-CN"/>
        </w:rPr>
        <w:t>50日历天</w:t>
      </w:r>
      <w:r>
        <w:rPr>
          <w:rFonts w:hint="eastAsia" w:ascii="宋体" w:hAnsi="宋体" w:eastAsia="宋体" w:cs="宋体"/>
          <w:b w:val="0"/>
          <w:bCs w:val="0"/>
          <w:color w:val="000000"/>
          <w:kern w:val="0"/>
          <w:sz w:val="24"/>
          <w:highlight w:val="none"/>
          <w:lang w:eastAsia="zh-CN"/>
        </w:rPr>
        <w:t>；</w:t>
      </w:r>
    </w:p>
    <w:p w14:paraId="4F227394">
      <w:pPr>
        <w:keepNext w:val="0"/>
        <w:keepLines w:val="0"/>
        <w:pageBreakBefore w:val="0"/>
        <w:pBdr>
          <w:top w:val="none" w:color="000000" w:sz="0" w:space="0"/>
          <w:left w:val="none" w:color="000000" w:sz="0" w:space="0"/>
          <w:bottom w:val="none" w:color="000000" w:sz="0" w:space="0"/>
          <w:right w:val="none" w:color="000000" w:sz="0" w:space="0"/>
        </w:pBdr>
        <w:spacing w:line="360" w:lineRule="auto"/>
        <w:jc w:val="both"/>
        <w:rPr>
          <w:rFonts w:hint="eastAsia" w:ascii="宋体" w:hAnsi="宋体" w:eastAsia="宋体" w:cs="宋体"/>
          <w:color w:val="000000"/>
          <w:kern w:val="0"/>
          <w:sz w:val="24"/>
          <w:szCs w:val="24"/>
          <w:highlight w:val="none"/>
        </w:rPr>
      </w:pPr>
      <w:r>
        <w:rPr>
          <w:rFonts w:hint="eastAsia" w:ascii="宋体" w:hAnsi="宋体" w:eastAsia="宋体" w:cs="宋体"/>
          <w:b w:val="0"/>
          <w:bCs w:val="0"/>
          <w:color w:val="000000"/>
          <w:kern w:val="0"/>
          <w:sz w:val="24"/>
          <w:highlight w:val="none"/>
          <w:lang w:val="en-US" w:eastAsia="zh-CN"/>
        </w:rPr>
        <w:t>4、</w:t>
      </w:r>
      <w:r>
        <w:rPr>
          <w:rFonts w:hint="default" w:ascii="宋体" w:hAnsi="宋体" w:eastAsia="宋体" w:cs="宋体"/>
          <w:color w:val="000000"/>
          <w:kern w:val="0"/>
          <w:sz w:val="24"/>
          <w:highlight w:val="none"/>
        </w:rPr>
        <w:t>质量要求标准：合格，通过相关部门验收。</w:t>
      </w:r>
      <w:r>
        <w:rPr>
          <w:rFonts w:hint="eastAsia" w:ascii="宋体" w:hAnsi="宋体" w:eastAsia="宋体" w:cs="宋体"/>
          <w:b/>
          <w:bCs/>
          <w:color w:val="000000"/>
          <w:kern w:val="0"/>
          <w:sz w:val="24"/>
          <w:szCs w:val="24"/>
          <w:highlight w:val="none"/>
        </w:rPr>
        <w:t>所使用塑胶跑道</w:t>
      </w:r>
      <w:r>
        <w:rPr>
          <w:rFonts w:hint="eastAsia" w:ascii="宋体" w:hAnsi="宋体" w:eastAsia="宋体" w:cs="宋体"/>
          <w:b/>
          <w:bCs/>
          <w:color w:val="000000"/>
          <w:kern w:val="0"/>
          <w:sz w:val="24"/>
          <w:szCs w:val="24"/>
          <w:highlight w:val="none"/>
          <w:lang w:val="en-US" w:eastAsia="zh-CN"/>
        </w:rPr>
        <w:t>及相关</w:t>
      </w:r>
      <w:r>
        <w:rPr>
          <w:rFonts w:hint="eastAsia" w:ascii="宋体" w:hAnsi="宋体" w:eastAsia="宋体" w:cs="宋体"/>
          <w:b/>
          <w:bCs/>
          <w:color w:val="000000"/>
          <w:kern w:val="0"/>
          <w:sz w:val="24"/>
          <w:szCs w:val="24"/>
          <w:highlight w:val="none"/>
        </w:rPr>
        <w:t>材料应</w:t>
      </w:r>
      <w:r>
        <w:rPr>
          <w:rFonts w:hint="eastAsia" w:ascii="宋体" w:hAnsi="宋体" w:eastAsia="宋体" w:cs="宋体"/>
          <w:b/>
          <w:bCs/>
          <w:color w:val="000000"/>
          <w:kern w:val="0"/>
          <w:sz w:val="24"/>
          <w:szCs w:val="24"/>
          <w:highlight w:val="none"/>
          <w:lang w:val="en-US" w:eastAsia="zh-CN"/>
        </w:rPr>
        <w:t>全部</w:t>
      </w:r>
      <w:r>
        <w:rPr>
          <w:rFonts w:hint="eastAsia" w:ascii="宋体" w:hAnsi="宋体" w:eastAsia="宋体" w:cs="宋体"/>
          <w:b/>
          <w:bCs/>
          <w:color w:val="000000"/>
          <w:kern w:val="0"/>
          <w:sz w:val="24"/>
          <w:szCs w:val="24"/>
          <w:highlight w:val="none"/>
        </w:rPr>
        <w:t>符合GB36246-2018中小学合成材料面层运动场地验收规范</w:t>
      </w:r>
      <w:r>
        <w:rPr>
          <w:rFonts w:hint="eastAsia" w:ascii="宋体" w:hAnsi="宋体" w:eastAsia="宋体" w:cs="宋体"/>
          <w:color w:val="000000"/>
          <w:kern w:val="0"/>
          <w:sz w:val="24"/>
          <w:szCs w:val="24"/>
          <w:highlight w:val="none"/>
        </w:rPr>
        <w:t>，</w:t>
      </w:r>
      <w:r>
        <w:rPr>
          <w:rFonts w:hint="eastAsia" w:ascii="宋体" w:hAnsi="宋体" w:eastAsia="宋体" w:cs="宋体"/>
          <w:b/>
          <w:bCs/>
          <w:color w:val="000000"/>
          <w:kern w:val="0"/>
          <w:sz w:val="24"/>
          <w:szCs w:val="24"/>
          <w:highlight w:val="none"/>
          <w:lang w:eastAsia="zh-CN"/>
        </w:rPr>
        <w:t>要求</w:t>
      </w:r>
      <w:r>
        <w:rPr>
          <w:rFonts w:hint="eastAsia" w:ascii="宋体" w:hAnsi="宋体" w:eastAsia="宋体" w:cs="宋体"/>
          <w:b/>
          <w:bCs/>
          <w:color w:val="000000"/>
          <w:kern w:val="0"/>
          <w:sz w:val="24"/>
          <w:szCs w:val="24"/>
          <w:highlight w:val="none"/>
        </w:rPr>
        <w:t>环保达标，满足采购人需求；通过相关部门（现场取样送检）验收合格并出具合格检测报告</w:t>
      </w:r>
      <w:r>
        <w:rPr>
          <w:rFonts w:hint="eastAsia" w:ascii="宋体" w:hAnsi="宋体" w:eastAsia="宋体" w:cs="宋体"/>
          <w:color w:val="000000"/>
          <w:kern w:val="0"/>
          <w:sz w:val="24"/>
          <w:szCs w:val="24"/>
          <w:highlight w:val="none"/>
        </w:rPr>
        <w:t>。</w:t>
      </w:r>
    </w:p>
    <w:p w14:paraId="52F35988">
      <w:pPr>
        <w:keepNext w:val="0"/>
        <w:keepLines w:val="0"/>
        <w:pageBreakBefore w:val="0"/>
        <w:pBdr>
          <w:top w:val="none" w:color="000000" w:sz="0" w:space="0"/>
          <w:left w:val="none" w:color="000000" w:sz="0" w:space="0"/>
          <w:bottom w:val="none" w:color="000000" w:sz="0" w:space="0"/>
          <w:right w:val="none" w:color="000000" w:sz="0" w:space="0"/>
        </w:pBdr>
        <w:spacing w:line="360" w:lineRule="auto"/>
        <w:ind w:firstLine="480"/>
        <w:jc w:val="both"/>
        <w:rPr>
          <w:rFonts w:hint="eastAsia" w:ascii="宋体" w:hAnsi="宋体" w:eastAsia="宋体" w:cs="宋体"/>
          <w:color w:val="000000"/>
          <w:kern w:val="0"/>
          <w:sz w:val="24"/>
          <w:szCs w:val="24"/>
          <w:highlight w:val="none"/>
          <w:lang w:val="en-US" w:eastAsia="zh-CN"/>
        </w:rPr>
      </w:pPr>
      <w:r>
        <w:rPr>
          <w:rFonts w:hint="default" w:ascii="宋体" w:hAnsi="宋体" w:eastAsia="宋体" w:cs="宋体"/>
          <w:color w:val="000000"/>
          <w:kern w:val="0"/>
          <w:sz w:val="24"/>
          <w:highlight w:val="none"/>
        </w:rPr>
        <w:t>工程质量必须达到合同约定标准，且保证相关部门验收通过；未达到质量要求的，承包人负责无条件返工，直至达到要求，所发生的费用由承包人承担，承包人还应赔偿因此给发包人造成的损失，工期不予顺延，同时发包人有权对承包人进行适当处罚</w:t>
      </w:r>
      <w:r>
        <w:rPr>
          <w:rFonts w:hint="eastAsia" w:ascii="宋体" w:hAnsi="宋体" w:eastAsia="宋体" w:cs="宋体"/>
          <w:color w:val="000000"/>
          <w:kern w:val="0"/>
          <w:sz w:val="24"/>
          <w:highlight w:val="none"/>
        </w:rPr>
        <w:t>。</w:t>
      </w:r>
    </w:p>
    <w:p w14:paraId="661505F5">
      <w:pPr>
        <w:keepNext w:val="0"/>
        <w:keepLines w:val="0"/>
        <w:pageBreakBefore w:val="0"/>
        <w:spacing w:line="360" w:lineRule="auto"/>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lang w:val="en-US" w:eastAsia="zh-CN"/>
        </w:rPr>
        <w:t>四</w:t>
      </w:r>
      <w:r>
        <w:rPr>
          <w:rFonts w:hint="eastAsia" w:ascii="宋体" w:hAnsi="宋体" w:eastAsia="宋体" w:cs="宋体"/>
          <w:b/>
          <w:bCs/>
          <w:color w:val="000000"/>
          <w:kern w:val="0"/>
          <w:sz w:val="24"/>
          <w:highlight w:val="none"/>
        </w:rPr>
        <w:t>、工程量清单报价</w:t>
      </w:r>
    </w:p>
    <w:p w14:paraId="39BAC470">
      <w:pPr>
        <w:widowControl w:val="0"/>
        <w:spacing w:line="360" w:lineRule="auto"/>
        <w:ind w:firstLine="480"/>
        <w:jc w:val="both"/>
        <w:rPr>
          <w:rFonts w:hint="eastAsia" w:ascii="宋体" w:hAnsi="宋体" w:eastAsia="宋体" w:cs="Times New Roman"/>
          <w:b/>
          <w:bCs w:val="0"/>
          <w:sz w:val="24"/>
          <w:szCs w:val="22"/>
          <w:highlight w:val="none"/>
          <w:lang w:val="en-US" w:eastAsia="zh-CN" w:bidi="ar-SA"/>
        </w:rPr>
      </w:pPr>
      <w:r>
        <w:rPr>
          <w:rFonts w:hint="eastAsia" w:ascii="宋体" w:hAnsi="宋体" w:eastAsia="宋体" w:cs="Times New Roman"/>
          <w:b/>
          <w:bCs w:val="0"/>
          <w:sz w:val="24"/>
          <w:szCs w:val="22"/>
          <w:highlight w:val="none"/>
          <w:lang w:val="en-US" w:eastAsia="zh-CN" w:bidi="ar-SA"/>
        </w:rPr>
        <w:t>1、报价内容</w:t>
      </w:r>
    </w:p>
    <w:p w14:paraId="605CEBB7">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1.1 响应报价应包括磋商文件中所确定的范围内工程量清单以及施工图中所含的全部内容，以及为完成上述内容所需的全部费用。</w:t>
      </w:r>
    </w:p>
    <w:p w14:paraId="40002F35">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注：供应商必须按采购人提供的工程量清单进行报价，否则视为对竞争性磋商文件商务条款的实质性偏离。供应商不得修改工程量清单中的分布分项内容及数量，否则视为不响应磋商文件。</w:t>
      </w:r>
    </w:p>
    <w:p w14:paraId="73507234">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1.2 供应商应按采购人提供的工程量清单填报价格。填写的项目名称、项目特征、计量单位、工程量必须与采购人提供的一致。</w:t>
      </w:r>
    </w:p>
    <w:p w14:paraId="57A7697A">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1.3 供应商应按采购人提供的工程量计算工程项目的单价和合价。工程量清单中的每一单项均需计算填写单价和合价，供应商没有填写单价和合价的项目将被认为此项费用已包括在工程量清单的其他单价和合价中。</w:t>
      </w:r>
    </w:p>
    <w:p w14:paraId="45E9E1C7">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1.4 响应的供应商必须按统一的工程量清单报价，成交后，在施工过程中，不论由于工程量清单有误或漏项，还是由于设计变更、现场变更、签证引起的工程量清单项目或清单项目工程数量的增减，均按变更估价原则调整。</w:t>
      </w:r>
    </w:p>
    <w:p w14:paraId="7DA2B33B">
      <w:pPr>
        <w:widowControl w:val="0"/>
        <w:spacing w:line="360" w:lineRule="auto"/>
        <w:ind w:firstLine="480"/>
        <w:jc w:val="both"/>
        <w:rPr>
          <w:rFonts w:hint="default"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1.5</w:t>
      </w:r>
      <w:r>
        <w:rPr>
          <w:rFonts w:hint="default" w:ascii="宋体" w:hAnsi="宋体" w:eastAsia="宋体" w:cs="Times New Roman"/>
          <w:bCs/>
          <w:sz w:val="24"/>
          <w:szCs w:val="22"/>
          <w:highlight w:val="none"/>
          <w:lang w:val="en-US" w:eastAsia="zh-CN" w:bidi="ar-SA"/>
        </w:rPr>
        <w:t>清单项目中特征描述不全的工序，如图纸已明确或已指明引用规范、图集等或是常规工艺必须的工序，应包括在报价中。</w:t>
      </w:r>
    </w:p>
    <w:p w14:paraId="5055FEC9">
      <w:pPr>
        <w:widowControl w:val="0"/>
        <w:spacing w:line="360" w:lineRule="auto"/>
        <w:ind w:firstLine="480"/>
        <w:jc w:val="both"/>
        <w:rPr>
          <w:rFonts w:hint="default"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1.6响应供应商应认真研读竞争性磋商文件和合同内容，已明示含在投标报价中的费用供应商自行考虑，不管工程量清单是否单独列支，采购人均认为供应商已充分考虑此部分费用，应包括在报价中。</w:t>
      </w:r>
    </w:p>
    <w:p w14:paraId="630A7A5D">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1.7 供应商自行勘察，了解周边原有建筑、设施，事先视察工地，充分了解工程位置、邻近建筑物、工地情况，通路、储存空间、起卸限制、及任何其它足以影响报价之情况，供应商须按接收工地日的现况，接收工地及自费清理任何遗留在工地上之废物，施工过程中因工地特殊情况而引起二次搬运、安全防护等。供应商在响应报价时应考虑这样因素，并在响应报价中予以考虑，采购人不接受供应商关于此类费用的任何诉讼或索赔。</w:t>
      </w:r>
    </w:p>
    <w:p w14:paraId="26B2B90F">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1.8 安全文明施工是供应商的责任，采购人不接受任何由于供应商施工而导致的扰民或民扰引起的诉讼或索赔。供应商应在其响应报价时充分考虑因扰民与民扰而造成的工期影响与费用增加，在报价予以考虑，采购人不接受任何由于供应商考虑不周为由而提出的任何索赔。</w:t>
      </w:r>
    </w:p>
    <w:p w14:paraId="004B1A02">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1.9本项目招标期为 2025年7月，采购人在适宜的时间下发开工令，供应商需考虑时间间隔对自身产生的影响并视为已体现在响应报价中，结算时不予调整。</w:t>
      </w:r>
    </w:p>
    <w:p w14:paraId="7409E1EC">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1.10 垃圾外运，在报价中综合考虑。</w:t>
      </w:r>
    </w:p>
    <w:p w14:paraId="369C5DDF">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1.11地方关系协调费投标人自行考虑，就此项招标人不支付任何费用。</w:t>
      </w:r>
    </w:p>
    <w:p w14:paraId="44807B44">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1.12由响应单位负责办理相关建设、城管、市政、安全、环保等部门的手续，响应单位在响应报价时应考虑此方在的因素，费用包含在报价中，采购人不接受响应单位关于此类费用的任何诉讼或索赔。</w:t>
      </w:r>
    </w:p>
    <w:p w14:paraId="0B35BB78">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1.13施工时需做好防护措施保证周边安全，因中标人保障不利对招标人或第三方造成损失的，赔偿责任全部由中标人承担，若因此会增加费用，控制价不计取，投标人自行考虑在报价中，结算时不予调整。</w:t>
      </w:r>
    </w:p>
    <w:p w14:paraId="75DCDA2B">
      <w:pPr>
        <w:widowControl w:val="0"/>
        <w:spacing w:line="360" w:lineRule="auto"/>
        <w:ind w:firstLine="480"/>
        <w:jc w:val="both"/>
        <w:rPr>
          <w:rFonts w:hint="eastAsia" w:ascii="宋体" w:hAnsi="宋体" w:eastAsia="宋体" w:cs="Times New Roman"/>
          <w:b/>
          <w:bCs w:val="0"/>
          <w:sz w:val="24"/>
          <w:szCs w:val="22"/>
          <w:highlight w:val="none"/>
          <w:lang w:val="en-US" w:eastAsia="zh-CN" w:bidi="ar-SA"/>
        </w:rPr>
      </w:pPr>
      <w:r>
        <w:rPr>
          <w:rFonts w:hint="eastAsia" w:ascii="宋体" w:hAnsi="宋体" w:eastAsia="宋体" w:cs="Times New Roman"/>
          <w:b/>
          <w:bCs w:val="0"/>
          <w:sz w:val="24"/>
          <w:szCs w:val="22"/>
          <w:highlight w:val="none"/>
          <w:lang w:val="en-US" w:eastAsia="zh-CN" w:bidi="ar-SA"/>
        </w:rPr>
        <w:t>2、报价方式</w:t>
      </w:r>
    </w:p>
    <w:p w14:paraId="4DFFCDC3">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2.1本工程采用固定单价合同。响应单位应充分考虑施工期间各类建材的市场风险，并计入总报价，响应单位在计算报价时应考虑一定的风险系数。</w:t>
      </w:r>
    </w:p>
    <w:p w14:paraId="0F72A7C9">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2.2 材料风险约定：</w:t>
      </w:r>
    </w:p>
    <w:p w14:paraId="5887C14E">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2.2.1 对于法律、法规、规章或有关政策出台导致工程税金、规费等发生变化的，应按照有关规定执行。</w:t>
      </w:r>
    </w:p>
    <w:p w14:paraId="6F6A0768">
      <w:pPr>
        <w:widowControl w:val="0"/>
        <w:spacing w:line="360" w:lineRule="auto"/>
        <w:ind w:firstLine="480"/>
        <w:jc w:val="both"/>
        <w:rPr>
          <w:rFonts w:hint="eastAsia" w:ascii="宋体" w:hAnsi="宋体" w:eastAsia="宋体" w:cs="Times New Roman"/>
          <w:b w:val="0"/>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2.2.2本工程对材料风险约定如下：供应商应充分考虑施工期间各类建材的市场风险，充分考虑政策性关于人工、机械费用等方面调整，并计入总报价，</w:t>
      </w:r>
      <w:r>
        <w:rPr>
          <w:rFonts w:hint="eastAsia" w:ascii="宋体" w:hAnsi="宋体" w:eastAsia="宋体" w:cs="Times New Roman"/>
          <w:b w:val="0"/>
          <w:bCs/>
          <w:sz w:val="24"/>
          <w:szCs w:val="22"/>
          <w:highlight w:val="none"/>
          <w:lang w:val="en-US" w:eastAsia="zh-CN" w:bidi="ar-SA"/>
        </w:rPr>
        <w:t>供应商所填写的单价和合价在合同实施期间不因市场变化因素而变动，结算不再调整。</w:t>
      </w:r>
    </w:p>
    <w:p w14:paraId="7E951CB6">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2.3变更估价</w:t>
      </w:r>
    </w:p>
    <w:p w14:paraId="78A0CDDC">
      <w:pPr>
        <w:widowControl w:val="0"/>
        <w:spacing w:before="240" w:after="0" w:line="360" w:lineRule="auto"/>
        <w:ind w:left="0" w:firstLine="552"/>
        <w:jc w:val="both"/>
        <w:rPr>
          <w:rFonts w:hint="default" w:ascii="宋体" w:hAnsi="宋体" w:eastAsia="宋体" w:cs="宋体"/>
          <w:sz w:val="24"/>
          <w:szCs w:val="20"/>
          <w:lang w:val="en-US" w:eastAsia="zh-CN" w:bidi="ar-SA"/>
        </w:rPr>
      </w:pPr>
      <w:r>
        <w:rPr>
          <w:rFonts w:hint="eastAsia" w:ascii="宋体" w:hAnsi="宋体" w:eastAsia="宋体" w:cs="宋体"/>
          <w:sz w:val="24"/>
          <w:szCs w:val="20"/>
          <w:lang w:val="en-US" w:eastAsia="zh-CN" w:bidi="ar-SA"/>
        </w:rPr>
        <w:t>2.3.1 变更估价原则</w:t>
      </w:r>
    </w:p>
    <w:p w14:paraId="62C9C13A">
      <w:pPr>
        <w:widowControl w:val="0"/>
        <w:spacing w:before="240" w:after="0" w:line="360" w:lineRule="auto"/>
        <w:ind w:left="0" w:firstLine="552"/>
        <w:jc w:val="both"/>
        <w:rPr>
          <w:rFonts w:hint="default" w:ascii="宋体" w:hAnsi="宋体" w:eastAsia="宋体" w:cs="宋体"/>
          <w:sz w:val="24"/>
          <w:szCs w:val="20"/>
          <w:lang w:val="en-US" w:eastAsia="zh-CN" w:bidi="ar-SA"/>
        </w:rPr>
      </w:pPr>
      <w:r>
        <w:rPr>
          <w:rFonts w:hint="eastAsia" w:ascii="宋体" w:hAnsi="宋体" w:eastAsia="宋体" w:cs="宋体"/>
          <w:sz w:val="24"/>
          <w:szCs w:val="20"/>
          <w:lang w:val="en-US" w:eastAsia="zh-CN" w:bidi="ar-SA"/>
        </w:rPr>
        <w:t>关于变更估价的约定：</w:t>
      </w:r>
    </w:p>
    <w:p w14:paraId="4BAD77E5">
      <w:pPr>
        <w:widowControl w:val="0"/>
        <w:spacing w:before="240" w:after="0" w:line="360" w:lineRule="auto"/>
        <w:ind w:left="0" w:firstLine="552"/>
        <w:jc w:val="both"/>
        <w:rPr>
          <w:rFonts w:hint="default" w:ascii="宋体" w:hAnsi="宋体" w:eastAsia="宋体" w:cs="宋体"/>
          <w:sz w:val="24"/>
          <w:szCs w:val="20"/>
          <w:lang w:val="en-US" w:eastAsia="zh-CN" w:bidi="ar-SA"/>
        </w:rPr>
      </w:pPr>
      <w:r>
        <w:rPr>
          <w:rFonts w:hint="eastAsia" w:ascii="宋体" w:hAnsi="宋体" w:eastAsia="宋体" w:cs="宋体"/>
          <w:sz w:val="24"/>
          <w:szCs w:val="20"/>
          <w:lang w:val="en-US" w:eastAsia="zh-CN" w:bidi="ar-SA"/>
        </w:rPr>
        <w:t xml:space="preserve">（1）采用工程量清单方式计价，竣工结算的工程量按发承包双方在合同中约定应予计量的工程量确定，完成发包人要求的合同以外的零星工作或发生非承包人责任事件的工程量按现场签证确定。 </w:t>
      </w:r>
    </w:p>
    <w:p w14:paraId="428D5A7F">
      <w:pPr>
        <w:widowControl w:val="0"/>
        <w:spacing w:before="240" w:after="0" w:line="360" w:lineRule="auto"/>
        <w:ind w:left="0" w:firstLine="552"/>
        <w:jc w:val="both"/>
        <w:rPr>
          <w:rFonts w:hint="default" w:ascii="宋体" w:hAnsi="宋体" w:eastAsia="宋体" w:cs="宋体"/>
          <w:sz w:val="24"/>
          <w:szCs w:val="20"/>
          <w:lang w:val="en-US" w:eastAsia="zh-CN" w:bidi="ar-SA"/>
        </w:rPr>
      </w:pPr>
      <w:r>
        <w:rPr>
          <w:rFonts w:hint="eastAsia" w:ascii="宋体" w:hAnsi="宋体" w:eastAsia="宋体" w:cs="宋体"/>
          <w:sz w:val="24"/>
          <w:szCs w:val="20"/>
          <w:lang w:val="en-US" w:eastAsia="zh-CN" w:bidi="ar-SA"/>
        </w:rPr>
        <w:t xml:space="preserve">（2）所有工程量及工程变更签证单上必须有发包人工地代表、监理工程师、项目经理、审计部门四方的签字盖章，方可作为竣工结算的依据；签证单上必须明确签证的原因、位置、尺寸、数量、综合单价及签证时间。签证单应注意时效性，所有签证单最终价款的确认以审计部门的结论为准。 </w:t>
      </w:r>
    </w:p>
    <w:p w14:paraId="78F5A3F3">
      <w:pPr>
        <w:widowControl w:val="0"/>
        <w:spacing w:before="240" w:after="0" w:line="360" w:lineRule="auto"/>
        <w:ind w:left="0" w:firstLine="552"/>
        <w:jc w:val="both"/>
        <w:rPr>
          <w:rFonts w:hint="default" w:ascii="宋体" w:hAnsi="宋体" w:eastAsia="宋体" w:cs="宋体"/>
          <w:sz w:val="24"/>
          <w:szCs w:val="20"/>
          <w:lang w:val="en-US" w:eastAsia="zh-CN" w:bidi="ar-SA"/>
        </w:rPr>
      </w:pPr>
      <w:r>
        <w:rPr>
          <w:rFonts w:hint="eastAsia" w:ascii="宋体" w:hAnsi="宋体" w:eastAsia="宋体" w:cs="宋体"/>
          <w:sz w:val="24"/>
          <w:szCs w:val="20"/>
          <w:lang w:val="en-US" w:eastAsia="zh-CN" w:bidi="ar-SA"/>
        </w:rPr>
        <w:t xml:space="preserve">（3）因非承包人原因的工程变更，造成增加新的工程量清单项目，其对应的综合单价按下列方法确定： </w:t>
      </w:r>
    </w:p>
    <w:p w14:paraId="4F94CBBF">
      <w:pPr>
        <w:widowControl w:val="0"/>
        <w:spacing w:before="240" w:after="0" w:line="360" w:lineRule="auto"/>
        <w:ind w:left="0" w:firstLine="552"/>
        <w:jc w:val="both"/>
        <w:rPr>
          <w:rFonts w:hint="default" w:ascii="宋体" w:hAnsi="宋体" w:eastAsia="宋体" w:cs="宋体"/>
          <w:sz w:val="24"/>
          <w:szCs w:val="20"/>
          <w:lang w:val="en-US" w:eastAsia="zh-CN" w:bidi="ar-SA"/>
        </w:rPr>
      </w:pPr>
      <w:r>
        <w:rPr>
          <w:rFonts w:hint="eastAsia" w:ascii="宋体" w:hAnsi="宋体" w:eastAsia="宋体" w:cs="宋体"/>
          <w:sz w:val="24"/>
          <w:szCs w:val="20"/>
          <w:lang w:val="en-US" w:eastAsia="zh-CN" w:bidi="ar-SA"/>
        </w:rPr>
        <w:t xml:space="preserve">①合同中已有的综合单价，按合同中已有的综合单价确定； </w:t>
      </w:r>
    </w:p>
    <w:p w14:paraId="4CC07868">
      <w:pPr>
        <w:widowControl w:val="0"/>
        <w:spacing w:before="240" w:after="0" w:line="360" w:lineRule="auto"/>
        <w:ind w:left="0" w:firstLine="552"/>
        <w:jc w:val="both"/>
        <w:rPr>
          <w:rFonts w:hint="default" w:ascii="宋体" w:hAnsi="宋体" w:eastAsia="宋体" w:cs="宋体"/>
          <w:sz w:val="24"/>
          <w:szCs w:val="20"/>
          <w:lang w:val="en-US" w:eastAsia="zh-CN" w:bidi="ar-SA"/>
        </w:rPr>
      </w:pPr>
      <w:r>
        <w:rPr>
          <w:rFonts w:hint="eastAsia" w:ascii="宋体" w:hAnsi="宋体" w:eastAsia="宋体" w:cs="宋体"/>
          <w:sz w:val="24"/>
          <w:szCs w:val="20"/>
          <w:lang w:val="en-US" w:eastAsia="zh-CN" w:bidi="ar-SA"/>
        </w:rPr>
        <w:t xml:space="preserve">②合同中已有类似的综合单价，参照类似的综合单价确定。 </w:t>
      </w:r>
    </w:p>
    <w:p w14:paraId="5C180E27">
      <w:pPr>
        <w:widowControl w:val="0"/>
        <w:spacing w:before="240" w:after="0" w:line="360" w:lineRule="auto"/>
        <w:ind w:left="0" w:firstLine="552"/>
        <w:jc w:val="both"/>
        <w:rPr>
          <w:rFonts w:hint="default" w:ascii="宋体" w:hAnsi="宋体" w:eastAsia="宋体" w:cs="宋体"/>
          <w:sz w:val="24"/>
          <w:szCs w:val="20"/>
          <w:lang w:val="en-US" w:eastAsia="zh-CN" w:bidi="ar-SA"/>
        </w:rPr>
      </w:pPr>
      <w:r>
        <w:rPr>
          <w:rFonts w:hint="eastAsia" w:ascii="宋体" w:hAnsi="宋体" w:eastAsia="宋体" w:cs="宋体"/>
          <w:sz w:val="24"/>
          <w:szCs w:val="20"/>
          <w:lang w:val="en-US" w:eastAsia="zh-CN" w:bidi="ar-SA"/>
        </w:rPr>
        <w:t xml:space="preserve">③合同中没有适用或类似的综合单价，由承包人提出综合单价，经发包人确认后执行，结算原则按中标价与招标控制价相比的让利幅度同比例下浮。 </w:t>
      </w:r>
    </w:p>
    <w:p w14:paraId="541A98B9">
      <w:pPr>
        <w:widowControl w:val="0"/>
        <w:spacing w:before="240" w:after="0" w:line="360" w:lineRule="auto"/>
        <w:ind w:left="0" w:firstLine="552"/>
        <w:jc w:val="both"/>
        <w:rPr>
          <w:rFonts w:hint="default" w:ascii="宋体" w:hAnsi="宋体" w:eastAsia="宋体" w:cs="宋体"/>
          <w:sz w:val="24"/>
          <w:szCs w:val="20"/>
          <w:lang w:val="en-US" w:eastAsia="zh-CN" w:bidi="ar-SA"/>
        </w:rPr>
      </w:pPr>
      <w:r>
        <w:rPr>
          <w:rFonts w:hint="eastAsia" w:ascii="宋体" w:hAnsi="宋体" w:eastAsia="宋体" w:cs="宋体"/>
          <w:sz w:val="24"/>
          <w:szCs w:val="20"/>
          <w:lang w:val="en-US" w:eastAsia="zh-CN" w:bidi="ar-SA"/>
        </w:rPr>
        <w:t xml:space="preserve">（4）因非承包人原因的工程变更引起施工方案改变并使措施项目发生变化时，承包人提出调整措施项目费的，措施项目费应按下列原则调整：“总价措施项目”中的措施费仍按投标时费率进行调整；“单价措施项目”中的措施费发生关联变化时，除脚手架、模板按招标控制价计价办法计算，并乘以承包人报价浮动比率【承包人报价浮动比率=（1-中标价/招标控制价）×100%】进行结算外，其余的措施费均不作调整。 </w:t>
      </w:r>
    </w:p>
    <w:p w14:paraId="4E2F16EB">
      <w:pPr>
        <w:widowControl w:val="0"/>
        <w:spacing w:before="240" w:after="0" w:line="360" w:lineRule="auto"/>
        <w:ind w:left="0" w:firstLine="552"/>
        <w:jc w:val="both"/>
        <w:rPr>
          <w:rFonts w:hint="default" w:ascii="宋体" w:hAnsi="宋体" w:eastAsia="宋体" w:cs="宋体"/>
          <w:sz w:val="24"/>
          <w:szCs w:val="20"/>
          <w:lang w:val="en-US" w:eastAsia="zh-CN" w:bidi="ar-SA"/>
        </w:rPr>
      </w:pPr>
      <w:r>
        <w:rPr>
          <w:rFonts w:hint="eastAsia" w:ascii="宋体" w:hAnsi="宋体" w:eastAsia="宋体" w:cs="宋体"/>
          <w:sz w:val="24"/>
          <w:szCs w:val="20"/>
          <w:lang w:val="en-US" w:eastAsia="zh-CN" w:bidi="ar-SA"/>
        </w:rPr>
        <w:t>（5）因工程变更引起工程量偏差在15%以内时，其综合单价不做调整，执行原有的综合单价；当分部分项工程量增加超过15%以上时（不含15%），增加部分的工程量的综合单价应予调低5%；当分部分项工程量减少超过15%以上时（不含15%），减少后剩余部分的工程量的综合单价应予调高5%，合同另有约定的按合同执行。</w:t>
      </w:r>
    </w:p>
    <w:p w14:paraId="44192704">
      <w:pPr>
        <w:widowControl w:val="0"/>
        <w:spacing w:before="240" w:after="0" w:line="360" w:lineRule="auto"/>
        <w:ind w:left="0" w:firstLine="552"/>
        <w:jc w:val="both"/>
        <w:rPr>
          <w:rFonts w:hint="default" w:ascii="宋体" w:hAnsi="宋体" w:eastAsia="宋体" w:cs="宋体"/>
          <w:sz w:val="24"/>
          <w:szCs w:val="20"/>
          <w:lang w:val="en-US" w:eastAsia="zh-CN" w:bidi="ar-SA"/>
        </w:rPr>
      </w:pPr>
      <w:r>
        <w:rPr>
          <w:rFonts w:hint="eastAsia" w:ascii="宋体" w:hAnsi="宋体" w:eastAsia="宋体" w:cs="宋体"/>
          <w:sz w:val="24"/>
          <w:szCs w:val="20"/>
          <w:lang w:val="en-US" w:eastAsia="zh-CN" w:bidi="ar-SA"/>
        </w:rPr>
        <w:t xml:space="preserve">（6）清单项目中特征描述不全的工序，如图纸已明确或已指明引用规范、图集等或是常规工艺必须的工序，应视为包括在报价中。 </w:t>
      </w:r>
    </w:p>
    <w:p w14:paraId="141F2A49">
      <w:pPr>
        <w:widowControl w:val="0"/>
        <w:spacing w:before="240" w:after="0" w:line="360" w:lineRule="auto"/>
        <w:ind w:left="0" w:firstLine="552"/>
        <w:jc w:val="both"/>
        <w:rPr>
          <w:rFonts w:hint="default" w:ascii="宋体" w:hAnsi="宋体" w:eastAsia="宋体" w:cs="宋体"/>
          <w:sz w:val="24"/>
          <w:szCs w:val="20"/>
          <w:lang w:val="en-US" w:eastAsia="zh-CN" w:bidi="ar-SA"/>
        </w:rPr>
      </w:pPr>
      <w:r>
        <w:rPr>
          <w:rFonts w:hint="eastAsia" w:ascii="宋体" w:hAnsi="宋体" w:eastAsia="宋体" w:cs="宋体"/>
          <w:sz w:val="24"/>
          <w:szCs w:val="20"/>
          <w:lang w:val="en-US" w:eastAsia="zh-CN" w:bidi="ar-SA"/>
        </w:rPr>
        <w:t>（</w:t>
      </w:r>
      <w:r>
        <w:rPr>
          <w:rFonts w:hint="default" w:ascii="宋体" w:hAnsi="宋体" w:eastAsia="宋体" w:cs="宋体"/>
          <w:sz w:val="24"/>
          <w:szCs w:val="20"/>
          <w:lang w:val="en-US" w:eastAsia="zh-CN" w:bidi="ar-SA"/>
        </w:rPr>
        <w:t>7</w:t>
      </w:r>
      <w:r>
        <w:rPr>
          <w:rFonts w:hint="eastAsia" w:ascii="宋体" w:hAnsi="宋体" w:eastAsia="宋体" w:cs="宋体"/>
          <w:sz w:val="24"/>
          <w:szCs w:val="20"/>
          <w:lang w:val="en-US" w:eastAsia="zh-CN" w:bidi="ar-SA"/>
        </w:rPr>
        <w:t>）工程量清单项未予实施或工程量减少的，按照投标报价从中标价款中予以减除，竣工结算时予以扣减。</w:t>
      </w:r>
    </w:p>
    <w:p w14:paraId="602EA74D">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报价的计价方法:本工程项目采用工程量清单计价。响应单位应根据磋商文件中提供的工程量清单计算工程项目的单价、合价。工程量清单中每一个子目和单项均需计算填写单价、合价。若供应商没有填写单价、合价的项目采购人将不予支付，并认为此项费用已包括在工程量清单的其它单价、合价中。</w:t>
      </w:r>
    </w:p>
    <w:p w14:paraId="1E459674">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报价编制依据及要求：本工程执行现行国家标准《建设工程工程量清单计价规范》(GB50500-2013)、《建筑与装饰工程工程量计算规范》(GB50854-2013)、《通用安装工程工程量计算规范》(GB50856-2013)、《江苏省建筑与装饰工程计价定额》、《2009江苏修缮建筑定额》、《江苏省建设工程费用定额》(2014年)含营改增后调整内容及苏建函价[2019]178号文件关于建筑业税率调整的通知;</w:t>
      </w:r>
    </w:p>
    <w:p w14:paraId="39DB0A58">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不可竞争费用:执行《江苏省建设工程费用定额》(2014)的各项要求，该项费用按《江苏省建设工程费用定额》(2014)文件规定计算。(不可竞争费包括:安全文明施工措施费、社会保险费、住房公积金、税金);</w:t>
      </w:r>
    </w:p>
    <w:p w14:paraId="3CCF95C6">
      <w:pPr>
        <w:widowControl w:val="0"/>
        <w:spacing w:line="360" w:lineRule="auto"/>
        <w:ind w:left="0" w:firstLine="0"/>
        <w:jc w:val="both"/>
        <w:rPr>
          <w:rFonts w:hint="eastAsia" w:ascii="宋体" w:hAnsi="宋体" w:eastAsia="宋体" w:cs="Times New Roman"/>
          <w:b/>
          <w:bCs w:val="0"/>
          <w:sz w:val="24"/>
          <w:szCs w:val="22"/>
          <w:highlight w:val="none"/>
          <w:lang w:val="en-US" w:eastAsia="zh-CN" w:bidi="ar-SA"/>
        </w:rPr>
      </w:pPr>
      <w:r>
        <w:rPr>
          <w:rFonts w:hint="eastAsia" w:ascii="宋体" w:hAnsi="宋体" w:eastAsia="宋体" w:cs="Times New Roman"/>
          <w:b/>
          <w:bCs w:val="0"/>
          <w:sz w:val="24"/>
          <w:szCs w:val="22"/>
          <w:highlight w:val="none"/>
          <w:lang w:val="en-US" w:eastAsia="zh-CN" w:bidi="ar-SA"/>
        </w:rPr>
        <w:t>3、本工程的其他规定：</w:t>
      </w:r>
    </w:p>
    <w:p w14:paraId="263B563B">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3.1招标控制价编制价格参考2025年第5期《徐州工程造价信息》中的指导价及市场价，供应商的材料价格根据市场行情自主报价。</w:t>
      </w:r>
    </w:p>
    <w:p w14:paraId="280EBABF">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3.2招标控制价人工费按苏建函价[2025]66号。</w:t>
      </w:r>
    </w:p>
    <w:p w14:paraId="750083F3">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3.3建筑安装工程造价的组成：</w:t>
      </w:r>
    </w:p>
    <w:p w14:paraId="6BBD1185">
      <w:pPr>
        <w:widowControl w:val="0"/>
        <w:numPr>
          <w:ilvl w:val="0"/>
          <w:numId w:val="1"/>
        </w:numPr>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总价措施项目费</w:t>
      </w:r>
    </w:p>
    <w:p w14:paraId="13FBBECD">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现场安全文明施工基本费：</w:t>
      </w:r>
      <w:r>
        <w:rPr>
          <w:rFonts w:hint="default" w:ascii="宋体" w:hAnsi="宋体" w:eastAsia="宋体" w:cs="宋体"/>
          <w:color w:val="000000"/>
          <w:sz w:val="24"/>
          <w:szCs w:val="24"/>
          <w:lang w:val="en-US" w:eastAsia="zh-CN" w:bidi="ar-SA"/>
        </w:rPr>
        <w:t>详见工程量清单</w:t>
      </w:r>
      <w:r>
        <w:rPr>
          <w:rFonts w:hint="eastAsia" w:ascii="宋体" w:hAnsi="宋体" w:eastAsia="宋体" w:cs="Times New Roman"/>
          <w:bCs/>
          <w:sz w:val="24"/>
          <w:szCs w:val="22"/>
          <w:highlight w:val="none"/>
          <w:lang w:val="en-US" w:eastAsia="zh-CN" w:bidi="ar-SA"/>
        </w:rPr>
        <w:t>；</w:t>
      </w:r>
    </w:p>
    <w:p w14:paraId="6C9BF733">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工地扬尘污染防治措施费：</w:t>
      </w:r>
      <w:r>
        <w:rPr>
          <w:rFonts w:hint="default" w:ascii="宋体" w:hAnsi="宋体" w:eastAsia="宋体" w:cs="宋体"/>
          <w:color w:val="000000"/>
          <w:sz w:val="24"/>
          <w:szCs w:val="24"/>
          <w:lang w:val="en-US" w:eastAsia="zh-CN" w:bidi="ar-SA"/>
        </w:rPr>
        <w:t>详见工程量清单</w:t>
      </w:r>
      <w:r>
        <w:rPr>
          <w:rFonts w:hint="eastAsia" w:ascii="宋体" w:hAnsi="宋体" w:eastAsia="宋体" w:cs="Times New Roman"/>
          <w:bCs/>
          <w:sz w:val="24"/>
          <w:szCs w:val="22"/>
          <w:highlight w:val="none"/>
          <w:lang w:val="en-US" w:eastAsia="zh-CN" w:bidi="ar-SA"/>
        </w:rPr>
        <w:t>；</w:t>
      </w:r>
    </w:p>
    <w:p w14:paraId="5DB777BF">
      <w:pPr>
        <w:numPr>
          <w:ilvl w:val="0"/>
          <w:numId w:val="0"/>
        </w:numPr>
        <w:spacing w:line="360" w:lineRule="auto"/>
        <w:ind w:firstLine="361"/>
        <w:jc w:val="both"/>
        <w:rPr>
          <w:rFonts w:hint="default" w:ascii="宋体" w:hAnsi="宋体" w:eastAsia="仿宋_GB2312" w:cs="Times New Roman"/>
          <w:sz w:val="18"/>
          <w:szCs w:val="18"/>
          <w:lang w:val="en-US" w:eastAsia="zh-CN" w:bidi="ar-SA"/>
        </w:rPr>
      </w:pPr>
    </w:p>
    <w:p w14:paraId="76BC9710">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(二)规费</w:t>
      </w:r>
    </w:p>
    <w:p w14:paraId="197DC2B6">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1、社会保险费:</w:t>
      </w:r>
      <w:r>
        <w:rPr>
          <w:rFonts w:hint="default" w:ascii="宋体" w:hAnsi="宋体" w:eastAsia="宋体" w:cs="宋体"/>
          <w:color w:val="000000"/>
          <w:sz w:val="24"/>
          <w:szCs w:val="24"/>
          <w:lang w:val="en-US" w:eastAsia="zh-CN" w:bidi="ar-SA"/>
        </w:rPr>
        <w:t>详见工程量清单</w:t>
      </w:r>
      <w:r>
        <w:rPr>
          <w:rFonts w:hint="eastAsia" w:ascii="宋体" w:hAnsi="宋体" w:eastAsia="宋体" w:cs="Times New Roman"/>
          <w:bCs/>
          <w:sz w:val="24"/>
          <w:szCs w:val="22"/>
          <w:highlight w:val="none"/>
          <w:lang w:val="en-US" w:eastAsia="zh-CN" w:bidi="ar-SA"/>
        </w:rPr>
        <w:t>;</w:t>
      </w:r>
    </w:p>
    <w:p w14:paraId="0B7F4304">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2、住房公积金:</w:t>
      </w:r>
      <w:r>
        <w:rPr>
          <w:rFonts w:hint="default" w:ascii="宋体" w:hAnsi="宋体" w:eastAsia="宋体" w:cs="宋体"/>
          <w:color w:val="000000"/>
          <w:sz w:val="24"/>
          <w:szCs w:val="24"/>
          <w:lang w:val="en-US" w:eastAsia="zh-CN" w:bidi="ar-SA"/>
        </w:rPr>
        <w:t>详见工程量清单</w:t>
      </w:r>
      <w:r>
        <w:rPr>
          <w:rFonts w:hint="eastAsia" w:ascii="宋体" w:hAnsi="宋体" w:eastAsia="宋体" w:cs="Times New Roman"/>
          <w:bCs/>
          <w:sz w:val="24"/>
          <w:szCs w:val="22"/>
          <w:highlight w:val="none"/>
          <w:lang w:val="en-US" w:eastAsia="zh-CN" w:bidi="ar-SA"/>
        </w:rPr>
        <w:t>;</w:t>
      </w:r>
    </w:p>
    <w:p w14:paraId="4988F043">
      <w:pPr>
        <w:widowControl w:val="0"/>
        <w:spacing w:line="360" w:lineRule="auto"/>
        <w:ind w:firstLine="480"/>
        <w:jc w:val="both"/>
        <w:rPr>
          <w:rFonts w:hint="eastAsia" w:ascii="Times New Roman" w:hAnsi="Times New Roman" w:eastAsia="宋体" w:cs="Times New Roman"/>
          <w:sz w:val="24"/>
          <w:szCs w:val="24"/>
          <w:highlight w:val="none"/>
          <w:lang w:val="en-US" w:eastAsia="zh-CN" w:bidi="ar-SA"/>
        </w:rPr>
      </w:pPr>
      <w:r>
        <w:rPr>
          <w:rFonts w:hint="eastAsia" w:ascii="宋体" w:hAnsi="宋体" w:eastAsia="宋体" w:cs="Times New Roman"/>
          <w:bCs/>
          <w:sz w:val="24"/>
          <w:szCs w:val="22"/>
          <w:highlight w:val="none"/>
          <w:lang w:val="en-US" w:eastAsia="zh-CN" w:bidi="ar-SA"/>
        </w:rPr>
        <w:t>(三)税金:</w:t>
      </w:r>
      <w:r>
        <w:rPr>
          <w:rFonts w:hint="default" w:ascii="宋体" w:hAnsi="宋体" w:eastAsia="宋体" w:cs="宋体"/>
          <w:color w:val="000000"/>
          <w:sz w:val="24"/>
          <w:szCs w:val="24"/>
          <w:lang w:val="en-US" w:eastAsia="zh-CN" w:bidi="ar-SA"/>
        </w:rPr>
        <w:t>详见工程量清单</w:t>
      </w:r>
      <w:r>
        <w:rPr>
          <w:rFonts w:hint="eastAsia" w:ascii="宋体" w:hAnsi="宋体" w:eastAsia="宋体" w:cs="Times New Roman"/>
          <w:bCs/>
          <w:sz w:val="24"/>
          <w:szCs w:val="22"/>
          <w:highlight w:val="none"/>
          <w:lang w:val="en-US" w:eastAsia="zh-CN" w:bidi="ar-SA"/>
        </w:rPr>
        <w:t>。</w:t>
      </w:r>
    </w:p>
    <w:p w14:paraId="6B348339">
      <w:pPr>
        <w:widowControl w:val="0"/>
        <w:spacing w:line="360" w:lineRule="auto"/>
        <w:ind w:left="0" w:firstLine="0"/>
        <w:jc w:val="both"/>
        <w:rPr>
          <w:rFonts w:hint="eastAsia" w:ascii="宋体" w:hAnsi="宋体" w:eastAsia="宋体" w:cs="Times New Roman"/>
          <w:b/>
          <w:bCs w:val="0"/>
          <w:sz w:val="24"/>
          <w:szCs w:val="22"/>
          <w:highlight w:val="none"/>
          <w:lang w:val="en-US" w:eastAsia="zh-CN" w:bidi="ar-SA"/>
        </w:rPr>
      </w:pPr>
      <w:r>
        <w:rPr>
          <w:rFonts w:hint="eastAsia" w:ascii="宋体" w:hAnsi="宋体" w:eastAsia="宋体" w:cs="Times New Roman"/>
          <w:b/>
          <w:bCs w:val="0"/>
          <w:sz w:val="24"/>
          <w:szCs w:val="22"/>
          <w:highlight w:val="none"/>
          <w:lang w:val="en-US" w:eastAsia="zh-CN" w:bidi="ar-SA"/>
        </w:rPr>
        <w:t>五、低于成本报价：</w:t>
      </w:r>
    </w:p>
    <w:p w14:paraId="33AE77D9">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 xml:space="preserve">在磋商过程中，磋商小组发现供应商的报价明显低于其他报价，使得其报价可能低于其个别成本的，应当要求该供应商作出书面说明并提供相关证明材料。供应商不能合理说明或者不能提供相关证明材料的，由磋商小组会认定该供应商以低于成本报价，其响应文件应作无效响应文件处理。 </w:t>
      </w:r>
    </w:p>
    <w:p w14:paraId="5B543A61">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磋商小组全体成员三分之二以上认为该供应商不能合理说明或者不能提供相关证明材料的，认定该供应商以低于成本报价，其响应文件应作无效响应文件处理。持有异议的磋商小组成员可以书面方式阐述其不同意见和理由，拒绝签字且不陈述其不同意见和理由的，视为同意。</w:t>
      </w:r>
    </w:p>
    <w:p w14:paraId="4A9D392B">
      <w:pPr>
        <w:widowControl w:val="0"/>
        <w:numPr>
          <w:ilvl w:val="0"/>
          <w:numId w:val="0"/>
        </w:numPr>
        <w:spacing w:line="360" w:lineRule="auto"/>
        <w:ind w:firstLine="723"/>
        <w:jc w:val="both"/>
        <w:rPr>
          <w:rFonts w:hint="eastAsia" w:ascii="宋体" w:hAnsi="宋体" w:eastAsia="宋体" w:cs="Times New Roman"/>
          <w:b/>
          <w:bCs w:val="0"/>
          <w:sz w:val="24"/>
          <w:szCs w:val="22"/>
          <w:highlight w:val="none"/>
          <w:lang w:val="en-US" w:eastAsia="zh-CN" w:bidi="ar-SA"/>
        </w:rPr>
      </w:pPr>
      <w:r>
        <w:rPr>
          <w:rFonts w:hint="eastAsia" w:ascii="宋体" w:hAnsi="宋体" w:eastAsia="宋体" w:cs="Times New Roman"/>
          <w:b/>
          <w:bCs w:val="0"/>
          <w:sz w:val="24"/>
          <w:szCs w:val="22"/>
          <w:highlight w:val="none"/>
          <w:lang w:val="en-US" w:eastAsia="zh-CN" w:bidi="ar-SA"/>
        </w:rPr>
        <w:t>六、其他要求：</w:t>
      </w:r>
    </w:p>
    <w:p w14:paraId="1F03B9E2">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1.供应商报价时需考虑完成本项目内容所涉及的人工费、材料费、机械费、税费、验收等相关的一切费用。</w:t>
      </w:r>
    </w:p>
    <w:p w14:paraId="1BD61422">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2.供应商应根据本项目实际情况，合理配置人员，除项目经理外，安全员、质检员、施工员、预算员、材料员等人员应经验丰富，确保项目顺利实施。</w:t>
      </w:r>
    </w:p>
    <w:p w14:paraId="6DADA357">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3.符合徐州市有关部门规定的标准化施工现场要求，同时应满足市政、市容等相关主管部门的有关规定。施工工地一律实行封闭施工、防尘网覆盖、定时洒水，控制扬尘污染等安全文明施工措施。供应商违反规定所造成的损失和处罚由供应商承担。交工后一周内彻底清洁完毕撤离现场。</w:t>
      </w:r>
    </w:p>
    <w:p w14:paraId="58A9D565">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4.供应商对工程建设期间扬尘治理工作负主体责任。应制定施工现场扬尘污染防治专项方案，按照承包工程范围做好扬尘污染防治措施的落实。方案必须符合我市“徐空气提升办【2018】11号”和“徐城管发【2018】55号”关于扬尘管控的相关规定要求。</w:t>
      </w:r>
    </w:p>
    <w:p w14:paraId="2A2AF193">
      <w:pPr>
        <w:widowControl w:val="0"/>
        <w:spacing w:line="360" w:lineRule="auto"/>
        <w:ind w:firstLine="480"/>
        <w:jc w:val="both"/>
        <w:rPr>
          <w:rFonts w:hint="default"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5.工程质量必须达到合同约定标准，且保证相关部门验收通过；未达到质量要求的，成交供应商负责无条件返工，直至达到要求，所发生的费用由成交供应商承担，成交供应商还应赔偿因此给采购人造成的损失</w:t>
      </w:r>
      <w:r>
        <w:rPr>
          <w:rFonts w:hint="default" w:ascii="宋体" w:hAnsi="宋体" w:eastAsia="宋体" w:cs="Times New Roman"/>
          <w:bCs/>
          <w:sz w:val="24"/>
          <w:szCs w:val="22"/>
          <w:highlight w:val="none"/>
          <w:lang w:val="en-US" w:eastAsia="zh-CN" w:bidi="ar-SA"/>
        </w:rPr>
        <w:t>；</w:t>
      </w:r>
    </w:p>
    <w:p w14:paraId="2D0B49A0">
      <w:pPr>
        <w:keepNext w:val="0"/>
        <w:keepLines w:val="0"/>
        <w:pageBreakBefore w:val="0"/>
        <w:widowControl w:val="0"/>
        <w:spacing w:after="60" w:line="360" w:lineRule="auto"/>
        <w:ind w:left="72" w:right="30"/>
        <w:jc w:val="both"/>
        <w:rPr>
          <w:rFonts w:hint="eastAsia" w:ascii="宋体" w:hAnsi="宋体" w:eastAsia="宋体" w:cs="宋体"/>
          <w:color w:val="000000"/>
          <w:sz w:val="24"/>
          <w:szCs w:val="24"/>
          <w:highlight w:val="none"/>
          <w:lang w:val="en-US" w:eastAsia="zh-CN" w:bidi="ar-SA"/>
        </w:rPr>
      </w:pPr>
      <w:r>
        <w:rPr>
          <w:rFonts w:hint="eastAsia" w:ascii="宋体" w:hAnsi="宋体" w:eastAsia="宋体" w:cs="宋体"/>
          <w:b/>
          <w:bCs/>
          <w:color w:val="000000"/>
          <w:sz w:val="24"/>
          <w:szCs w:val="24"/>
          <w:highlight w:val="none"/>
          <w:lang w:val="en-US" w:eastAsia="zh-CN" w:bidi="ar-SA"/>
        </w:rPr>
        <w:t>七、</w:t>
      </w:r>
      <w:r>
        <w:rPr>
          <w:rFonts w:hint="eastAsia" w:ascii="宋体" w:hAnsi="Times New Roman" w:eastAsia="宋体" w:cs="宋体"/>
          <w:b/>
          <w:bCs/>
          <w:color w:val="000000"/>
          <w:sz w:val="24"/>
          <w:szCs w:val="24"/>
          <w:highlight w:val="none"/>
          <w:lang w:val="en-US" w:eastAsia="zh-CN" w:bidi="ar-SA"/>
        </w:rPr>
        <w:t>质保期限：</w:t>
      </w:r>
      <w:r>
        <w:rPr>
          <w:rFonts w:hint="eastAsia" w:ascii="宋体" w:hAnsi="宋体" w:eastAsia="宋体" w:cs="宋体"/>
          <w:b/>
          <w:bCs/>
          <w:color w:val="000000"/>
          <w:sz w:val="24"/>
          <w:szCs w:val="24"/>
          <w:lang w:val="en-US" w:eastAsia="zh-CN" w:bidi="ar-SA"/>
        </w:rPr>
        <w:t>整体</w:t>
      </w:r>
      <w:r>
        <w:rPr>
          <w:rFonts w:hint="eastAsia" w:ascii="宋体" w:hAnsi="宋体" w:eastAsia="宋体" w:cs="宋体"/>
          <w:b/>
          <w:bCs/>
          <w:color w:val="000000"/>
          <w:sz w:val="24"/>
          <w:szCs w:val="24"/>
          <w:highlight w:val="none"/>
          <w:lang w:val="en-US" w:eastAsia="zh-CN" w:bidi="ar-SA"/>
        </w:rPr>
        <w:t>工程质保期不低于二年</w:t>
      </w:r>
      <w:r>
        <w:rPr>
          <w:rFonts w:hint="eastAsia" w:ascii="宋体" w:hAnsi="Times New Roman" w:eastAsia="宋体" w:cs="宋体"/>
          <w:b/>
          <w:bCs/>
          <w:color w:val="000000"/>
          <w:sz w:val="24"/>
          <w:szCs w:val="24"/>
          <w:highlight w:val="none"/>
          <w:lang w:val="en-US" w:eastAsia="zh-CN" w:bidi="ar-SA"/>
        </w:rPr>
        <w:t>（自工程竣工验收合格后起算）。</w:t>
      </w:r>
    </w:p>
    <w:p w14:paraId="675ED0D7">
      <w:pPr>
        <w:widowControl w:val="0"/>
        <w:spacing w:line="360" w:lineRule="auto"/>
        <w:ind w:firstLine="480"/>
        <w:jc w:val="both"/>
        <w:rPr>
          <w:rFonts w:hint="eastAsia" w:ascii="宋体" w:hAnsi="宋体" w:eastAsia="宋体" w:cs="Times New Roman"/>
          <w:bCs/>
          <w:sz w:val="24"/>
          <w:szCs w:val="22"/>
          <w:highlight w:val="none"/>
          <w:lang w:val="en-US" w:eastAsia="zh-CN" w:bidi="ar-SA"/>
        </w:rPr>
      </w:pPr>
      <w:r>
        <w:rPr>
          <w:rFonts w:hint="eastAsia" w:ascii="宋体" w:hAnsi="宋体" w:eastAsia="宋体" w:cs="Times New Roman"/>
          <w:bCs/>
          <w:sz w:val="24"/>
          <w:szCs w:val="22"/>
          <w:highlight w:val="none"/>
          <w:lang w:val="en-US" w:eastAsia="zh-CN" w:bidi="ar-SA"/>
        </w:rPr>
        <w:t>质保期内，如发生故障，采购人通知中标人售后服务人员时，相关服务人员要在24小时内到达现场配合采购人处理问题，进行更换或进行必要的维修。否则发包人有权另行委托其他单位或个人进行处理，相关费用直接在工程费用中扣除。质保期外，工程质量出现问题，中标人应主动提供维修方案，只收取材料费。供应商需根据本项目特征及自身情况编制施工方案。</w:t>
      </w:r>
    </w:p>
    <w:p w14:paraId="269DE868">
      <w:pPr>
        <w:spacing w:line="360" w:lineRule="auto"/>
        <w:rPr>
          <w:rFonts w:hint="eastAsia" w:ascii="宋体" w:hAnsi="宋体" w:eastAsia="宋体" w:cs="Times New Roman"/>
          <w:b/>
          <w:bCs w:val="0"/>
          <w:sz w:val="24"/>
          <w:szCs w:val="22"/>
          <w:highlight w:val="none"/>
          <w:lang w:val="en-US" w:eastAsia="zh-CN" w:bidi="ar-SA"/>
        </w:rPr>
      </w:pPr>
      <w:r>
        <w:rPr>
          <w:rFonts w:hint="eastAsia" w:ascii="宋体" w:hAnsi="宋体" w:eastAsia="宋体" w:cs="Times New Roman"/>
          <w:b/>
          <w:bCs w:val="0"/>
          <w:sz w:val="24"/>
          <w:szCs w:val="22"/>
          <w:highlight w:val="none"/>
          <w:lang w:val="en-US" w:eastAsia="zh-CN" w:bidi="ar-SA"/>
        </w:rPr>
        <w:t>八、其他要求：见《合同草案条款》、《工程量清单》。</w:t>
      </w:r>
    </w:p>
    <w:p w14:paraId="5DBF10EA">
      <w:pPr>
        <w:rPr>
          <w:rFonts w:hint="eastAsia" w:ascii="宋体" w:hAnsi="宋体" w:eastAsia="宋体" w:cs="Times New Roman"/>
          <w:b/>
          <w:bCs w:val="0"/>
          <w:sz w:val="24"/>
          <w:szCs w:val="22"/>
          <w:highlight w:val="none"/>
          <w:lang w:val="en-US" w:eastAsia="zh-CN" w:bidi="ar-SA"/>
        </w:rPr>
      </w:pPr>
      <w:r>
        <w:rPr>
          <w:rFonts w:hint="eastAsia" w:ascii="宋体" w:hAnsi="宋体" w:eastAsia="宋体" w:cs="Times New Roman"/>
          <w:b/>
          <w:bCs w:val="0"/>
          <w:sz w:val="24"/>
          <w:szCs w:val="22"/>
          <w:highlight w:val="none"/>
          <w:lang w:val="en-US" w:eastAsia="zh-CN" w:bidi="ar-SA"/>
        </w:rPr>
        <w:br w:type="page"/>
      </w:r>
    </w:p>
    <w:p w14:paraId="19FFEB7C">
      <w:pPr>
        <w:spacing w:line="360" w:lineRule="auto"/>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资格条件（1～6项必须提供，否则响应无效）</w:t>
      </w:r>
    </w:p>
    <w:p w14:paraId="31E28333">
      <w:pPr>
        <w:widowControl w:val="0"/>
        <w:spacing w:after="0" w:line="360" w:lineRule="auto"/>
        <w:ind w:left="0" w:firstLine="482"/>
        <w:jc w:val="both"/>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（1）具有独立承担民事责任的能力，提供合法有效的法人的营业执照（或事业单位法人证书）或其他组织应提供合法证明文件（加盖电子签章）；</w:t>
      </w:r>
    </w:p>
    <w:p w14:paraId="13625826">
      <w:pPr>
        <w:widowControl w:val="0"/>
        <w:spacing w:after="0" w:line="360" w:lineRule="auto"/>
        <w:ind w:left="0" w:firstLine="482"/>
        <w:jc w:val="both"/>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2）供应商的“首次响应文件提交的截止时间”前6个月内任何1月（不含“首次响应文件提交的截止时间”当月）的资产负债表的扫描件1份；供应商的“首次响应文件提交的截止时间”前6个月内任何1月（不含“首次响应文件提交的截止时间”当月）的利润表月报表的扫描件1份。或提供2024年度财务报告（应包括审计报告正文、资产负债表、现金流量表、利润表）；</w:t>
      </w:r>
    </w:p>
    <w:p w14:paraId="0035D91E">
      <w:pPr>
        <w:widowControl w:val="0"/>
        <w:spacing w:after="0" w:line="360" w:lineRule="auto"/>
        <w:ind w:left="0" w:firstLine="482"/>
        <w:jc w:val="both"/>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3）投标人的本项目开标时间前6个月内（不含开标当月）的依法缴纳税收和社会保障资金的相关材料扫描件（依法免税或不需要缴纳社会保障资金的供应商,提供相应文件证明其依法免税或不需要缴纳社会保障资金)。</w:t>
      </w:r>
    </w:p>
    <w:p w14:paraId="4F20C2DC">
      <w:pPr>
        <w:widowControl w:val="0"/>
        <w:spacing w:after="0" w:line="360" w:lineRule="auto"/>
        <w:ind w:left="0" w:firstLine="482"/>
        <w:jc w:val="both"/>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（4）具备履行合同所必需的设备和专业技术能力的证明材料。响应文件中提供《具备履行合同所必需的设备和专业技术能力的书面声明》（加盖电子签章，格式见《磋商文件》附件）。</w:t>
      </w:r>
    </w:p>
    <w:p w14:paraId="4C0D3A64">
      <w:pPr>
        <w:widowControl w:val="0"/>
        <w:spacing w:after="0" w:line="360" w:lineRule="auto"/>
        <w:ind w:left="0" w:firstLine="482"/>
        <w:jc w:val="both"/>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（5）供应商参加政府采购活动前3年内在经营活动中没有重大违法记录的书面声明(格式见《磋商文件》附件)。</w:t>
      </w:r>
    </w:p>
    <w:p w14:paraId="5C46FF1D">
      <w:pPr>
        <w:spacing w:line="360" w:lineRule="auto"/>
        <w:ind w:right="-334" w:firstLine="482"/>
        <w:rPr>
          <w:rFonts w:hint="eastAsia" w:ascii="宋体" w:hAnsi="宋体" w:eastAsia="宋体" w:cs="宋体"/>
          <w:b/>
          <w:bCs/>
          <w:color w:val="auto"/>
          <w:kern w:val="0"/>
          <w:sz w:val="24"/>
          <w:szCs w:val="24"/>
          <w:highlight w:val="none"/>
          <w:lang w:val="en-US" w:eastAsia="zh-CN" w:bidi="ar-SA"/>
        </w:rPr>
      </w:pPr>
      <w:bookmarkStart w:id="0" w:name="OLE_LINK4"/>
      <w:r>
        <w:rPr>
          <w:rFonts w:hint="eastAsia" w:ascii="宋体" w:hAnsi="宋体" w:eastAsia="宋体" w:cs="宋体"/>
          <w:b/>
          <w:bCs/>
          <w:color w:val="auto"/>
          <w:kern w:val="0"/>
          <w:sz w:val="24"/>
          <w:szCs w:val="24"/>
          <w:highlight w:val="none"/>
          <w:lang w:val="en-US" w:eastAsia="zh-CN" w:bidi="ar-SA"/>
        </w:rPr>
        <w:t>（6）本项目特定资格条件：</w:t>
      </w:r>
    </w:p>
    <w:bookmarkEnd w:id="0"/>
    <w:p w14:paraId="7F946F9C">
      <w:pPr>
        <w:widowControl/>
        <w:adjustRightInd w:val="0"/>
        <w:snapToGrid w:val="0"/>
        <w:spacing w:line="360" w:lineRule="auto"/>
        <w:ind w:right="26" w:firstLine="482" w:firstLineChars="200"/>
        <w:jc w:val="left"/>
        <w:rPr>
          <w:rFonts w:hint="eastAsia" w:ascii="宋体" w:hAnsi="宋体" w:eastAsia="宋体" w:cs="宋体"/>
          <w:b/>
          <w:bCs/>
          <w:kern w:val="2"/>
          <w:sz w:val="24"/>
          <w:highlight w:val="none"/>
        </w:rPr>
      </w:pPr>
      <w:r>
        <w:rPr>
          <w:rFonts w:hint="eastAsia" w:ascii="宋体" w:hAnsi="宋体" w:eastAsia="宋体" w:cs="宋体"/>
          <w:b/>
          <w:bCs/>
          <w:kern w:val="2"/>
          <w:sz w:val="24"/>
          <w:highlight w:val="none"/>
        </w:rPr>
        <w:t>供应商资质类别和等级：</w:t>
      </w:r>
      <w:r>
        <w:rPr>
          <w:rFonts w:hint="eastAsia" w:ascii="宋体" w:hAnsi="宋体" w:eastAsia="宋体" w:cs="宋体"/>
          <w:b/>
          <w:bCs/>
          <w:kern w:val="2"/>
          <w:sz w:val="24"/>
          <w:highlight w:val="none"/>
          <w:lang w:eastAsia="zh-CN"/>
        </w:rPr>
        <w:t>具备建筑工程施工总承包叁级（含）及以上资质及有效的安全生产许可证；</w:t>
      </w:r>
      <w:r>
        <w:rPr>
          <w:rFonts w:hint="eastAsia" w:ascii="宋体" w:hAnsi="宋体" w:eastAsia="宋体" w:cs="宋体"/>
          <w:b/>
          <w:bCs/>
          <w:kern w:val="2"/>
          <w:sz w:val="24"/>
          <w:highlight w:val="none"/>
        </w:rPr>
        <w:t>(含)及以上资质，并具备合格有效的安全生产许可证;</w:t>
      </w:r>
    </w:p>
    <w:p w14:paraId="74DACAAC">
      <w:pPr>
        <w:widowControl/>
        <w:adjustRightInd w:val="0"/>
        <w:snapToGrid w:val="0"/>
        <w:spacing w:line="360" w:lineRule="auto"/>
        <w:ind w:right="26" w:firstLine="482" w:firstLineChars="200"/>
        <w:jc w:val="left"/>
        <w:rPr>
          <w:rFonts w:hint="eastAsia" w:ascii="宋体" w:hAnsi="宋体" w:eastAsia="宋体" w:cs="宋体"/>
          <w:b/>
          <w:bCs/>
          <w:kern w:val="2"/>
          <w:sz w:val="24"/>
          <w:highlight w:val="none"/>
        </w:rPr>
      </w:pPr>
      <w:r>
        <w:rPr>
          <w:rFonts w:hint="eastAsia" w:ascii="宋体" w:hAnsi="宋体" w:eastAsia="宋体" w:cs="宋体"/>
          <w:b/>
          <w:bCs/>
          <w:kern w:val="2"/>
          <w:sz w:val="24"/>
          <w:highlight w:val="none"/>
        </w:rPr>
        <w:t>项目负责人应为本单位注册的，具有市政公用工程专业二级(及以上)注册建造师证及安全生产考核合格证书(B证);</w:t>
      </w:r>
    </w:p>
    <w:p w14:paraId="4E1AAC5E">
      <w:pPr>
        <w:spacing w:line="360" w:lineRule="auto"/>
        <w:ind w:right="-334" w:firstLine="482"/>
        <w:rPr>
          <w:rFonts w:hint="default" w:ascii="宋体" w:hAnsi="宋体" w:eastAsia="宋体" w:cs="宋体"/>
          <w:b/>
          <w:color w:val="auto"/>
          <w:kern w:val="0"/>
          <w:sz w:val="24"/>
          <w:highlight w:val="none"/>
        </w:rPr>
      </w:pPr>
      <w:r>
        <w:rPr>
          <w:rFonts w:hint="eastAsia" w:ascii="宋体" w:hAnsi="宋体" w:eastAsia="宋体" w:cs="宋体"/>
          <w:b/>
          <w:color w:val="auto"/>
          <w:kern w:val="0"/>
          <w:sz w:val="24"/>
          <w:highlight w:val="none"/>
          <w:lang w:eastAsia="zh-CN"/>
        </w:rPr>
        <w:t>（</w:t>
      </w:r>
      <w:r>
        <w:rPr>
          <w:rFonts w:hint="eastAsia" w:ascii="宋体" w:hAnsi="宋体" w:eastAsia="宋体" w:cs="宋体"/>
          <w:b/>
          <w:color w:val="auto"/>
          <w:kern w:val="0"/>
          <w:sz w:val="24"/>
          <w:highlight w:val="none"/>
          <w:lang w:val="en-US" w:eastAsia="zh-CN"/>
        </w:rPr>
        <w:t>7</w:t>
      </w:r>
      <w:r>
        <w:rPr>
          <w:rFonts w:hint="eastAsia" w:ascii="宋体" w:hAnsi="宋体" w:eastAsia="宋体" w:cs="宋体"/>
          <w:b/>
          <w:color w:val="auto"/>
          <w:kern w:val="0"/>
          <w:sz w:val="24"/>
          <w:highlight w:val="none"/>
          <w:lang w:eastAsia="zh-CN"/>
        </w:rPr>
        <w:t>）</w:t>
      </w:r>
      <w:r>
        <w:rPr>
          <w:rFonts w:hint="eastAsia" w:ascii="宋体" w:hAnsi="宋体" w:eastAsia="宋体" w:cs="宋体"/>
          <w:b/>
          <w:color w:val="auto"/>
          <w:kern w:val="0"/>
          <w:sz w:val="24"/>
          <w:highlight w:val="none"/>
        </w:rPr>
        <w:t>本项目属于专门面向中小微企业采购的项目，供应商应为中小微企业（含中型、小型、微型企业，下同），响应文件中提供《中小企业声明函》（加盖电子签章，必须提供，填写完整，格式见《磋商文件》附件，如不填写完整或未按要求填写的，视为无效）。《中小企业声明函》查询渠道用微信搜索“中小企业规模类型自测小程序”。</w:t>
      </w:r>
    </w:p>
    <w:p w14:paraId="2F88D785">
      <w:pPr>
        <w:spacing w:line="360" w:lineRule="auto"/>
        <w:ind w:right="-334"/>
        <w:rPr>
          <w:rFonts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注：中小微企业，应当同时符合以下条件：</w:t>
      </w:r>
    </w:p>
    <w:p w14:paraId="4ECDF9FC">
      <w:pPr>
        <w:spacing w:line="360" w:lineRule="auto"/>
        <w:ind w:right="-334" w:firstLine="36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中小企业需满足的条件具体以《政府采购促进中小企业发展管理办法》（财库﹝2020﹞46 号）和《工业和信息化部、国家统计局、国家发展和改革委员会、财政部关于印发中小企业划型标准规定的通知》（工信部联企业[2011]300号）的规定为准。</w:t>
      </w:r>
    </w:p>
    <w:p w14:paraId="3EEF04CE">
      <w:pPr>
        <w:spacing w:line="360" w:lineRule="auto"/>
        <w:ind w:right="-334" w:firstLine="360"/>
        <w:rPr>
          <w:rFonts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供应商为残疾人福利性单位的，视同小微企业，提供《残疾人福利性单位声明函》（电子签章，格式见附件》）。具体以《关于促进残疾人就业政府采购政策的通知》（财库〔2017〕141号）的规定为准。</w:t>
      </w:r>
    </w:p>
    <w:p w14:paraId="5FF56C6B">
      <w:pPr>
        <w:spacing w:line="360" w:lineRule="auto"/>
        <w:ind w:right="-334" w:firstLine="360"/>
        <w:rPr>
          <w:rFonts w:ascii="宋体" w:hAnsi="宋体" w:cs="宋体"/>
          <w:b/>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供应商为监狱企业的，视同小微企业，提供省级以上监狱管理局、戒毒管理局（含新疆生产建设兵团）出具的属于监狱企业的证明文件扫描件。具体以《财政部 司法部关于政府采购支持监狱企业发展有关问题的通知》（财库〔2014〕68号）的规定为准。</w:t>
      </w:r>
    </w:p>
    <w:p w14:paraId="45076C50">
      <w:pPr>
        <w:rPr>
          <w:color w:val="000000" w:themeColor="text1"/>
          <w:highlight w:val="none"/>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Q3NTVlMzBjNWNkZWM0ZjI4YTk4YmFiZTc5NjQzMjcifQ=="/>
  </w:docVars>
  <w:rsids>
    <w:rsidRoot w:val="04F9574B"/>
    <w:rsid w:val="02B1218C"/>
    <w:rsid w:val="04F9574B"/>
    <w:rsid w:val="0ED53B9B"/>
    <w:rsid w:val="10047D52"/>
    <w:rsid w:val="103F05CD"/>
    <w:rsid w:val="105243C6"/>
    <w:rsid w:val="119B29BC"/>
    <w:rsid w:val="153926C6"/>
    <w:rsid w:val="170E10EF"/>
    <w:rsid w:val="1BA112D5"/>
    <w:rsid w:val="1FBE6A14"/>
    <w:rsid w:val="23966D86"/>
    <w:rsid w:val="2B3E5A31"/>
    <w:rsid w:val="2E5B02E2"/>
    <w:rsid w:val="302B485F"/>
    <w:rsid w:val="31A537B3"/>
    <w:rsid w:val="34967489"/>
    <w:rsid w:val="35A672D6"/>
    <w:rsid w:val="3E391E12"/>
    <w:rsid w:val="40DE6362"/>
    <w:rsid w:val="45C53DA9"/>
    <w:rsid w:val="45DE6139"/>
    <w:rsid w:val="46F34B8E"/>
    <w:rsid w:val="47A6430C"/>
    <w:rsid w:val="48AF5722"/>
    <w:rsid w:val="4B4F6924"/>
    <w:rsid w:val="4BD16F06"/>
    <w:rsid w:val="4E30647F"/>
    <w:rsid w:val="594A0CAC"/>
    <w:rsid w:val="5C12517C"/>
    <w:rsid w:val="5D282A51"/>
    <w:rsid w:val="61325599"/>
    <w:rsid w:val="674F0F98"/>
    <w:rsid w:val="73367407"/>
    <w:rsid w:val="756465AF"/>
    <w:rsid w:val="7A5A656A"/>
    <w:rsid w:val="7C0E2F2D"/>
    <w:rsid w:val="7CA04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qFormat/>
    <w:uiPriority w:val="0"/>
    <w:pPr>
      <w:widowControl w:val="0"/>
      <w:tabs>
        <w:tab w:val="left" w:pos="180"/>
      </w:tabs>
      <w:spacing w:line="520" w:lineRule="exact"/>
      <w:jc w:val="both"/>
    </w:pPr>
    <w:rPr>
      <w:rFonts w:hint="default" w:ascii="Calibri" w:hAnsi="Calibri" w:eastAsia="宋体" w:cs="Times New Roman"/>
      <w:sz w:val="28"/>
      <w:szCs w:val="24"/>
      <w:lang w:val="en-US" w:eastAsia="zh-CN"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4">
    <w:name w:val="Title"/>
    <w:qFormat/>
    <w:uiPriority w:val="10"/>
    <w:pPr>
      <w:widowControl w:val="0"/>
      <w:spacing w:before="300" w:after="200"/>
      <w:contextualSpacing/>
      <w:jc w:val="both"/>
    </w:pPr>
    <w:rPr>
      <w:rFonts w:hint="default" w:ascii="Calibri" w:hAnsi="Calibri" w:eastAsia="宋体" w:cs="Times New Roman"/>
      <w:sz w:val="48"/>
      <w:szCs w:val="48"/>
      <w:lang w:val="en-US" w:eastAsia="zh-CN" w:bidi="ar-SA"/>
    </w:rPr>
  </w:style>
  <w:style w:type="paragraph" w:customStyle="1" w:styleId="7">
    <w:name w:val="普通(网站)1"/>
    <w:basedOn w:val="1"/>
    <w:qFormat/>
    <w:uiPriority w:val="99"/>
    <w:pPr>
      <w:widowControl/>
      <w:spacing w:before="100" w:beforeAutospacing="1" w:after="100" w:afterAutospacing="1"/>
      <w:jc w:val="left"/>
    </w:pPr>
    <w:rPr>
      <w:rFonts w:ascii="宋体" w:hAnsi="宋体" w:cs="宋体"/>
      <w:sz w:val="24"/>
    </w:rPr>
  </w:style>
  <w:style w:type="paragraph" w:customStyle="1" w:styleId="8">
    <w:name w:val="正文文本11"/>
    <w:basedOn w:val="1"/>
    <w:next w:val="1"/>
    <w:qFormat/>
    <w:uiPriority w:val="0"/>
    <w:pPr>
      <w:spacing w:after="120"/>
    </w:pPr>
  </w:style>
  <w:style w:type="paragraph" w:customStyle="1" w:styleId="9">
    <w:name w:val="正文文本缩进1"/>
    <w:basedOn w:val="10"/>
    <w:next w:val="18"/>
    <w:qFormat/>
    <w:uiPriority w:val="0"/>
    <w:pPr>
      <w:spacing w:after="120"/>
      <w:ind w:left="420"/>
    </w:pPr>
  </w:style>
  <w:style w:type="paragraph" w:customStyle="1" w:styleId="10">
    <w:name w:val="正文1"/>
    <w:basedOn w:val="11"/>
    <w:next w:val="12"/>
    <w:qFormat/>
    <w:uiPriority w:val="0"/>
    <w:pPr>
      <w:widowControl w:val="0"/>
      <w:jc w:val="both"/>
    </w:pPr>
    <w:rPr>
      <w:rFonts w:hint="default" w:ascii="Calibri" w:hAnsi="Calibri" w:eastAsia="宋体" w:cs="Times New Roman"/>
      <w:sz w:val="21"/>
      <w:szCs w:val="24"/>
      <w:lang w:val="en-US" w:eastAsia="zh-CN" w:bidi="ar-SA"/>
    </w:rPr>
  </w:style>
  <w:style w:type="paragraph" w:customStyle="1" w:styleId="11">
    <w:name w:val="正文111"/>
    <w:next w:val="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2">
    <w:name w:val="脚注文本1"/>
    <w:basedOn w:val="10"/>
    <w:next w:val="13"/>
    <w:qFormat/>
    <w:uiPriority w:val="0"/>
    <w:pPr>
      <w:spacing w:line="360" w:lineRule="atLeast"/>
      <w:jc w:val="left"/>
    </w:pPr>
    <w:rPr>
      <w:rFonts w:ascii="宋体" w:eastAsia="Times New Roman"/>
      <w:sz w:val="18"/>
      <w:szCs w:val="18"/>
    </w:rPr>
  </w:style>
  <w:style w:type="paragraph" w:customStyle="1" w:styleId="13">
    <w:name w:val="索引 51"/>
    <w:basedOn w:val="10"/>
    <w:next w:val="14"/>
    <w:qFormat/>
    <w:uiPriority w:val="0"/>
    <w:pPr>
      <w:spacing w:line="360" w:lineRule="atLeast"/>
      <w:ind w:left="798"/>
      <w:jc w:val="left"/>
    </w:pPr>
    <w:rPr>
      <w:sz w:val="24"/>
      <w:szCs w:val="20"/>
    </w:rPr>
  </w:style>
  <w:style w:type="paragraph" w:customStyle="1" w:styleId="14">
    <w:name w:val="正文11"/>
    <w:next w:val="15"/>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5">
    <w:name w:val="正文文本1"/>
    <w:basedOn w:val="16"/>
    <w:next w:val="14"/>
    <w:qFormat/>
    <w:uiPriority w:val="0"/>
    <w:pPr>
      <w:widowControl w:val="0"/>
      <w:spacing w:after="120"/>
      <w:jc w:val="both"/>
    </w:pPr>
    <w:rPr>
      <w:rFonts w:ascii="Calibri" w:hAnsi="Calibri"/>
      <w:sz w:val="21"/>
      <w:szCs w:val="24"/>
    </w:rPr>
  </w:style>
  <w:style w:type="paragraph" w:customStyle="1" w:styleId="16">
    <w:name w:val="正文12"/>
    <w:next w:val="17"/>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7">
    <w:name w:val="目录 111"/>
    <w:basedOn w:val="11"/>
    <w:next w:val="16"/>
    <w:qFormat/>
    <w:uiPriority w:val="0"/>
    <w:pPr>
      <w:tabs>
        <w:tab w:val="right" w:leader="dot" w:pos="8296"/>
      </w:tabs>
      <w:spacing w:before="120" w:after="120" w:line="360" w:lineRule="auto"/>
      <w:ind w:firstLine="0"/>
      <w:jc w:val="left"/>
    </w:pPr>
  </w:style>
  <w:style w:type="paragraph" w:customStyle="1" w:styleId="18">
    <w:name w:val="寄信人地址1"/>
    <w:basedOn w:val="1"/>
    <w:qFormat/>
    <w:uiPriority w:val="0"/>
    <w:rPr>
      <w:rFonts w:ascii="Arial" w:hAnsi="Ari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5432</Words>
  <Characters>5676</Characters>
  <Lines>0</Lines>
  <Paragraphs>0</Paragraphs>
  <TotalTime>0</TotalTime>
  <ScaleCrop>false</ScaleCrop>
  <LinksUpToDate>false</LinksUpToDate>
  <CharactersWithSpaces>5704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2024-11-04T08:44:00Z</dcterms:created>
  <dc:creator>pc</dc:creator>
  <cp:lastModifiedBy>马静</cp:lastModifiedBy>
  <dcterms:modified xsi:type="dcterms:W3CDTF">2025-10-11T03:51:35Z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99D273CEEC314488AAA76F73E4233A43_13</vt:lpwstr>
  </property>
  <property fmtid="{D5CDD505-2E9C-101B-9397-08002B2CF9AE}" pid="4" name="KSOTemplateDocerSaveRecord">
    <vt:lpwstr>eyJoZGlkIjoiZTk2NzNhNTk0YTljZmE5ZTUzMGE0YWMxYmE3YjQ1YzgiLCJ1c2VySWQiOiIzMDIzMjYxNzAifQ==</vt:lpwstr>
  </property>
</Properties>
</file>