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76454">
      <w:pPr>
        <w:pStyle w:val="5"/>
        <w:rPr>
          <w:rFonts w:hint="eastAsia" w:ascii="宋体" w:hAnsi="宋体" w:eastAsia="宋体" w:cs="宋体"/>
          <w:color w:val="000000"/>
          <w:sz w:val="24"/>
          <w:szCs w:val="24"/>
        </w:rPr>
      </w:pPr>
    </w:p>
    <w:p w14:paraId="69B696E5">
      <w:pPr>
        <w:pStyle w:val="5"/>
        <w:rPr>
          <w:rFonts w:hint="eastAsia" w:ascii="宋体" w:hAnsi="宋体" w:eastAsia="宋体" w:cs="宋体"/>
          <w:color w:val="000000"/>
          <w:sz w:val="24"/>
          <w:szCs w:val="24"/>
        </w:rPr>
      </w:pPr>
    </w:p>
    <w:p w14:paraId="5416B153">
      <w:pPr>
        <w:pStyle w:val="5"/>
        <w:pageBreakBefore w:val="0"/>
        <w:kinsoku/>
        <w:wordWrap/>
        <w:overflowPunct/>
        <w:topLinePunct w:val="0"/>
        <w:autoSpaceDE/>
        <w:autoSpaceDN/>
        <w:bidi w:val="0"/>
        <w:adjustRightInd/>
        <w:snapToGrid/>
        <w:ind w:firstLine="562"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如有建议或意见，请以书面形式并加盖公章、注明联系人、联系方式，于2025年</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28</w:t>
      </w:r>
      <w:r>
        <w:rPr>
          <w:rFonts w:hint="eastAsia" w:ascii="宋体" w:hAnsi="宋体" w:eastAsia="宋体" w:cs="宋体"/>
          <w:color w:val="000000"/>
          <w:sz w:val="28"/>
          <w:szCs w:val="28"/>
        </w:rPr>
        <w:t>日17:</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0之前送至我单位，逾期不受理（如邮寄，2025年</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月</w:t>
      </w:r>
      <w:r>
        <w:rPr>
          <w:rFonts w:hint="eastAsia" w:ascii="宋体" w:hAnsi="宋体" w:cs="宋体"/>
          <w:color w:val="000000"/>
          <w:sz w:val="28"/>
          <w:szCs w:val="28"/>
          <w:lang w:val="en-US" w:eastAsia="zh-CN"/>
        </w:rPr>
        <w:t>28</w:t>
      </w:r>
      <w:r>
        <w:rPr>
          <w:rFonts w:hint="eastAsia" w:ascii="宋体" w:hAnsi="宋体" w:eastAsia="宋体" w:cs="宋体"/>
          <w:color w:val="000000"/>
          <w:sz w:val="28"/>
          <w:szCs w:val="28"/>
        </w:rPr>
        <w:t>日17:</w:t>
      </w:r>
      <w:r>
        <w:rPr>
          <w:rFonts w:hint="eastAsia" w:ascii="宋体" w:hAnsi="宋体" w:cs="宋体"/>
          <w:color w:val="000000"/>
          <w:sz w:val="28"/>
          <w:szCs w:val="28"/>
          <w:lang w:val="en-US" w:eastAsia="zh-CN"/>
        </w:rPr>
        <w:t>0</w:t>
      </w:r>
      <w:r>
        <w:rPr>
          <w:rFonts w:hint="eastAsia" w:ascii="宋体" w:hAnsi="宋体" w:eastAsia="宋体" w:cs="宋体"/>
          <w:color w:val="000000"/>
          <w:sz w:val="28"/>
          <w:szCs w:val="28"/>
        </w:rPr>
        <w:t>0之后到达本公司的邮件将不再受理）。</w:t>
      </w:r>
    </w:p>
    <w:p w14:paraId="6525401B">
      <w:pPr>
        <w:pStyle w:val="5"/>
        <w:rPr>
          <w:rFonts w:hint="eastAsia" w:ascii="宋体" w:hAnsi="宋体" w:eastAsia="宋体" w:cs="宋体"/>
          <w:color w:val="000000"/>
          <w:sz w:val="24"/>
          <w:szCs w:val="24"/>
        </w:rPr>
      </w:pPr>
    </w:p>
    <w:p w14:paraId="1CDE23B0">
      <w:pPr>
        <w:pStyle w:val="5"/>
        <w:rPr>
          <w:rFonts w:hint="eastAsia" w:ascii="宋体" w:hAnsi="宋体" w:eastAsia="宋体" w:cs="宋体"/>
          <w:color w:val="000000"/>
          <w:sz w:val="24"/>
          <w:szCs w:val="24"/>
        </w:rPr>
      </w:pPr>
    </w:p>
    <w:p w14:paraId="3E48A564">
      <w:pPr>
        <w:pStyle w:val="5"/>
        <w:rPr>
          <w:rFonts w:hint="eastAsia" w:ascii="宋体" w:hAnsi="宋体" w:eastAsia="宋体" w:cs="宋体"/>
          <w:color w:val="000000"/>
          <w:sz w:val="24"/>
          <w:szCs w:val="24"/>
        </w:rPr>
      </w:pPr>
    </w:p>
    <w:p w14:paraId="5BEACE3C">
      <w:pPr>
        <w:pStyle w:val="5"/>
        <w:rPr>
          <w:rFonts w:hint="eastAsia" w:ascii="宋体" w:hAnsi="宋体" w:eastAsia="宋体" w:cs="宋体"/>
          <w:color w:val="000000"/>
          <w:sz w:val="24"/>
          <w:szCs w:val="24"/>
        </w:rPr>
      </w:pPr>
    </w:p>
    <w:p w14:paraId="3D5A492C">
      <w:pPr>
        <w:pStyle w:val="5"/>
        <w:rPr>
          <w:rFonts w:hint="eastAsia" w:ascii="宋体" w:hAnsi="宋体" w:eastAsia="宋体" w:cs="宋体"/>
          <w:color w:val="000000"/>
          <w:sz w:val="24"/>
          <w:szCs w:val="24"/>
        </w:rPr>
      </w:pPr>
    </w:p>
    <w:p w14:paraId="2EA21818">
      <w:pPr>
        <w:pStyle w:val="5"/>
        <w:rPr>
          <w:rFonts w:hint="eastAsia" w:ascii="宋体" w:hAnsi="宋体" w:eastAsia="宋体" w:cs="宋体"/>
          <w:color w:val="000000"/>
          <w:sz w:val="24"/>
          <w:szCs w:val="24"/>
        </w:rPr>
      </w:pPr>
    </w:p>
    <w:p w14:paraId="4CA07F96">
      <w:pPr>
        <w:pStyle w:val="5"/>
        <w:rPr>
          <w:rFonts w:hint="eastAsia" w:ascii="宋体" w:hAnsi="宋体" w:eastAsia="宋体" w:cs="宋体"/>
          <w:color w:val="000000"/>
          <w:sz w:val="24"/>
          <w:szCs w:val="24"/>
        </w:rPr>
      </w:pPr>
    </w:p>
    <w:p w14:paraId="4BD3EC14">
      <w:pPr>
        <w:pStyle w:val="5"/>
        <w:rPr>
          <w:rFonts w:hint="eastAsia" w:ascii="宋体" w:hAnsi="宋体" w:eastAsia="宋体" w:cs="宋体"/>
          <w:color w:val="000000"/>
          <w:sz w:val="24"/>
          <w:szCs w:val="24"/>
        </w:rPr>
      </w:pPr>
    </w:p>
    <w:p w14:paraId="1E185683">
      <w:pPr>
        <w:pStyle w:val="5"/>
        <w:rPr>
          <w:rFonts w:hint="eastAsia" w:ascii="宋体" w:hAnsi="宋体" w:eastAsia="宋体" w:cs="宋体"/>
          <w:color w:val="000000"/>
          <w:sz w:val="24"/>
          <w:szCs w:val="24"/>
        </w:rPr>
      </w:pPr>
    </w:p>
    <w:p w14:paraId="6676F742">
      <w:pPr>
        <w:pStyle w:val="5"/>
        <w:rPr>
          <w:rFonts w:hint="eastAsia" w:ascii="宋体" w:hAnsi="宋体" w:eastAsia="宋体" w:cs="宋体"/>
          <w:color w:val="000000"/>
          <w:sz w:val="24"/>
          <w:szCs w:val="24"/>
        </w:rPr>
      </w:pPr>
    </w:p>
    <w:p w14:paraId="7D466E69">
      <w:pPr>
        <w:pStyle w:val="5"/>
        <w:rPr>
          <w:rFonts w:hint="eastAsia" w:ascii="宋体" w:hAnsi="宋体" w:eastAsia="宋体" w:cs="宋体"/>
          <w:color w:val="000000"/>
          <w:sz w:val="24"/>
          <w:szCs w:val="24"/>
        </w:rPr>
      </w:pPr>
    </w:p>
    <w:p w14:paraId="31E75137">
      <w:pPr>
        <w:pStyle w:val="5"/>
        <w:rPr>
          <w:rFonts w:hint="eastAsia" w:ascii="宋体" w:hAnsi="宋体" w:eastAsia="宋体" w:cs="宋体"/>
          <w:color w:val="000000"/>
          <w:sz w:val="24"/>
          <w:szCs w:val="24"/>
        </w:rPr>
      </w:pPr>
    </w:p>
    <w:p w14:paraId="2B6958AE">
      <w:pPr>
        <w:pStyle w:val="5"/>
        <w:rPr>
          <w:rFonts w:hint="eastAsia" w:ascii="宋体" w:hAnsi="宋体" w:eastAsia="宋体" w:cs="宋体"/>
          <w:color w:val="000000"/>
          <w:sz w:val="24"/>
          <w:szCs w:val="24"/>
        </w:rPr>
      </w:pPr>
    </w:p>
    <w:p w14:paraId="39706A58">
      <w:pPr>
        <w:pStyle w:val="5"/>
        <w:rPr>
          <w:rFonts w:hint="eastAsia" w:ascii="宋体" w:hAnsi="宋体" w:eastAsia="宋体" w:cs="宋体"/>
          <w:color w:val="000000"/>
          <w:sz w:val="24"/>
          <w:szCs w:val="24"/>
        </w:rPr>
      </w:pPr>
    </w:p>
    <w:p w14:paraId="0F823D4C">
      <w:pPr>
        <w:pStyle w:val="5"/>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采购需求</w:t>
      </w:r>
    </w:p>
    <w:p w14:paraId="12765511">
      <w:pPr>
        <w:pStyle w:val="6"/>
        <w:spacing w:line="440" w:lineRule="exact"/>
        <w:ind w:firstLine="600"/>
        <w:rPr>
          <w:rFonts w:hint="eastAsia" w:ascii="宋体" w:hAnsi="宋体" w:cs="宋体"/>
          <w:b/>
          <w:bCs/>
          <w:color w:val="000000"/>
          <w:sz w:val="24"/>
        </w:rPr>
      </w:pPr>
      <w:r>
        <w:rPr>
          <w:rFonts w:hint="eastAsia" w:ascii="宋体" w:hAnsi="宋体" w:cs="宋体"/>
          <w:b/>
          <w:bCs/>
          <w:color w:val="000000"/>
          <w:sz w:val="24"/>
        </w:rPr>
        <w:t>一、采购标的</w:t>
      </w:r>
    </w:p>
    <w:p w14:paraId="60AA3973">
      <w:pPr>
        <w:spacing w:line="400" w:lineRule="atLeast"/>
        <w:ind w:firstLine="482" w:firstLineChars="200"/>
        <w:rPr>
          <w:rFonts w:hint="eastAsia" w:ascii="宋体" w:hAnsi="宋体" w:cs="宋体"/>
          <w:b/>
          <w:bCs/>
          <w:color w:val="000000"/>
          <w:sz w:val="24"/>
        </w:rPr>
      </w:pPr>
      <w:r>
        <w:rPr>
          <w:rFonts w:hint="eastAsia"/>
          <w:b/>
          <w:bCs/>
          <w:color w:val="000000"/>
          <w:sz w:val="24"/>
        </w:rPr>
        <w:t>一、</w:t>
      </w:r>
      <w:r>
        <w:rPr>
          <w:rFonts w:hint="eastAsia" w:ascii="宋体" w:hAnsi="宋体" w:cs="宋体"/>
          <w:b/>
          <w:bCs/>
          <w:color w:val="000000"/>
          <w:sz w:val="24"/>
        </w:rPr>
        <w:t>本项目采购预算金额（人民币）:80万元（本项目不接受高于80万元的投标报价）。</w:t>
      </w:r>
    </w:p>
    <w:p w14:paraId="7D6AED88">
      <w:pPr>
        <w:spacing w:line="400" w:lineRule="atLeast"/>
        <w:ind w:firstLine="482" w:firstLineChars="200"/>
        <w:rPr>
          <w:b/>
          <w:bCs/>
          <w:color w:val="000000"/>
          <w:sz w:val="24"/>
        </w:rPr>
      </w:pPr>
      <w:r>
        <w:rPr>
          <w:rFonts w:hint="eastAsia"/>
          <w:b/>
          <w:bCs/>
          <w:color w:val="000000"/>
          <w:sz w:val="24"/>
        </w:rPr>
        <w:t>二、项目概况</w:t>
      </w:r>
    </w:p>
    <w:p w14:paraId="0A2764CF">
      <w:pPr>
        <w:widowControl/>
        <w:spacing w:line="400" w:lineRule="atLeast"/>
        <w:ind w:firstLine="480" w:firstLineChars="200"/>
        <w:rPr>
          <w:color w:val="000000"/>
          <w:sz w:val="24"/>
        </w:rPr>
      </w:pPr>
      <w:r>
        <w:rPr>
          <w:rFonts w:hint="eastAsia"/>
          <w:color w:val="000000"/>
          <w:sz w:val="24"/>
        </w:rPr>
        <w:t>本项目为区域医疗全量数据交互系统项目。</w:t>
      </w:r>
    </w:p>
    <w:p w14:paraId="245309FB">
      <w:pPr>
        <w:widowControl/>
        <w:spacing w:line="400" w:lineRule="atLeast"/>
        <w:ind w:firstLine="482" w:firstLineChars="200"/>
        <w:rPr>
          <w:b/>
          <w:bCs/>
          <w:color w:val="000000"/>
          <w:sz w:val="24"/>
        </w:rPr>
      </w:pPr>
      <w:r>
        <w:rPr>
          <w:rFonts w:hint="eastAsia"/>
          <w:b/>
          <w:bCs/>
          <w:color w:val="000000"/>
          <w:sz w:val="24"/>
        </w:rPr>
        <w:t>三、技术参数：</w:t>
      </w:r>
    </w:p>
    <w:p w14:paraId="5CD9A99B">
      <w:pPr>
        <w:widowControl/>
        <w:spacing w:line="400" w:lineRule="atLeast"/>
        <w:ind w:firstLine="480" w:firstLineChars="200"/>
        <w:rPr>
          <w:rFonts w:hint="eastAsia"/>
          <w:color w:val="000000"/>
          <w:sz w:val="24"/>
        </w:rPr>
      </w:pPr>
      <w:r>
        <w:rPr>
          <w:rFonts w:hint="eastAsia"/>
          <w:color w:val="000000"/>
          <w:sz w:val="24"/>
        </w:rPr>
        <w:t>1 服务协同中心</w:t>
      </w:r>
      <w:bookmarkStart w:id="0" w:name="_GoBack"/>
      <w:bookmarkEnd w:id="0"/>
    </w:p>
    <w:p w14:paraId="254C8ECE">
      <w:pPr>
        <w:widowControl/>
        <w:spacing w:line="400" w:lineRule="atLeast"/>
        <w:ind w:firstLine="480" w:firstLineChars="200"/>
        <w:rPr>
          <w:rFonts w:hint="eastAsia"/>
          <w:color w:val="000000"/>
          <w:sz w:val="24"/>
        </w:rPr>
      </w:pPr>
      <w:r>
        <w:rPr>
          <w:rFonts w:hint="eastAsia"/>
          <w:color w:val="000000"/>
          <w:sz w:val="24"/>
        </w:rPr>
        <w:t>1.1 转诊服务中心</w:t>
      </w:r>
    </w:p>
    <w:p w14:paraId="050F331B">
      <w:pPr>
        <w:widowControl/>
        <w:spacing w:line="400" w:lineRule="atLeast"/>
        <w:ind w:firstLine="480" w:firstLineChars="200"/>
        <w:rPr>
          <w:rFonts w:hint="eastAsia"/>
          <w:color w:val="000000"/>
          <w:sz w:val="24"/>
        </w:rPr>
      </w:pPr>
      <w:r>
        <w:rPr>
          <w:rFonts w:hint="eastAsia"/>
          <w:color w:val="000000"/>
          <w:sz w:val="24"/>
        </w:rPr>
        <w:t>1.1.1 门诊转诊服务</w:t>
      </w:r>
    </w:p>
    <w:p w14:paraId="3328441D">
      <w:pPr>
        <w:widowControl/>
        <w:spacing w:line="400" w:lineRule="atLeast"/>
        <w:ind w:firstLine="480" w:firstLineChars="200"/>
        <w:rPr>
          <w:rFonts w:hint="eastAsia"/>
          <w:color w:val="000000"/>
          <w:sz w:val="24"/>
        </w:rPr>
      </w:pPr>
      <w:r>
        <w:rPr>
          <w:rFonts w:hint="eastAsia"/>
          <w:color w:val="000000"/>
          <w:sz w:val="24"/>
        </w:rPr>
        <w:t>1.1.1.1 门诊号源获取▲</w:t>
      </w:r>
    </w:p>
    <w:p w14:paraId="2AC9D3F2">
      <w:pPr>
        <w:widowControl/>
        <w:spacing w:line="400" w:lineRule="atLeast"/>
        <w:ind w:firstLine="480" w:firstLineChars="200"/>
        <w:rPr>
          <w:rFonts w:hint="eastAsia"/>
          <w:color w:val="000000"/>
          <w:sz w:val="24"/>
        </w:rPr>
      </w:pPr>
      <w:r>
        <w:rPr>
          <w:rFonts w:hint="eastAsia"/>
          <w:color w:val="000000"/>
          <w:sz w:val="24"/>
        </w:rPr>
        <w:t>需支持逐级查询机构、科室、医生的号源信息、排班时间段等；</w:t>
      </w:r>
    </w:p>
    <w:p w14:paraId="1BD4A25D">
      <w:pPr>
        <w:widowControl/>
        <w:spacing w:line="400" w:lineRule="atLeast"/>
        <w:ind w:firstLine="480" w:firstLineChars="200"/>
        <w:rPr>
          <w:rFonts w:hint="eastAsia"/>
          <w:color w:val="000000"/>
          <w:sz w:val="24"/>
        </w:rPr>
      </w:pPr>
      <w:r>
        <w:rPr>
          <w:rFonts w:hint="eastAsia"/>
          <w:color w:val="000000"/>
          <w:sz w:val="24"/>
        </w:rPr>
        <w:t>需支持号源预约，申请医生根据医院、科室等条件进行号源检索，可以在转诊过程中根据需要查找指定医疗机构的号源，精确到该机构的科室及医生；</w:t>
      </w:r>
    </w:p>
    <w:p w14:paraId="47658D25">
      <w:pPr>
        <w:widowControl/>
        <w:spacing w:line="400" w:lineRule="atLeast"/>
        <w:ind w:firstLine="480" w:firstLineChars="200"/>
        <w:rPr>
          <w:rFonts w:hint="eastAsia"/>
          <w:color w:val="000000"/>
          <w:sz w:val="24"/>
        </w:rPr>
      </w:pPr>
      <w:r>
        <w:rPr>
          <w:rFonts w:hint="eastAsia"/>
          <w:color w:val="000000"/>
          <w:sz w:val="24"/>
        </w:rPr>
        <w:t>需支持分时段预约。</w:t>
      </w:r>
    </w:p>
    <w:p w14:paraId="1DE4A999">
      <w:pPr>
        <w:widowControl/>
        <w:spacing w:line="400" w:lineRule="atLeast"/>
        <w:ind w:firstLine="480" w:firstLineChars="200"/>
        <w:rPr>
          <w:rFonts w:hint="eastAsia"/>
          <w:color w:val="000000"/>
          <w:sz w:val="24"/>
        </w:rPr>
      </w:pPr>
      <w:r>
        <w:rPr>
          <w:rFonts w:hint="eastAsia"/>
          <w:color w:val="000000"/>
          <w:sz w:val="24"/>
        </w:rPr>
        <w:t>1.1.1.2 门诊转诊申请</w:t>
      </w:r>
    </w:p>
    <w:p w14:paraId="684B0E4C">
      <w:pPr>
        <w:widowControl/>
        <w:spacing w:line="400" w:lineRule="atLeast"/>
        <w:ind w:firstLine="480" w:firstLineChars="200"/>
        <w:rPr>
          <w:rFonts w:hint="eastAsia"/>
          <w:color w:val="000000"/>
          <w:sz w:val="24"/>
        </w:rPr>
      </w:pPr>
      <w:r>
        <w:rPr>
          <w:rFonts w:hint="eastAsia"/>
          <w:color w:val="000000"/>
          <w:sz w:val="24"/>
        </w:rPr>
        <w:t>需支持查看当前医院科室或医生提交的所有预约转诊申请信息，可以查看其详细转诊信息；</w:t>
      </w:r>
    </w:p>
    <w:p w14:paraId="227070E6">
      <w:pPr>
        <w:widowControl/>
        <w:spacing w:line="400" w:lineRule="atLeast"/>
        <w:ind w:firstLine="480" w:firstLineChars="200"/>
        <w:rPr>
          <w:rFonts w:hint="eastAsia"/>
          <w:color w:val="000000"/>
          <w:sz w:val="24"/>
        </w:rPr>
      </w:pPr>
      <w:r>
        <w:rPr>
          <w:rFonts w:hint="eastAsia"/>
          <w:color w:val="000000"/>
          <w:sz w:val="24"/>
        </w:rPr>
        <w:t>需支持转诊科室医生针对转诊申请进行取消操作，需要填写取消原因；</w:t>
      </w:r>
    </w:p>
    <w:p w14:paraId="4EA7E1A0">
      <w:pPr>
        <w:widowControl/>
        <w:spacing w:line="400" w:lineRule="atLeast"/>
        <w:ind w:firstLine="480" w:firstLineChars="200"/>
        <w:rPr>
          <w:rFonts w:hint="eastAsia"/>
          <w:color w:val="000000"/>
          <w:sz w:val="24"/>
        </w:rPr>
      </w:pPr>
      <w:r>
        <w:rPr>
          <w:rFonts w:hint="eastAsia"/>
          <w:color w:val="000000"/>
          <w:sz w:val="24"/>
        </w:rPr>
        <w:t>需支持查看转诊病人所有过程的跟踪，包括转出、接诊等节点信息的跟踪；</w:t>
      </w:r>
    </w:p>
    <w:p w14:paraId="19878833">
      <w:pPr>
        <w:widowControl/>
        <w:spacing w:line="400" w:lineRule="atLeast"/>
        <w:ind w:firstLine="480" w:firstLineChars="200"/>
        <w:rPr>
          <w:rFonts w:hint="eastAsia"/>
          <w:color w:val="000000"/>
          <w:sz w:val="24"/>
        </w:rPr>
      </w:pPr>
      <w:r>
        <w:rPr>
          <w:rFonts w:hint="eastAsia"/>
          <w:color w:val="000000"/>
          <w:sz w:val="24"/>
        </w:rPr>
        <w:t>需支持根据操作权限的不同角色，平台消息提醒转诊服务过程中的各种事务代办任务；</w:t>
      </w:r>
    </w:p>
    <w:p w14:paraId="7F80D488">
      <w:pPr>
        <w:widowControl/>
        <w:spacing w:line="400" w:lineRule="atLeast"/>
        <w:ind w:firstLine="480" w:firstLineChars="200"/>
        <w:rPr>
          <w:rFonts w:hint="eastAsia"/>
          <w:color w:val="000000"/>
          <w:sz w:val="24"/>
        </w:rPr>
      </w:pPr>
      <w:r>
        <w:rPr>
          <w:rFonts w:hint="eastAsia"/>
          <w:color w:val="000000"/>
          <w:sz w:val="24"/>
        </w:rPr>
        <w:t>需支持使用待办提醒功能，针对当前操作者提供各种任务提醒以及快速服务定位跳转；</w:t>
      </w:r>
    </w:p>
    <w:p w14:paraId="0C66549A">
      <w:pPr>
        <w:widowControl/>
        <w:spacing w:line="400" w:lineRule="atLeast"/>
        <w:ind w:firstLine="480" w:firstLineChars="200"/>
        <w:rPr>
          <w:rFonts w:hint="eastAsia"/>
          <w:color w:val="000000"/>
          <w:sz w:val="24"/>
        </w:rPr>
      </w:pPr>
      <w:r>
        <w:rPr>
          <w:rFonts w:hint="eastAsia"/>
          <w:color w:val="000000"/>
          <w:sz w:val="24"/>
        </w:rPr>
        <w:t>需支持根据操作权限的不同角色，平台消息提醒转诊服务过程中的各种事务代办任务；</w:t>
      </w:r>
    </w:p>
    <w:p w14:paraId="4CC860B3">
      <w:pPr>
        <w:widowControl/>
        <w:spacing w:line="400" w:lineRule="atLeast"/>
        <w:ind w:firstLine="480" w:firstLineChars="200"/>
        <w:rPr>
          <w:rFonts w:hint="eastAsia"/>
          <w:color w:val="000000"/>
          <w:sz w:val="24"/>
        </w:rPr>
      </w:pPr>
      <w:r>
        <w:rPr>
          <w:rFonts w:hint="eastAsia"/>
          <w:color w:val="000000"/>
          <w:sz w:val="24"/>
        </w:rPr>
        <w:t>需支持使用待办提醒功能，针对当前操作者提供各种任务提醒以及快速服务定位跳转；</w:t>
      </w:r>
    </w:p>
    <w:p w14:paraId="3E329B2E">
      <w:pPr>
        <w:widowControl/>
        <w:spacing w:line="400" w:lineRule="atLeast"/>
        <w:ind w:firstLine="480" w:firstLineChars="200"/>
        <w:rPr>
          <w:rFonts w:hint="eastAsia"/>
          <w:color w:val="000000"/>
          <w:sz w:val="24"/>
        </w:rPr>
      </w:pPr>
      <w:r>
        <w:rPr>
          <w:rFonts w:hint="eastAsia"/>
          <w:color w:val="000000"/>
          <w:sz w:val="24"/>
        </w:rPr>
        <w:t>需支持查询患者门诊病历信息。输入参数包括：机构编码、院区编码、患者ID、就诊号等；输出参数包括：主诉、诊断、病史及治疗过程等。</w:t>
      </w:r>
    </w:p>
    <w:p w14:paraId="3677F99F">
      <w:pPr>
        <w:widowControl/>
        <w:spacing w:line="400" w:lineRule="atLeast"/>
        <w:ind w:firstLine="480" w:firstLineChars="200"/>
        <w:rPr>
          <w:rFonts w:hint="eastAsia"/>
          <w:color w:val="000000"/>
          <w:sz w:val="24"/>
        </w:rPr>
      </w:pPr>
      <w:r>
        <w:rPr>
          <w:rFonts w:hint="eastAsia"/>
          <w:color w:val="000000"/>
          <w:sz w:val="24"/>
        </w:rPr>
        <w:t>1.1.1.3 门诊转诊接收</w:t>
      </w:r>
    </w:p>
    <w:p w14:paraId="33B00E4C">
      <w:pPr>
        <w:widowControl/>
        <w:spacing w:line="400" w:lineRule="atLeast"/>
        <w:ind w:firstLine="480" w:firstLineChars="200"/>
        <w:rPr>
          <w:rFonts w:hint="eastAsia"/>
          <w:color w:val="000000"/>
          <w:sz w:val="24"/>
        </w:rPr>
      </w:pPr>
      <w:r>
        <w:rPr>
          <w:rFonts w:hint="eastAsia"/>
          <w:color w:val="000000"/>
          <w:sz w:val="24"/>
        </w:rPr>
        <w:t>需支持接诊医生查询待办接诊，可以通过多种关键字组合快捷查询转诊申请；</w:t>
      </w:r>
    </w:p>
    <w:p w14:paraId="042142AB">
      <w:pPr>
        <w:widowControl/>
        <w:spacing w:line="400" w:lineRule="atLeast"/>
        <w:ind w:firstLine="480" w:firstLineChars="200"/>
        <w:rPr>
          <w:rFonts w:hint="eastAsia"/>
          <w:color w:val="000000"/>
          <w:sz w:val="24"/>
        </w:rPr>
      </w:pPr>
      <w:r>
        <w:rPr>
          <w:rFonts w:hint="eastAsia"/>
          <w:color w:val="000000"/>
          <w:sz w:val="24"/>
        </w:rPr>
        <w:t>需支持使用转诊单号快速查询门诊转诊单，导诊台快速接诊，引导进入绿色通道；</w:t>
      </w:r>
    </w:p>
    <w:p w14:paraId="0B07516C">
      <w:pPr>
        <w:widowControl/>
        <w:spacing w:line="400" w:lineRule="atLeast"/>
        <w:ind w:firstLine="480" w:firstLineChars="200"/>
        <w:rPr>
          <w:rFonts w:hint="eastAsia"/>
          <w:color w:val="000000"/>
          <w:sz w:val="24"/>
        </w:rPr>
      </w:pPr>
      <w:r>
        <w:rPr>
          <w:rFonts w:hint="eastAsia"/>
          <w:color w:val="000000"/>
          <w:sz w:val="24"/>
        </w:rPr>
        <w:t>需支持门诊转诊跟踪，查看转诊病人所有过程的跟踪，包括转出、接诊等节点信息的跟踪；</w:t>
      </w:r>
    </w:p>
    <w:p w14:paraId="32CB51A9">
      <w:pPr>
        <w:widowControl/>
        <w:spacing w:line="400" w:lineRule="atLeast"/>
        <w:ind w:firstLine="480" w:firstLineChars="200"/>
        <w:rPr>
          <w:rFonts w:hint="eastAsia"/>
          <w:color w:val="000000"/>
          <w:sz w:val="24"/>
        </w:rPr>
      </w:pPr>
      <w:r>
        <w:rPr>
          <w:rFonts w:hint="eastAsia"/>
          <w:color w:val="000000"/>
          <w:sz w:val="24"/>
        </w:rPr>
        <w:t>1.1.2 住院转诊服务</w:t>
      </w:r>
    </w:p>
    <w:p w14:paraId="3D08876D">
      <w:pPr>
        <w:widowControl/>
        <w:spacing w:line="400" w:lineRule="atLeast"/>
        <w:ind w:firstLine="480" w:firstLineChars="200"/>
        <w:rPr>
          <w:rFonts w:hint="eastAsia"/>
          <w:color w:val="000000"/>
          <w:sz w:val="24"/>
        </w:rPr>
      </w:pPr>
      <w:r>
        <w:rPr>
          <w:rFonts w:hint="eastAsia"/>
          <w:color w:val="000000"/>
          <w:sz w:val="24"/>
        </w:rPr>
        <w:t>1.1.2.1 住院转诊申请</w:t>
      </w:r>
    </w:p>
    <w:p w14:paraId="0B4041EF">
      <w:pPr>
        <w:widowControl/>
        <w:spacing w:line="400" w:lineRule="atLeast"/>
        <w:ind w:firstLine="480" w:firstLineChars="200"/>
        <w:rPr>
          <w:rFonts w:hint="eastAsia"/>
          <w:color w:val="000000"/>
          <w:sz w:val="24"/>
        </w:rPr>
      </w:pPr>
      <w:r>
        <w:rPr>
          <w:rFonts w:hint="eastAsia"/>
          <w:color w:val="000000"/>
          <w:sz w:val="24"/>
        </w:rPr>
        <w:t>需支持查看上级医院开放的可预约住院科室信息，并进行住院转诊预约；</w:t>
      </w:r>
    </w:p>
    <w:p w14:paraId="3B2E1F6D">
      <w:pPr>
        <w:widowControl/>
        <w:spacing w:line="400" w:lineRule="atLeast"/>
        <w:ind w:firstLine="480" w:firstLineChars="200"/>
        <w:rPr>
          <w:rFonts w:hint="eastAsia"/>
          <w:color w:val="000000"/>
          <w:sz w:val="24"/>
        </w:rPr>
      </w:pPr>
      <w:r>
        <w:rPr>
          <w:rFonts w:hint="eastAsia"/>
          <w:color w:val="000000"/>
          <w:sz w:val="24"/>
        </w:rPr>
        <w:t>需支持提交转诊申请，包括录入住院预约原因、转诊目的、转诊科室等信息；</w:t>
      </w:r>
    </w:p>
    <w:p w14:paraId="73787BE0">
      <w:pPr>
        <w:widowControl/>
        <w:spacing w:line="400" w:lineRule="atLeast"/>
        <w:ind w:firstLine="480" w:firstLineChars="200"/>
        <w:rPr>
          <w:rFonts w:hint="eastAsia"/>
          <w:color w:val="000000"/>
          <w:sz w:val="24"/>
        </w:rPr>
      </w:pPr>
      <w:r>
        <w:rPr>
          <w:rFonts w:hint="eastAsia"/>
          <w:color w:val="000000"/>
          <w:sz w:val="24"/>
        </w:rPr>
        <w:t>需支持查看当前医院科室提交的所有预约住院与转诊申请信息，可以查看其详细转诊信息；</w:t>
      </w:r>
    </w:p>
    <w:p w14:paraId="70353410">
      <w:pPr>
        <w:widowControl/>
        <w:spacing w:line="400" w:lineRule="atLeast"/>
        <w:ind w:firstLine="480" w:firstLineChars="200"/>
        <w:rPr>
          <w:rFonts w:hint="eastAsia"/>
          <w:color w:val="000000"/>
          <w:sz w:val="24"/>
        </w:rPr>
      </w:pPr>
      <w:r>
        <w:rPr>
          <w:rFonts w:hint="eastAsia"/>
          <w:color w:val="000000"/>
          <w:sz w:val="24"/>
        </w:rPr>
        <w:t>需支持转诊科室医生针对转诊申请进行取消操作，需要填写取消原因；</w:t>
      </w:r>
    </w:p>
    <w:p w14:paraId="441B3509">
      <w:pPr>
        <w:widowControl/>
        <w:spacing w:line="400" w:lineRule="atLeast"/>
        <w:ind w:firstLine="480" w:firstLineChars="200"/>
        <w:rPr>
          <w:rFonts w:hint="eastAsia"/>
          <w:color w:val="000000"/>
          <w:sz w:val="24"/>
        </w:rPr>
      </w:pPr>
      <w:r>
        <w:rPr>
          <w:rFonts w:hint="eastAsia"/>
          <w:color w:val="000000"/>
          <w:sz w:val="24"/>
        </w:rPr>
        <w:t>需支持查看转诊病人所有过程的跟踪，包括转出、接诊等节点信息的跟踪；</w:t>
      </w:r>
    </w:p>
    <w:p w14:paraId="62CE7169">
      <w:pPr>
        <w:widowControl/>
        <w:spacing w:line="400" w:lineRule="atLeast"/>
        <w:ind w:firstLine="480" w:firstLineChars="200"/>
        <w:rPr>
          <w:rFonts w:hint="eastAsia"/>
          <w:color w:val="000000"/>
          <w:sz w:val="24"/>
        </w:rPr>
      </w:pPr>
      <w:r>
        <w:rPr>
          <w:rFonts w:hint="eastAsia"/>
          <w:color w:val="000000"/>
          <w:sz w:val="24"/>
        </w:rPr>
        <w:t>需支持在申请住院转诊的同时，平台调用此接口，查询患者住院病历信息。输入参数包括：机构编码、院区编码、患者ID、证件号等；输出参数包括：入院记录概要、诊断、病史及治疗过程等。</w:t>
      </w:r>
    </w:p>
    <w:p w14:paraId="24E1AC80">
      <w:pPr>
        <w:widowControl/>
        <w:spacing w:line="400" w:lineRule="atLeast"/>
        <w:ind w:firstLine="480" w:firstLineChars="200"/>
        <w:rPr>
          <w:rFonts w:hint="eastAsia"/>
          <w:color w:val="000000"/>
          <w:sz w:val="24"/>
        </w:rPr>
      </w:pPr>
      <w:r>
        <w:rPr>
          <w:rFonts w:hint="eastAsia"/>
          <w:color w:val="000000"/>
          <w:sz w:val="24"/>
        </w:rPr>
        <w:t>1.1.2.2 住院转诊审核</w:t>
      </w:r>
    </w:p>
    <w:p w14:paraId="00A37ECC">
      <w:pPr>
        <w:widowControl/>
        <w:spacing w:line="400" w:lineRule="atLeast"/>
        <w:ind w:firstLine="480" w:firstLineChars="200"/>
        <w:rPr>
          <w:rFonts w:hint="eastAsia"/>
          <w:color w:val="000000"/>
          <w:sz w:val="24"/>
        </w:rPr>
      </w:pPr>
      <w:r>
        <w:rPr>
          <w:rFonts w:hint="eastAsia"/>
          <w:color w:val="000000"/>
          <w:sz w:val="24"/>
        </w:rPr>
        <w:t>需支持查看预约住院申请列表，并可查看相关申请详细信息；</w:t>
      </w:r>
    </w:p>
    <w:p w14:paraId="1B4418DA">
      <w:pPr>
        <w:widowControl/>
        <w:spacing w:line="400" w:lineRule="atLeast"/>
        <w:ind w:firstLine="480" w:firstLineChars="200"/>
        <w:rPr>
          <w:rFonts w:hint="eastAsia"/>
          <w:color w:val="000000"/>
          <w:sz w:val="24"/>
        </w:rPr>
      </w:pPr>
      <w:r>
        <w:rPr>
          <w:rFonts w:hint="eastAsia"/>
          <w:color w:val="000000"/>
          <w:sz w:val="24"/>
        </w:rPr>
        <w:t>需支持转诊审核，对于审核通过的申请，需填写具体的住院时间、科室信息；对于审核不通过的申请，需填写驳回原因。</w:t>
      </w:r>
    </w:p>
    <w:p w14:paraId="1E7A1447">
      <w:pPr>
        <w:widowControl/>
        <w:spacing w:line="400" w:lineRule="atLeast"/>
        <w:ind w:firstLine="480" w:firstLineChars="200"/>
        <w:rPr>
          <w:rFonts w:hint="eastAsia"/>
          <w:color w:val="000000"/>
          <w:sz w:val="24"/>
        </w:rPr>
      </w:pPr>
      <w:r>
        <w:rPr>
          <w:rFonts w:hint="eastAsia"/>
          <w:color w:val="000000"/>
          <w:sz w:val="24"/>
        </w:rPr>
        <w:t>1.1.2.3 住院转诊接收</w:t>
      </w:r>
    </w:p>
    <w:p w14:paraId="4C68A5CC">
      <w:pPr>
        <w:widowControl/>
        <w:spacing w:line="400" w:lineRule="atLeast"/>
        <w:ind w:firstLine="480" w:firstLineChars="200"/>
        <w:rPr>
          <w:rFonts w:hint="eastAsia"/>
          <w:color w:val="000000"/>
          <w:sz w:val="24"/>
        </w:rPr>
      </w:pPr>
      <w:r>
        <w:rPr>
          <w:rFonts w:hint="eastAsia"/>
          <w:color w:val="000000"/>
          <w:sz w:val="24"/>
        </w:rPr>
        <w:t>需支持通过多种关键字组合快捷查询住院预约与转诊申请，能够利用转诊单的号码快速查询预约转诊单，进行患者导诊接诊操作；</w:t>
      </w:r>
    </w:p>
    <w:p w14:paraId="65AD5591">
      <w:pPr>
        <w:widowControl/>
        <w:spacing w:line="400" w:lineRule="atLeast"/>
        <w:ind w:firstLine="480" w:firstLineChars="200"/>
        <w:rPr>
          <w:rFonts w:hint="eastAsia"/>
          <w:color w:val="000000"/>
          <w:sz w:val="24"/>
        </w:rPr>
      </w:pPr>
      <w:r>
        <w:rPr>
          <w:rFonts w:hint="eastAsia"/>
          <w:color w:val="000000"/>
          <w:sz w:val="24"/>
        </w:rPr>
        <w:t>需支持查看转诊病人的所有过程的跟踪，包括转出、接诊节点信息跟踪；</w:t>
      </w:r>
    </w:p>
    <w:p w14:paraId="45B884BA">
      <w:pPr>
        <w:widowControl/>
        <w:spacing w:line="400" w:lineRule="atLeast"/>
        <w:ind w:firstLine="480" w:firstLineChars="200"/>
        <w:rPr>
          <w:rFonts w:hint="eastAsia"/>
          <w:color w:val="000000"/>
          <w:sz w:val="24"/>
        </w:rPr>
      </w:pPr>
      <w:r>
        <w:rPr>
          <w:rFonts w:hint="eastAsia"/>
          <w:color w:val="000000"/>
          <w:sz w:val="24"/>
        </w:rPr>
        <w:t>需支持申请转入医院的科室中全部医生查看转入患者信息，</w:t>
      </w:r>
    </w:p>
    <w:p w14:paraId="52C8A05F">
      <w:pPr>
        <w:widowControl/>
        <w:spacing w:line="400" w:lineRule="atLeast"/>
        <w:ind w:firstLine="480" w:firstLineChars="200"/>
        <w:rPr>
          <w:rFonts w:hint="eastAsia"/>
          <w:color w:val="000000"/>
          <w:sz w:val="24"/>
        </w:rPr>
      </w:pPr>
      <w:r>
        <w:rPr>
          <w:rFonts w:hint="eastAsia"/>
          <w:color w:val="000000"/>
          <w:sz w:val="24"/>
        </w:rPr>
        <w:t>需支持申请接诊的目标接诊医生查看转入患者信息，支持调阅申请转诊时上传同步的患者详细病历资料进行浏览；</w:t>
      </w:r>
    </w:p>
    <w:p w14:paraId="75BD3D51">
      <w:pPr>
        <w:widowControl/>
        <w:spacing w:line="400" w:lineRule="atLeast"/>
        <w:ind w:firstLine="480" w:firstLineChars="200"/>
        <w:rPr>
          <w:rFonts w:hint="eastAsia"/>
          <w:color w:val="000000"/>
          <w:sz w:val="24"/>
        </w:rPr>
      </w:pPr>
      <w:r>
        <w:rPr>
          <w:rFonts w:hint="eastAsia"/>
          <w:color w:val="000000"/>
          <w:sz w:val="24"/>
        </w:rPr>
        <w:t>需支持根据操作权限的不同角色，平台消息提醒转诊服务过程中的各种事务代办任务；</w:t>
      </w:r>
    </w:p>
    <w:p w14:paraId="77E64056">
      <w:pPr>
        <w:widowControl/>
        <w:spacing w:line="400" w:lineRule="atLeast"/>
        <w:ind w:firstLine="480" w:firstLineChars="200"/>
        <w:rPr>
          <w:rFonts w:hint="eastAsia"/>
          <w:color w:val="000000"/>
          <w:sz w:val="24"/>
        </w:rPr>
      </w:pPr>
      <w:r>
        <w:rPr>
          <w:rFonts w:hint="eastAsia"/>
          <w:color w:val="000000"/>
          <w:sz w:val="24"/>
        </w:rPr>
        <w:t>需支持使用待办提醒功能，针对当前操作者提供各种任务提醒以及快速服务定位跳转。</w:t>
      </w:r>
    </w:p>
    <w:p w14:paraId="573F2372">
      <w:pPr>
        <w:widowControl/>
        <w:spacing w:line="400" w:lineRule="atLeast"/>
        <w:ind w:firstLine="480" w:firstLineChars="200"/>
        <w:rPr>
          <w:rFonts w:hint="eastAsia"/>
          <w:color w:val="000000"/>
          <w:sz w:val="24"/>
        </w:rPr>
      </w:pPr>
      <w:r>
        <w:rPr>
          <w:rFonts w:hint="eastAsia"/>
          <w:color w:val="000000"/>
          <w:sz w:val="24"/>
        </w:rPr>
        <w:t>1.1.3 下转服务▲</w:t>
      </w:r>
    </w:p>
    <w:p w14:paraId="2C3F9E2A">
      <w:pPr>
        <w:widowControl/>
        <w:spacing w:line="400" w:lineRule="atLeast"/>
        <w:ind w:firstLine="480" w:firstLineChars="200"/>
        <w:rPr>
          <w:rFonts w:hint="eastAsia"/>
          <w:color w:val="000000"/>
          <w:sz w:val="24"/>
        </w:rPr>
      </w:pPr>
      <w:r>
        <w:rPr>
          <w:rFonts w:hint="eastAsia"/>
          <w:color w:val="000000"/>
          <w:sz w:val="24"/>
        </w:rPr>
        <w:t>1.1.3.1 下转申请</w:t>
      </w:r>
    </w:p>
    <w:p w14:paraId="1FA36B41">
      <w:pPr>
        <w:widowControl/>
        <w:spacing w:line="400" w:lineRule="atLeast"/>
        <w:ind w:firstLine="480" w:firstLineChars="200"/>
        <w:rPr>
          <w:rFonts w:hint="eastAsia"/>
          <w:color w:val="000000"/>
          <w:sz w:val="24"/>
        </w:rPr>
      </w:pPr>
      <w:r>
        <w:rPr>
          <w:rFonts w:hint="eastAsia"/>
          <w:color w:val="000000"/>
          <w:sz w:val="24"/>
        </w:rPr>
        <w:t>需支持需求侧系统调用服务，进行下转申请信息的发送。输入参数包括：申请类型、申请时间、转出机构编码、转入机构编码、患者ID、证件号码、主诉、诊断等；输出参数包括：申请单号等。</w:t>
      </w:r>
    </w:p>
    <w:p w14:paraId="5B5666B7">
      <w:pPr>
        <w:widowControl/>
        <w:spacing w:line="400" w:lineRule="atLeast"/>
        <w:ind w:firstLine="480" w:firstLineChars="200"/>
        <w:rPr>
          <w:rFonts w:hint="eastAsia"/>
          <w:color w:val="000000"/>
          <w:sz w:val="24"/>
        </w:rPr>
      </w:pPr>
      <w:r>
        <w:rPr>
          <w:rFonts w:hint="eastAsia"/>
          <w:color w:val="000000"/>
          <w:sz w:val="24"/>
        </w:rPr>
        <w:t>1.1.3.2 下转接收</w:t>
      </w:r>
    </w:p>
    <w:p w14:paraId="1CAF6CF9">
      <w:pPr>
        <w:widowControl/>
        <w:spacing w:line="400" w:lineRule="atLeast"/>
        <w:ind w:firstLine="480" w:firstLineChars="200"/>
        <w:rPr>
          <w:rFonts w:hint="eastAsia"/>
          <w:color w:val="000000"/>
          <w:sz w:val="24"/>
        </w:rPr>
      </w:pPr>
      <w:r>
        <w:rPr>
          <w:rFonts w:hint="eastAsia"/>
          <w:color w:val="000000"/>
          <w:sz w:val="24"/>
        </w:rPr>
        <w:t>需支持通过多种条件组合快捷查询下转申请信息，能够通过患者姓名快速查询下转申请单，进行患者导诊接诊操作；</w:t>
      </w:r>
    </w:p>
    <w:p w14:paraId="10F454EA">
      <w:pPr>
        <w:widowControl/>
        <w:spacing w:line="400" w:lineRule="atLeast"/>
        <w:ind w:firstLine="480" w:firstLineChars="200"/>
        <w:rPr>
          <w:rFonts w:hint="eastAsia"/>
          <w:color w:val="000000"/>
          <w:sz w:val="24"/>
        </w:rPr>
      </w:pPr>
      <w:r>
        <w:rPr>
          <w:rFonts w:hint="eastAsia"/>
          <w:color w:val="000000"/>
          <w:sz w:val="24"/>
        </w:rPr>
        <w:t>需支持查看转诊病人的基本信息、转诊申请信息、病历信息等。</w:t>
      </w:r>
    </w:p>
    <w:p w14:paraId="086A614A">
      <w:pPr>
        <w:widowControl/>
        <w:spacing w:line="400" w:lineRule="atLeast"/>
        <w:ind w:firstLine="480" w:firstLineChars="200"/>
        <w:rPr>
          <w:rFonts w:hint="eastAsia"/>
          <w:color w:val="000000"/>
          <w:sz w:val="24"/>
        </w:rPr>
      </w:pPr>
      <w:r>
        <w:rPr>
          <w:rFonts w:hint="eastAsia"/>
          <w:color w:val="000000"/>
          <w:sz w:val="24"/>
        </w:rPr>
        <w:t>1.2 会诊服务中心</w:t>
      </w:r>
    </w:p>
    <w:p w14:paraId="742303E9">
      <w:pPr>
        <w:widowControl/>
        <w:spacing w:line="400" w:lineRule="atLeast"/>
        <w:ind w:firstLine="480" w:firstLineChars="200"/>
        <w:rPr>
          <w:rFonts w:hint="eastAsia"/>
          <w:color w:val="000000"/>
          <w:sz w:val="24"/>
        </w:rPr>
      </w:pPr>
      <w:r>
        <w:rPr>
          <w:rFonts w:hint="eastAsia"/>
          <w:color w:val="000000"/>
          <w:sz w:val="24"/>
        </w:rPr>
        <w:t>1.2.1 远程门诊服务</w:t>
      </w:r>
    </w:p>
    <w:p w14:paraId="7E59EC0A">
      <w:pPr>
        <w:widowControl/>
        <w:spacing w:line="400" w:lineRule="atLeast"/>
        <w:ind w:firstLine="480" w:firstLineChars="200"/>
        <w:rPr>
          <w:rFonts w:hint="eastAsia"/>
          <w:color w:val="000000"/>
          <w:sz w:val="24"/>
        </w:rPr>
      </w:pPr>
      <w:r>
        <w:rPr>
          <w:rFonts w:hint="eastAsia"/>
          <w:color w:val="000000"/>
          <w:sz w:val="24"/>
        </w:rPr>
        <w:t>1.2.1.1 远程门诊排班</w:t>
      </w:r>
    </w:p>
    <w:p w14:paraId="5AC13923">
      <w:pPr>
        <w:widowControl/>
        <w:spacing w:line="400" w:lineRule="atLeast"/>
        <w:ind w:firstLine="480" w:firstLineChars="200"/>
        <w:rPr>
          <w:rFonts w:hint="eastAsia"/>
          <w:color w:val="000000"/>
          <w:sz w:val="24"/>
        </w:rPr>
      </w:pPr>
      <w:r>
        <w:rPr>
          <w:rFonts w:hint="eastAsia"/>
          <w:color w:val="000000"/>
          <w:sz w:val="24"/>
        </w:rPr>
        <w:t>需支持医疗机构提供服务的门诊医生进行坐诊排班，排班后由平台生成相应号源信息，基层医生远程门诊服务申请预约获取排班号源信息；</w:t>
      </w:r>
    </w:p>
    <w:p w14:paraId="41B9D725">
      <w:pPr>
        <w:widowControl/>
        <w:spacing w:line="400" w:lineRule="atLeast"/>
        <w:ind w:firstLine="480" w:firstLineChars="200"/>
        <w:rPr>
          <w:rFonts w:hint="eastAsia"/>
          <w:color w:val="000000"/>
          <w:sz w:val="24"/>
        </w:rPr>
      </w:pPr>
      <w:r>
        <w:rPr>
          <w:rFonts w:hint="eastAsia"/>
          <w:color w:val="000000"/>
          <w:sz w:val="24"/>
        </w:rPr>
        <w:t>需支持按医生和科室进行远程门诊排班；</w:t>
      </w:r>
    </w:p>
    <w:p w14:paraId="117F81B5">
      <w:pPr>
        <w:widowControl/>
        <w:spacing w:line="400" w:lineRule="atLeast"/>
        <w:ind w:firstLine="480" w:firstLineChars="200"/>
        <w:rPr>
          <w:rFonts w:hint="eastAsia"/>
          <w:color w:val="000000"/>
          <w:sz w:val="24"/>
        </w:rPr>
      </w:pPr>
      <w:r>
        <w:rPr>
          <w:rFonts w:hint="eastAsia"/>
          <w:color w:val="000000"/>
          <w:sz w:val="24"/>
        </w:rPr>
        <w:t>需支持按天、月方式进行远程门诊排班，支持分时段预约；</w:t>
      </w:r>
    </w:p>
    <w:p w14:paraId="639FB95E">
      <w:pPr>
        <w:widowControl/>
        <w:spacing w:line="400" w:lineRule="atLeast"/>
        <w:ind w:firstLine="480" w:firstLineChars="200"/>
        <w:rPr>
          <w:rFonts w:hint="eastAsia"/>
          <w:color w:val="000000"/>
          <w:sz w:val="24"/>
        </w:rPr>
      </w:pPr>
      <w:r>
        <w:rPr>
          <w:rFonts w:hint="eastAsia"/>
          <w:color w:val="000000"/>
          <w:sz w:val="24"/>
        </w:rPr>
        <w:t>需支持按周模板进行远程门诊排班，通过模板生成指定月份排班。</w:t>
      </w:r>
    </w:p>
    <w:p w14:paraId="01974955">
      <w:pPr>
        <w:widowControl/>
        <w:spacing w:line="400" w:lineRule="atLeast"/>
        <w:ind w:firstLine="480" w:firstLineChars="200"/>
        <w:rPr>
          <w:rFonts w:hint="eastAsia"/>
          <w:color w:val="000000"/>
          <w:sz w:val="24"/>
        </w:rPr>
      </w:pPr>
      <w:r>
        <w:rPr>
          <w:rFonts w:hint="eastAsia"/>
          <w:color w:val="000000"/>
          <w:sz w:val="24"/>
        </w:rPr>
        <w:t>1.2.1.2 远程门诊申请</w:t>
      </w:r>
    </w:p>
    <w:p w14:paraId="23E4F0DC">
      <w:pPr>
        <w:widowControl/>
        <w:spacing w:line="400" w:lineRule="atLeast"/>
        <w:ind w:firstLine="480" w:firstLineChars="200"/>
        <w:rPr>
          <w:rFonts w:hint="eastAsia"/>
          <w:color w:val="000000"/>
          <w:sz w:val="24"/>
        </w:rPr>
      </w:pPr>
      <w:r>
        <w:rPr>
          <w:rFonts w:hint="eastAsia"/>
          <w:color w:val="000000"/>
          <w:sz w:val="24"/>
        </w:rPr>
        <w:t>需支持由需求方发起申请选择供给方提供的排班号源信息，填写远程门诊目的、病症类型、申请原因、患者及医生联系方式等信息，提交完成远程门诊申请；</w:t>
      </w:r>
    </w:p>
    <w:p w14:paraId="20F8FD7E">
      <w:pPr>
        <w:widowControl/>
        <w:spacing w:line="400" w:lineRule="atLeast"/>
        <w:ind w:firstLine="480" w:firstLineChars="200"/>
        <w:rPr>
          <w:rFonts w:hint="eastAsia"/>
          <w:color w:val="000000"/>
          <w:sz w:val="24"/>
        </w:rPr>
      </w:pPr>
      <w:r>
        <w:rPr>
          <w:rFonts w:hint="eastAsia"/>
          <w:color w:val="000000"/>
          <w:sz w:val="24"/>
        </w:rPr>
        <w:t>需支持远程门诊的流程轨迹查看，能够清晰的了解整个过程中每个阶段的情况，包括申请、接诊、报告、结束等环节。</w:t>
      </w:r>
    </w:p>
    <w:p w14:paraId="0B219A63">
      <w:pPr>
        <w:widowControl/>
        <w:spacing w:line="400" w:lineRule="atLeast"/>
        <w:ind w:firstLine="480" w:firstLineChars="200"/>
        <w:rPr>
          <w:rFonts w:hint="eastAsia"/>
          <w:color w:val="000000"/>
          <w:sz w:val="24"/>
        </w:rPr>
      </w:pPr>
      <w:r>
        <w:rPr>
          <w:rFonts w:hint="eastAsia"/>
          <w:color w:val="000000"/>
          <w:sz w:val="24"/>
        </w:rPr>
        <w:t>1.2.1.3 远程门诊接诊</w:t>
      </w:r>
    </w:p>
    <w:p w14:paraId="232C8E5D">
      <w:pPr>
        <w:widowControl/>
        <w:spacing w:line="400" w:lineRule="atLeast"/>
        <w:ind w:firstLine="480" w:firstLineChars="200"/>
        <w:rPr>
          <w:rFonts w:hint="eastAsia"/>
          <w:color w:val="000000"/>
          <w:sz w:val="24"/>
        </w:rPr>
      </w:pPr>
      <w:r>
        <w:rPr>
          <w:rFonts w:hint="eastAsia"/>
          <w:color w:val="000000"/>
          <w:sz w:val="24"/>
        </w:rPr>
        <w:t>需要支持通过患者姓名、主诊人、就诊状态、申请时间等条件快速地查询到所关注的患者；</w:t>
      </w:r>
    </w:p>
    <w:p w14:paraId="7F5E3F10">
      <w:pPr>
        <w:widowControl/>
        <w:spacing w:line="400" w:lineRule="atLeast"/>
        <w:ind w:firstLine="480" w:firstLineChars="200"/>
        <w:rPr>
          <w:rFonts w:hint="eastAsia"/>
          <w:color w:val="000000"/>
          <w:sz w:val="24"/>
        </w:rPr>
      </w:pPr>
      <w:r>
        <w:rPr>
          <w:rFonts w:hint="eastAsia"/>
          <w:color w:val="000000"/>
          <w:sz w:val="24"/>
        </w:rPr>
        <w:t>需要支持定位到具体患者后，可通过点击患者列表的详情深入了解他们的申请信息详情：包括患者信息和申请信息；上级医生可直接在此页面进行接诊操作，以开展后续的执行看诊等相关诊疗操作。</w:t>
      </w:r>
    </w:p>
    <w:p w14:paraId="5DA656FD">
      <w:pPr>
        <w:widowControl/>
        <w:spacing w:line="400" w:lineRule="atLeast"/>
        <w:ind w:firstLine="480" w:firstLineChars="200"/>
        <w:rPr>
          <w:rFonts w:hint="eastAsia"/>
          <w:color w:val="000000"/>
          <w:sz w:val="24"/>
        </w:rPr>
      </w:pPr>
      <w:r>
        <w:rPr>
          <w:rFonts w:hint="eastAsia"/>
          <w:color w:val="000000"/>
          <w:sz w:val="24"/>
        </w:rPr>
        <w:t>1.2.1.4 远程门诊执行</w:t>
      </w:r>
    </w:p>
    <w:p w14:paraId="5164080B">
      <w:pPr>
        <w:widowControl/>
        <w:spacing w:line="400" w:lineRule="atLeast"/>
        <w:ind w:firstLine="480" w:firstLineChars="200"/>
        <w:rPr>
          <w:rFonts w:hint="eastAsia"/>
          <w:color w:val="000000"/>
          <w:sz w:val="24"/>
        </w:rPr>
      </w:pPr>
      <w:r>
        <w:rPr>
          <w:rFonts w:hint="eastAsia"/>
          <w:color w:val="000000"/>
          <w:sz w:val="24"/>
        </w:rPr>
        <w:t>需支持由专家与申请端的医生进行实时音频、视频交互，专家根据观察患者体征、听取患者病情描述、查看病历信息等操作，完成诊断报告的编写与反馈，报告中包含描述、考虑诊断、建议等信息；</w:t>
      </w:r>
    </w:p>
    <w:p w14:paraId="05956990">
      <w:pPr>
        <w:widowControl/>
        <w:spacing w:line="400" w:lineRule="atLeast"/>
        <w:ind w:firstLine="480" w:firstLineChars="200"/>
        <w:rPr>
          <w:rFonts w:hint="eastAsia"/>
          <w:color w:val="000000"/>
          <w:sz w:val="24"/>
        </w:rPr>
      </w:pPr>
      <w:r>
        <w:rPr>
          <w:rFonts w:hint="eastAsia"/>
          <w:color w:val="000000"/>
          <w:sz w:val="24"/>
        </w:rPr>
        <w:t>需支持远程门诊执行中查看病历信息、调阅健康档案浏览器工具；</w:t>
      </w:r>
    </w:p>
    <w:p w14:paraId="4FFF6B70">
      <w:pPr>
        <w:widowControl/>
        <w:spacing w:line="400" w:lineRule="atLeast"/>
        <w:ind w:firstLine="480" w:firstLineChars="200"/>
        <w:rPr>
          <w:rFonts w:hint="eastAsia"/>
          <w:color w:val="000000"/>
          <w:sz w:val="24"/>
        </w:rPr>
      </w:pPr>
      <w:r>
        <w:rPr>
          <w:rFonts w:hint="eastAsia"/>
          <w:color w:val="000000"/>
          <w:sz w:val="24"/>
        </w:rPr>
        <w:t xml:space="preserve">需支持模板使用，在写报告时可调用预设的常用报告模板； </w:t>
      </w:r>
    </w:p>
    <w:p w14:paraId="14C99563">
      <w:pPr>
        <w:widowControl/>
        <w:spacing w:line="400" w:lineRule="atLeast"/>
        <w:ind w:firstLine="480" w:firstLineChars="200"/>
        <w:rPr>
          <w:rFonts w:hint="eastAsia"/>
          <w:color w:val="000000"/>
          <w:sz w:val="24"/>
        </w:rPr>
      </w:pPr>
      <w:r>
        <w:rPr>
          <w:rFonts w:hint="eastAsia"/>
          <w:color w:val="000000"/>
          <w:sz w:val="24"/>
        </w:rPr>
        <w:t>需支持多医生编写远程门诊报告；</w:t>
      </w:r>
    </w:p>
    <w:p w14:paraId="1474A772">
      <w:pPr>
        <w:widowControl/>
        <w:spacing w:line="400" w:lineRule="atLeast"/>
        <w:ind w:firstLine="480" w:firstLineChars="200"/>
        <w:rPr>
          <w:rFonts w:hint="eastAsia"/>
          <w:color w:val="000000"/>
          <w:sz w:val="24"/>
        </w:rPr>
      </w:pPr>
      <w:r>
        <w:rPr>
          <w:rFonts w:hint="eastAsia"/>
          <w:color w:val="000000"/>
          <w:sz w:val="24"/>
        </w:rPr>
        <w:t>需支持软视频服务，实现语音、视频、文字、白板交流。</w:t>
      </w:r>
    </w:p>
    <w:p w14:paraId="5A4887E5">
      <w:pPr>
        <w:widowControl/>
        <w:spacing w:line="400" w:lineRule="atLeast"/>
        <w:ind w:firstLine="480" w:firstLineChars="200"/>
        <w:rPr>
          <w:rFonts w:hint="eastAsia"/>
          <w:color w:val="000000"/>
          <w:sz w:val="24"/>
        </w:rPr>
      </w:pPr>
      <w:r>
        <w:rPr>
          <w:rFonts w:hint="eastAsia"/>
          <w:color w:val="000000"/>
          <w:sz w:val="24"/>
        </w:rPr>
        <w:t>1.2.1.5 远程门诊报告</w:t>
      </w:r>
    </w:p>
    <w:p w14:paraId="2B9240F9">
      <w:pPr>
        <w:widowControl/>
        <w:spacing w:line="400" w:lineRule="atLeast"/>
        <w:ind w:firstLine="480" w:firstLineChars="200"/>
        <w:rPr>
          <w:rFonts w:hint="eastAsia"/>
          <w:color w:val="000000"/>
          <w:sz w:val="24"/>
        </w:rPr>
      </w:pPr>
      <w:r>
        <w:rPr>
          <w:rFonts w:hint="eastAsia"/>
          <w:color w:val="000000"/>
          <w:sz w:val="24"/>
        </w:rPr>
        <w:t>需支持远程门诊执行后供给方医院提供远程门诊报告，报告内容包含描述、考虑诊断、建议等信息。供给方提交后，需求方可查看报告。</w:t>
      </w:r>
    </w:p>
    <w:p w14:paraId="24D34FB3">
      <w:pPr>
        <w:widowControl/>
        <w:spacing w:line="400" w:lineRule="atLeast"/>
        <w:ind w:firstLine="480" w:firstLineChars="200"/>
        <w:rPr>
          <w:rFonts w:hint="eastAsia"/>
          <w:color w:val="000000"/>
          <w:sz w:val="24"/>
        </w:rPr>
      </w:pPr>
      <w:r>
        <w:rPr>
          <w:rFonts w:hint="eastAsia"/>
          <w:color w:val="000000"/>
          <w:sz w:val="24"/>
        </w:rPr>
        <w:t>1.2.2 远程会诊服务</w:t>
      </w:r>
    </w:p>
    <w:p w14:paraId="59A54531">
      <w:pPr>
        <w:widowControl/>
        <w:spacing w:line="400" w:lineRule="atLeast"/>
        <w:ind w:firstLine="480" w:firstLineChars="200"/>
        <w:rPr>
          <w:rFonts w:hint="eastAsia"/>
          <w:color w:val="000000"/>
          <w:sz w:val="24"/>
        </w:rPr>
      </w:pPr>
      <w:r>
        <w:rPr>
          <w:rFonts w:hint="eastAsia"/>
          <w:color w:val="000000"/>
          <w:sz w:val="24"/>
        </w:rPr>
        <w:t>1.2.2.1 远程会诊申请</w:t>
      </w:r>
    </w:p>
    <w:p w14:paraId="345C475C">
      <w:pPr>
        <w:widowControl/>
        <w:spacing w:line="400" w:lineRule="atLeast"/>
        <w:ind w:firstLine="480" w:firstLineChars="200"/>
        <w:rPr>
          <w:rFonts w:hint="eastAsia"/>
          <w:color w:val="000000"/>
          <w:sz w:val="24"/>
        </w:rPr>
      </w:pPr>
      <w:r>
        <w:rPr>
          <w:rFonts w:hint="eastAsia"/>
          <w:color w:val="000000"/>
          <w:sz w:val="24"/>
        </w:rPr>
        <w:t>需支持由需求方发起申请预约供给方科室或医生提供的相应服务，填写会诊目的、病症类型、申请原因、患者及医生联系电话等信息，提交完成临床会诊申请；</w:t>
      </w:r>
    </w:p>
    <w:p w14:paraId="532A771A">
      <w:pPr>
        <w:widowControl/>
        <w:spacing w:line="400" w:lineRule="atLeast"/>
        <w:ind w:firstLine="480" w:firstLineChars="200"/>
        <w:rPr>
          <w:rFonts w:hint="eastAsia"/>
          <w:color w:val="000000"/>
          <w:sz w:val="24"/>
        </w:rPr>
      </w:pPr>
      <w:r>
        <w:rPr>
          <w:rFonts w:hint="eastAsia"/>
          <w:color w:val="000000"/>
          <w:sz w:val="24"/>
        </w:rPr>
        <w:t>需支持病历中心功能，实现手动录入患者病历信息，并上传患者检查检验报告等操作；</w:t>
      </w:r>
    </w:p>
    <w:p w14:paraId="1F2802C1">
      <w:pPr>
        <w:widowControl/>
        <w:spacing w:line="400" w:lineRule="atLeast"/>
        <w:ind w:firstLine="480" w:firstLineChars="200"/>
        <w:rPr>
          <w:rFonts w:hint="eastAsia"/>
          <w:color w:val="000000"/>
          <w:sz w:val="24"/>
        </w:rPr>
      </w:pPr>
      <w:r>
        <w:rPr>
          <w:rFonts w:hint="eastAsia"/>
          <w:color w:val="000000"/>
          <w:sz w:val="24"/>
        </w:rPr>
        <w:t>需支持临床会诊业务提醒，会诊过程的每个阶段可收到消息提醒，可点击消息提醒处理对应的业务；</w:t>
      </w:r>
    </w:p>
    <w:p w14:paraId="5CFE6593">
      <w:pPr>
        <w:widowControl/>
        <w:spacing w:line="400" w:lineRule="atLeast"/>
        <w:ind w:firstLine="480" w:firstLineChars="200"/>
        <w:rPr>
          <w:rFonts w:hint="eastAsia"/>
          <w:color w:val="000000"/>
          <w:sz w:val="24"/>
        </w:rPr>
      </w:pPr>
      <w:r>
        <w:rPr>
          <w:rFonts w:hint="eastAsia"/>
          <w:color w:val="000000"/>
          <w:sz w:val="24"/>
        </w:rPr>
        <w:t>需支持临床会诊的流程查看，能够清晰的了解整个过程中每个阶段的情况，包括申请、接诊、报告、结束等环节；</w:t>
      </w:r>
    </w:p>
    <w:p w14:paraId="268BB2D6">
      <w:pPr>
        <w:widowControl/>
        <w:spacing w:line="400" w:lineRule="atLeast"/>
        <w:ind w:firstLine="480" w:firstLineChars="200"/>
        <w:rPr>
          <w:rFonts w:hint="eastAsia"/>
          <w:color w:val="000000"/>
          <w:sz w:val="24"/>
        </w:rPr>
      </w:pPr>
      <w:r>
        <w:rPr>
          <w:rFonts w:hint="eastAsia"/>
          <w:color w:val="000000"/>
          <w:sz w:val="24"/>
        </w:rPr>
        <w:t>需支持调剂功能，支持对申请医生调剂。</w:t>
      </w:r>
    </w:p>
    <w:p w14:paraId="58588DF0">
      <w:pPr>
        <w:widowControl/>
        <w:spacing w:line="400" w:lineRule="atLeast"/>
        <w:ind w:firstLine="480" w:firstLineChars="200"/>
        <w:rPr>
          <w:rFonts w:hint="eastAsia"/>
          <w:color w:val="000000"/>
          <w:sz w:val="24"/>
        </w:rPr>
      </w:pPr>
      <w:r>
        <w:rPr>
          <w:rFonts w:hint="eastAsia"/>
          <w:color w:val="000000"/>
          <w:sz w:val="24"/>
        </w:rPr>
        <w:t>1.2.2.2 远程会诊审核</w:t>
      </w:r>
    </w:p>
    <w:p w14:paraId="584A13FE">
      <w:pPr>
        <w:widowControl/>
        <w:spacing w:line="400" w:lineRule="atLeast"/>
        <w:ind w:firstLine="480" w:firstLineChars="200"/>
        <w:rPr>
          <w:rFonts w:hint="eastAsia"/>
          <w:color w:val="000000"/>
          <w:sz w:val="24"/>
        </w:rPr>
      </w:pPr>
      <w:r>
        <w:rPr>
          <w:rFonts w:hint="eastAsia"/>
          <w:color w:val="000000"/>
          <w:sz w:val="24"/>
        </w:rPr>
        <w:t>需支持上级医院审核人员需要对基层申请医生提交的临床会诊申请进行审核，判断是否符合临床会诊的业务条件。对于审核不通过的临床会诊申请，需要书写原因并退回；对于审核通过的临床会诊申请，由相关人员填写时间和地点进行会诊安排。支持审核人员对跨机构的临床会诊申请进行审核；</w:t>
      </w:r>
    </w:p>
    <w:p w14:paraId="2CEDCF04">
      <w:pPr>
        <w:widowControl/>
        <w:spacing w:line="400" w:lineRule="atLeast"/>
        <w:ind w:firstLine="480" w:firstLineChars="200"/>
        <w:rPr>
          <w:rFonts w:hint="eastAsia"/>
          <w:color w:val="000000"/>
          <w:sz w:val="24"/>
        </w:rPr>
      </w:pPr>
      <w:r>
        <w:rPr>
          <w:rFonts w:hint="eastAsia"/>
          <w:color w:val="000000"/>
          <w:sz w:val="24"/>
        </w:rPr>
        <w:t>需支持驳回临床会诊申请，申请医生修改后可以再次申请；</w:t>
      </w:r>
    </w:p>
    <w:p w14:paraId="3A2B9AD4">
      <w:pPr>
        <w:widowControl/>
        <w:spacing w:line="400" w:lineRule="atLeast"/>
        <w:ind w:firstLine="480" w:firstLineChars="200"/>
        <w:rPr>
          <w:rFonts w:hint="eastAsia"/>
          <w:color w:val="000000"/>
          <w:sz w:val="24"/>
        </w:rPr>
      </w:pPr>
      <w:r>
        <w:rPr>
          <w:rFonts w:hint="eastAsia"/>
          <w:color w:val="000000"/>
          <w:sz w:val="24"/>
        </w:rPr>
        <w:t>需支持审核权限配置，由指定人员进行审核；支持查看患者病历信息，根据病历信息进行审核判断。</w:t>
      </w:r>
    </w:p>
    <w:p w14:paraId="35DF90B5">
      <w:pPr>
        <w:widowControl/>
        <w:spacing w:line="400" w:lineRule="atLeast"/>
        <w:ind w:firstLine="480" w:firstLineChars="200"/>
        <w:rPr>
          <w:rFonts w:hint="eastAsia"/>
          <w:color w:val="000000"/>
          <w:sz w:val="24"/>
        </w:rPr>
      </w:pPr>
      <w:r>
        <w:rPr>
          <w:rFonts w:hint="eastAsia"/>
          <w:color w:val="000000"/>
          <w:sz w:val="24"/>
        </w:rPr>
        <w:t>1.2.2.3 远程会诊安排</w:t>
      </w:r>
    </w:p>
    <w:p w14:paraId="5CBF337D">
      <w:pPr>
        <w:widowControl/>
        <w:spacing w:line="400" w:lineRule="atLeast"/>
        <w:ind w:firstLine="480" w:firstLineChars="200"/>
        <w:rPr>
          <w:rFonts w:hint="eastAsia"/>
          <w:color w:val="000000"/>
          <w:sz w:val="24"/>
        </w:rPr>
      </w:pPr>
      <w:r>
        <w:rPr>
          <w:rFonts w:hint="eastAsia"/>
          <w:color w:val="000000"/>
          <w:sz w:val="24"/>
        </w:rPr>
        <w:t>需支持对通过审核的临床会诊申请进行会诊安排，支持上级医院的相关人员可以根据实际情况安排具体的会诊时间以及参与会诊的医生。</w:t>
      </w:r>
    </w:p>
    <w:p w14:paraId="2E27240B">
      <w:pPr>
        <w:widowControl/>
        <w:spacing w:line="400" w:lineRule="atLeast"/>
        <w:ind w:firstLine="480" w:firstLineChars="200"/>
        <w:rPr>
          <w:rFonts w:hint="eastAsia"/>
          <w:color w:val="000000"/>
          <w:sz w:val="24"/>
        </w:rPr>
      </w:pPr>
      <w:r>
        <w:rPr>
          <w:rFonts w:hint="eastAsia"/>
          <w:color w:val="000000"/>
          <w:sz w:val="24"/>
        </w:rPr>
        <w:t>需支持安排会诊时间、会诊地点以及主诊医生；</w:t>
      </w:r>
    </w:p>
    <w:p w14:paraId="2E9E8779">
      <w:pPr>
        <w:widowControl/>
        <w:spacing w:line="400" w:lineRule="atLeast"/>
        <w:ind w:firstLine="480" w:firstLineChars="200"/>
        <w:rPr>
          <w:rFonts w:hint="eastAsia"/>
          <w:color w:val="000000"/>
          <w:sz w:val="24"/>
        </w:rPr>
      </w:pPr>
      <w:r>
        <w:rPr>
          <w:rFonts w:hint="eastAsia"/>
          <w:color w:val="000000"/>
          <w:sz w:val="24"/>
        </w:rPr>
        <w:t>需支持调剂功能，可选择其他医生参加会诊；</w:t>
      </w:r>
    </w:p>
    <w:p w14:paraId="12BFFFC2">
      <w:pPr>
        <w:widowControl/>
        <w:spacing w:line="400" w:lineRule="atLeast"/>
        <w:ind w:firstLine="480" w:firstLineChars="200"/>
        <w:rPr>
          <w:rFonts w:hint="eastAsia"/>
          <w:color w:val="000000"/>
          <w:sz w:val="24"/>
        </w:rPr>
      </w:pPr>
      <w:r>
        <w:rPr>
          <w:rFonts w:hint="eastAsia"/>
          <w:color w:val="000000"/>
          <w:sz w:val="24"/>
        </w:rPr>
        <w:t>需支持安排阶段驳回临床会诊申请能力。</w:t>
      </w:r>
    </w:p>
    <w:p w14:paraId="6AC35DF0">
      <w:pPr>
        <w:widowControl/>
        <w:spacing w:line="400" w:lineRule="atLeast"/>
        <w:ind w:firstLine="480" w:firstLineChars="200"/>
        <w:rPr>
          <w:rFonts w:hint="eastAsia"/>
          <w:color w:val="000000"/>
          <w:sz w:val="24"/>
        </w:rPr>
      </w:pPr>
      <w:r>
        <w:rPr>
          <w:rFonts w:hint="eastAsia"/>
          <w:color w:val="000000"/>
          <w:sz w:val="24"/>
        </w:rPr>
        <w:t>1.2.2.4 远程会诊执行</w:t>
      </w:r>
    </w:p>
    <w:p w14:paraId="63F79D52">
      <w:pPr>
        <w:widowControl/>
        <w:spacing w:line="400" w:lineRule="atLeast"/>
        <w:ind w:firstLine="480" w:firstLineChars="200"/>
        <w:rPr>
          <w:rFonts w:hint="eastAsia"/>
          <w:color w:val="000000"/>
          <w:sz w:val="24"/>
        </w:rPr>
      </w:pPr>
      <w:r>
        <w:rPr>
          <w:rFonts w:hint="eastAsia"/>
          <w:color w:val="000000"/>
          <w:sz w:val="24"/>
        </w:rPr>
        <w:t>需支持由上级医院专家与基层申请医生进行实时音频、视频交互，专家可根据观察、患者描述、查看病历信息等，完成临床会诊报告的编写与反馈；</w:t>
      </w:r>
    </w:p>
    <w:p w14:paraId="2D5B4A87">
      <w:pPr>
        <w:widowControl/>
        <w:spacing w:line="400" w:lineRule="atLeast"/>
        <w:ind w:firstLine="480" w:firstLineChars="200"/>
        <w:rPr>
          <w:rFonts w:hint="eastAsia"/>
          <w:color w:val="000000"/>
          <w:sz w:val="24"/>
        </w:rPr>
      </w:pPr>
      <w:r>
        <w:rPr>
          <w:rFonts w:hint="eastAsia"/>
          <w:color w:val="000000"/>
          <w:sz w:val="24"/>
        </w:rPr>
        <w:t>需支持会诊执行中查看病历信息，调阅健康档案浏览器；</w:t>
      </w:r>
    </w:p>
    <w:p w14:paraId="2246DA90">
      <w:pPr>
        <w:widowControl/>
        <w:spacing w:line="400" w:lineRule="atLeast"/>
        <w:ind w:firstLine="480" w:firstLineChars="200"/>
        <w:rPr>
          <w:rFonts w:hint="eastAsia"/>
          <w:color w:val="000000"/>
          <w:sz w:val="24"/>
        </w:rPr>
      </w:pPr>
      <w:r>
        <w:rPr>
          <w:rFonts w:hint="eastAsia"/>
          <w:color w:val="000000"/>
          <w:sz w:val="24"/>
        </w:rPr>
        <w:t>需支持按需添加其他医生参加会诊；</w:t>
      </w:r>
    </w:p>
    <w:p w14:paraId="133B7EA9">
      <w:pPr>
        <w:widowControl/>
        <w:spacing w:line="400" w:lineRule="atLeast"/>
        <w:ind w:firstLine="480" w:firstLineChars="200"/>
        <w:rPr>
          <w:rFonts w:hint="eastAsia"/>
          <w:color w:val="000000"/>
          <w:sz w:val="24"/>
        </w:rPr>
      </w:pPr>
      <w:r>
        <w:rPr>
          <w:rFonts w:hint="eastAsia"/>
          <w:color w:val="000000"/>
          <w:sz w:val="24"/>
        </w:rPr>
        <w:t>需支持医生编写临床会诊报告，填写诊断信息；</w:t>
      </w:r>
    </w:p>
    <w:p w14:paraId="6C76E3A5">
      <w:pPr>
        <w:widowControl/>
        <w:spacing w:line="400" w:lineRule="atLeast"/>
        <w:ind w:firstLine="480" w:firstLineChars="200"/>
        <w:rPr>
          <w:rFonts w:hint="eastAsia"/>
          <w:color w:val="000000"/>
          <w:sz w:val="24"/>
        </w:rPr>
      </w:pPr>
      <w:r>
        <w:rPr>
          <w:rFonts w:hint="eastAsia"/>
          <w:color w:val="000000"/>
          <w:sz w:val="24"/>
        </w:rPr>
        <w:t>需支持对未开始会诊的申请进行驳回操作，并可以填写驳回原因。</w:t>
      </w:r>
    </w:p>
    <w:p w14:paraId="2808315F">
      <w:pPr>
        <w:widowControl/>
        <w:spacing w:line="400" w:lineRule="atLeast"/>
        <w:ind w:firstLine="480" w:firstLineChars="200"/>
        <w:rPr>
          <w:rFonts w:hint="eastAsia"/>
          <w:color w:val="000000"/>
          <w:sz w:val="24"/>
        </w:rPr>
      </w:pPr>
      <w:r>
        <w:rPr>
          <w:rFonts w:hint="eastAsia"/>
          <w:color w:val="000000"/>
          <w:sz w:val="24"/>
        </w:rPr>
        <w:t>1.2.2.5 远程会诊报告</w:t>
      </w:r>
    </w:p>
    <w:p w14:paraId="5D5AC9E0">
      <w:pPr>
        <w:widowControl/>
        <w:spacing w:line="400" w:lineRule="atLeast"/>
        <w:ind w:firstLine="480" w:firstLineChars="200"/>
        <w:rPr>
          <w:rFonts w:hint="eastAsia"/>
          <w:color w:val="000000"/>
          <w:sz w:val="24"/>
        </w:rPr>
      </w:pPr>
      <w:r>
        <w:rPr>
          <w:rFonts w:hint="eastAsia"/>
          <w:color w:val="000000"/>
          <w:sz w:val="24"/>
        </w:rPr>
        <w:t>临床会诊执行后供给方医院将提供临床会诊报告，报告内容包含描述、考虑诊断、建议等信息。</w:t>
      </w:r>
    </w:p>
    <w:p w14:paraId="7EFF7156">
      <w:pPr>
        <w:widowControl/>
        <w:spacing w:line="400" w:lineRule="atLeast"/>
        <w:ind w:firstLine="480" w:firstLineChars="200"/>
        <w:rPr>
          <w:rFonts w:hint="eastAsia"/>
          <w:color w:val="000000"/>
          <w:sz w:val="24"/>
        </w:rPr>
      </w:pPr>
      <w:r>
        <w:rPr>
          <w:rFonts w:hint="eastAsia"/>
          <w:color w:val="000000"/>
          <w:sz w:val="24"/>
        </w:rPr>
        <w:t>需支持模板使用，在写报告时可调用预设的常用报告模板。</w:t>
      </w:r>
    </w:p>
    <w:p w14:paraId="28ABDDB7">
      <w:pPr>
        <w:widowControl/>
        <w:spacing w:line="400" w:lineRule="atLeast"/>
        <w:ind w:firstLine="480" w:firstLineChars="200"/>
        <w:rPr>
          <w:rFonts w:hint="eastAsia"/>
          <w:color w:val="000000"/>
          <w:sz w:val="24"/>
        </w:rPr>
      </w:pPr>
      <w:r>
        <w:rPr>
          <w:rFonts w:hint="eastAsia"/>
          <w:color w:val="000000"/>
          <w:sz w:val="24"/>
        </w:rPr>
        <w:t>1.2.2.6 远程会诊报告审核▲</w:t>
      </w:r>
    </w:p>
    <w:p w14:paraId="6465777E">
      <w:pPr>
        <w:widowControl/>
        <w:spacing w:line="400" w:lineRule="atLeast"/>
        <w:ind w:firstLine="480" w:firstLineChars="200"/>
        <w:rPr>
          <w:rFonts w:hint="eastAsia"/>
          <w:color w:val="000000"/>
          <w:sz w:val="24"/>
        </w:rPr>
      </w:pPr>
      <w:r>
        <w:rPr>
          <w:rFonts w:hint="eastAsia"/>
          <w:color w:val="000000"/>
          <w:sz w:val="24"/>
        </w:rPr>
        <w:t>需支持报告审核流程，由指定权限的审核人员对专家的临床会诊报告从专业的角度进行审核；</w:t>
      </w:r>
    </w:p>
    <w:p w14:paraId="23A5F797">
      <w:pPr>
        <w:widowControl/>
        <w:spacing w:line="400" w:lineRule="atLeast"/>
        <w:ind w:firstLine="480" w:firstLineChars="200"/>
        <w:rPr>
          <w:rFonts w:hint="eastAsia"/>
          <w:color w:val="000000"/>
          <w:sz w:val="24"/>
        </w:rPr>
      </w:pPr>
      <w:r>
        <w:rPr>
          <w:rFonts w:hint="eastAsia"/>
          <w:color w:val="000000"/>
          <w:sz w:val="24"/>
        </w:rPr>
        <w:t>需支持驳回报告，再编写修改后重新提交审核。</w:t>
      </w:r>
    </w:p>
    <w:p w14:paraId="31181507">
      <w:pPr>
        <w:widowControl/>
        <w:spacing w:line="400" w:lineRule="atLeast"/>
        <w:ind w:firstLine="480" w:firstLineChars="200"/>
        <w:rPr>
          <w:color w:val="000000"/>
          <w:sz w:val="24"/>
        </w:rPr>
      </w:pPr>
    </w:p>
    <w:p w14:paraId="03EB77BA">
      <w:pPr>
        <w:widowControl/>
        <w:spacing w:line="400" w:lineRule="atLeast"/>
        <w:ind w:firstLine="480" w:firstLineChars="200"/>
        <w:rPr>
          <w:rFonts w:hint="eastAsia"/>
          <w:color w:val="000000"/>
          <w:sz w:val="24"/>
        </w:rPr>
      </w:pPr>
      <w:r>
        <w:rPr>
          <w:rFonts w:hint="eastAsia"/>
          <w:color w:val="000000"/>
          <w:sz w:val="24"/>
        </w:rPr>
        <w:t>1.3 会诊转诊中心</w:t>
      </w:r>
    </w:p>
    <w:p w14:paraId="7B5CC74D">
      <w:pPr>
        <w:widowControl/>
        <w:spacing w:line="400" w:lineRule="atLeast"/>
        <w:ind w:firstLine="480" w:firstLineChars="200"/>
        <w:rPr>
          <w:rFonts w:hint="eastAsia"/>
          <w:color w:val="000000"/>
          <w:sz w:val="24"/>
        </w:rPr>
      </w:pPr>
      <w:r>
        <w:rPr>
          <w:rFonts w:hint="eastAsia"/>
          <w:color w:val="000000"/>
          <w:sz w:val="24"/>
        </w:rPr>
        <w:t>1.3.1 业务处理中心▲</w:t>
      </w:r>
    </w:p>
    <w:p w14:paraId="3156BFAC">
      <w:pPr>
        <w:widowControl/>
        <w:spacing w:line="400" w:lineRule="atLeast"/>
        <w:ind w:firstLine="480" w:firstLineChars="200"/>
        <w:rPr>
          <w:rFonts w:hint="eastAsia"/>
          <w:color w:val="000000"/>
          <w:sz w:val="24"/>
        </w:rPr>
      </w:pPr>
      <w:r>
        <w:rPr>
          <w:rFonts w:hint="eastAsia"/>
          <w:color w:val="000000"/>
          <w:sz w:val="24"/>
        </w:rPr>
        <w:t>需支持接收医保信息系统、医疗机构信息系统推送转诊倾向患者情况，</w:t>
      </w:r>
    </w:p>
    <w:p w14:paraId="6803F622">
      <w:pPr>
        <w:widowControl/>
        <w:spacing w:line="400" w:lineRule="atLeast"/>
        <w:ind w:firstLine="480" w:firstLineChars="200"/>
        <w:rPr>
          <w:rFonts w:hint="eastAsia"/>
          <w:color w:val="000000"/>
          <w:sz w:val="24"/>
        </w:rPr>
      </w:pPr>
      <w:r>
        <w:rPr>
          <w:rFonts w:hint="eastAsia"/>
          <w:color w:val="000000"/>
          <w:sz w:val="24"/>
        </w:rPr>
        <w:t>需支持会诊转诊中心工作人员，通过业务处理中心，对临床医生发起的转诊申请，进行转诊安排，给出沟通结论选择，沟通结论包括本院治疗、本市治疗、省内治疗、省外治疗。</w:t>
      </w:r>
    </w:p>
    <w:p w14:paraId="7B066F95">
      <w:pPr>
        <w:widowControl/>
        <w:spacing w:line="400" w:lineRule="atLeast"/>
        <w:ind w:firstLine="480" w:firstLineChars="200"/>
        <w:rPr>
          <w:rFonts w:hint="eastAsia"/>
          <w:color w:val="000000"/>
          <w:sz w:val="24"/>
        </w:rPr>
      </w:pPr>
      <w:r>
        <w:rPr>
          <w:rFonts w:hint="eastAsia"/>
          <w:color w:val="000000"/>
          <w:sz w:val="24"/>
        </w:rPr>
        <w:t>需支持对本市治疗结论的患者进行后续转诊预约；</w:t>
      </w:r>
    </w:p>
    <w:p w14:paraId="40F3A349">
      <w:pPr>
        <w:widowControl/>
        <w:spacing w:line="400" w:lineRule="atLeast"/>
        <w:ind w:firstLine="480" w:firstLineChars="200"/>
        <w:rPr>
          <w:rFonts w:hint="eastAsia"/>
          <w:color w:val="000000"/>
          <w:sz w:val="24"/>
        </w:rPr>
      </w:pPr>
      <w:r>
        <w:rPr>
          <w:rFonts w:hint="eastAsia"/>
          <w:color w:val="000000"/>
          <w:sz w:val="24"/>
        </w:rPr>
        <w:t>需支持沟通结果为本院治疗的患者，为其申请专家会诊进行会诊登记处理；</w:t>
      </w:r>
    </w:p>
    <w:p w14:paraId="5DCC009C">
      <w:pPr>
        <w:widowControl/>
        <w:spacing w:line="400" w:lineRule="atLeast"/>
        <w:ind w:firstLine="480" w:firstLineChars="200"/>
        <w:rPr>
          <w:rFonts w:hint="eastAsia"/>
          <w:color w:val="000000"/>
          <w:sz w:val="24"/>
        </w:rPr>
      </w:pPr>
      <w:r>
        <w:rPr>
          <w:rFonts w:hint="eastAsia"/>
          <w:color w:val="000000"/>
          <w:sz w:val="24"/>
        </w:rPr>
        <w:t>需支持操作结束后移入完成。</w:t>
      </w:r>
    </w:p>
    <w:p w14:paraId="76403962">
      <w:pPr>
        <w:widowControl/>
        <w:spacing w:line="400" w:lineRule="atLeast"/>
        <w:ind w:firstLine="480" w:firstLineChars="200"/>
        <w:rPr>
          <w:rFonts w:hint="eastAsia"/>
          <w:color w:val="000000"/>
          <w:sz w:val="24"/>
        </w:rPr>
      </w:pPr>
      <w:r>
        <w:rPr>
          <w:rFonts w:hint="eastAsia"/>
          <w:color w:val="000000"/>
          <w:sz w:val="24"/>
        </w:rPr>
        <w:t>1.3.2 转诊跟踪▲</w:t>
      </w:r>
    </w:p>
    <w:p w14:paraId="18E66734">
      <w:pPr>
        <w:widowControl/>
        <w:spacing w:line="400" w:lineRule="atLeast"/>
        <w:ind w:firstLine="480" w:firstLineChars="200"/>
        <w:rPr>
          <w:rFonts w:hint="eastAsia"/>
          <w:color w:val="000000"/>
          <w:sz w:val="24"/>
        </w:rPr>
      </w:pPr>
      <w:r>
        <w:rPr>
          <w:rFonts w:hint="eastAsia"/>
          <w:color w:val="000000"/>
          <w:sz w:val="24"/>
        </w:rPr>
        <w:t>需支持本市治疗的患者进行转诊申请在转诊跟踪页面中按照申请记录查询跟踪；</w:t>
      </w:r>
    </w:p>
    <w:p w14:paraId="5A120071">
      <w:pPr>
        <w:widowControl/>
        <w:spacing w:line="400" w:lineRule="atLeast"/>
        <w:ind w:firstLine="480" w:firstLineChars="200"/>
        <w:rPr>
          <w:rFonts w:hint="eastAsia"/>
          <w:color w:val="000000"/>
          <w:sz w:val="24"/>
        </w:rPr>
      </w:pPr>
      <w:r>
        <w:rPr>
          <w:rFonts w:hint="eastAsia"/>
          <w:color w:val="000000"/>
          <w:sz w:val="24"/>
        </w:rPr>
        <w:t>需支持根据审核进度分组展示，跟踪详情中记录申请过程信息、患者就诊信息、处理进度节点信息、沟通记录信息等。</w:t>
      </w:r>
    </w:p>
    <w:p w14:paraId="7FA7E4FC">
      <w:pPr>
        <w:widowControl/>
        <w:spacing w:line="400" w:lineRule="atLeast"/>
        <w:ind w:firstLine="480" w:firstLineChars="200"/>
        <w:rPr>
          <w:rFonts w:hint="eastAsia"/>
          <w:color w:val="000000"/>
          <w:sz w:val="24"/>
        </w:rPr>
      </w:pPr>
      <w:r>
        <w:rPr>
          <w:rFonts w:hint="eastAsia"/>
          <w:color w:val="000000"/>
          <w:sz w:val="24"/>
        </w:rPr>
        <w:t>1.3.3 转诊导诊台</w:t>
      </w:r>
    </w:p>
    <w:p w14:paraId="67089400">
      <w:pPr>
        <w:widowControl/>
        <w:spacing w:line="400" w:lineRule="atLeast"/>
        <w:ind w:firstLine="480" w:firstLineChars="200"/>
        <w:rPr>
          <w:rFonts w:hint="eastAsia"/>
          <w:color w:val="000000"/>
          <w:sz w:val="24"/>
        </w:rPr>
      </w:pPr>
      <w:r>
        <w:rPr>
          <w:rFonts w:hint="eastAsia"/>
          <w:color w:val="000000"/>
          <w:sz w:val="24"/>
        </w:rPr>
        <w:t>需支持对本市治疗结论患者进行转诊预约后，接收导诊并接处理，对患者进行审核、安排、接诊处理。</w:t>
      </w:r>
    </w:p>
    <w:p w14:paraId="4F22B8F6">
      <w:pPr>
        <w:widowControl/>
        <w:spacing w:line="400" w:lineRule="atLeast"/>
        <w:ind w:firstLine="480" w:firstLineChars="200"/>
        <w:rPr>
          <w:rFonts w:hint="eastAsia"/>
          <w:color w:val="000000"/>
          <w:sz w:val="24"/>
        </w:rPr>
      </w:pPr>
      <w:r>
        <w:rPr>
          <w:rFonts w:hint="eastAsia"/>
          <w:color w:val="000000"/>
          <w:sz w:val="24"/>
        </w:rPr>
        <w:t>1.3.4 转诊单打印</w:t>
      </w:r>
    </w:p>
    <w:p w14:paraId="021EA3F7">
      <w:pPr>
        <w:widowControl/>
        <w:spacing w:line="400" w:lineRule="atLeast"/>
        <w:ind w:firstLine="480" w:firstLineChars="200"/>
        <w:rPr>
          <w:rFonts w:hint="eastAsia"/>
          <w:color w:val="000000"/>
          <w:sz w:val="24"/>
        </w:rPr>
      </w:pPr>
      <w:r>
        <w:rPr>
          <w:rFonts w:hint="eastAsia"/>
          <w:color w:val="000000"/>
          <w:sz w:val="24"/>
        </w:rPr>
        <w:t>需支持申请机构业务处理人员为患者打印转诊单；</w:t>
      </w:r>
    </w:p>
    <w:p w14:paraId="6C84F21A">
      <w:pPr>
        <w:widowControl/>
        <w:spacing w:line="400" w:lineRule="atLeast"/>
        <w:ind w:firstLine="480" w:firstLineChars="200"/>
        <w:rPr>
          <w:rFonts w:hint="eastAsia"/>
          <w:color w:val="000000"/>
          <w:sz w:val="24"/>
        </w:rPr>
      </w:pPr>
      <w:r>
        <w:rPr>
          <w:rFonts w:hint="eastAsia"/>
          <w:color w:val="000000"/>
          <w:sz w:val="24"/>
        </w:rPr>
        <w:t>需支持根据时间条件和患者信息、转诊信息类型筛选患者转诊信息；</w:t>
      </w:r>
    </w:p>
    <w:p w14:paraId="4348B234">
      <w:pPr>
        <w:widowControl/>
        <w:spacing w:line="400" w:lineRule="atLeast"/>
        <w:ind w:firstLine="480" w:firstLineChars="200"/>
        <w:rPr>
          <w:rFonts w:hint="eastAsia"/>
          <w:color w:val="000000"/>
          <w:sz w:val="24"/>
        </w:rPr>
      </w:pPr>
      <w:r>
        <w:rPr>
          <w:rFonts w:hint="eastAsia"/>
          <w:color w:val="000000"/>
          <w:sz w:val="24"/>
        </w:rPr>
        <w:t>需支持转诊单根据转诊机构要求结构生成数据，并支持下载后编辑。</w:t>
      </w:r>
    </w:p>
    <w:p w14:paraId="56E94EE1">
      <w:pPr>
        <w:widowControl/>
        <w:spacing w:line="400" w:lineRule="atLeast"/>
        <w:ind w:firstLine="480" w:firstLineChars="200"/>
        <w:rPr>
          <w:rFonts w:hint="eastAsia"/>
          <w:color w:val="000000"/>
          <w:sz w:val="24"/>
        </w:rPr>
      </w:pPr>
      <w:r>
        <w:rPr>
          <w:rFonts w:hint="eastAsia"/>
          <w:color w:val="000000"/>
          <w:sz w:val="24"/>
        </w:rPr>
        <w:t>1.4 处方流转中心</w:t>
      </w:r>
    </w:p>
    <w:p w14:paraId="4F83ED59">
      <w:pPr>
        <w:widowControl/>
        <w:spacing w:line="400" w:lineRule="atLeast"/>
        <w:ind w:firstLine="480" w:firstLineChars="200"/>
        <w:rPr>
          <w:rFonts w:hint="eastAsia"/>
          <w:color w:val="000000"/>
          <w:sz w:val="24"/>
        </w:rPr>
      </w:pPr>
      <w:r>
        <w:rPr>
          <w:rFonts w:hint="eastAsia"/>
          <w:color w:val="000000"/>
          <w:sz w:val="24"/>
        </w:rPr>
        <w:t>1.4.1 标准药品目录管理▲</w:t>
      </w:r>
    </w:p>
    <w:p w14:paraId="1335407C">
      <w:pPr>
        <w:widowControl/>
        <w:spacing w:line="400" w:lineRule="atLeast"/>
        <w:ind w:firstLine="480" w:firstLineChars="200"/>
        <w:rPr>
          <w:rFonts w:hint="eastAsia"/>
          <w:color w:val="000000"/>
          <w:sz w:val="24"/>
        </w:rPr>
      </w:pPr>
      <w:r>
        <w:rPr>
          <w:rFonts w:hint="eastAsia"/>
          <w:color w:val="000000"/>
          <w:sz w:val="24"/>
        </w:rPr>
        <w:t>需支持平台统一创建药品标准目录，支持标准药品目录涵盖药品基本信息、规格信息、其他信息等，通过药品目录标准限定平台内的用药标准范围</w:t>
      </w:r>
    </w:p>
    <w:p w14:paraId="7CF77DA8">
      <w:pPr>
        <w:widowControl/>
        <w:spacing w:line="400" w:lineRule="atLeast"/>
        <w:ind w:firstLine="480" w:firstLineChars="200"/>
        <w:rPr>
          <w:rFonts w:hint="eastAsia"/>
          <w:color w:val="000000"/>
          <w:sz w:val="24"/>
        </w:rPr>
      </w:pPr>
      <w:r>
        <w:rPr>
          <w:rFonts w:hint="eastAsia"/>
          <w:color w:val="000000"/>
          <w:sz w:val="24"/>
        </w:rPr>
        <w:t>1.4.2 本地药品目录管理▲</w:t>
      </w:r>
    </w:p>
    <w:p w14:paraId="3D9C811B">
      <w:pPr>
        <w:widowControl/>
        <w:spacing w:line="400" w:lineRule="atLeast"/>
        <w:ind w:firstLine="480" w:firstLineChars="200"/>
        <w:rPr>
          <w:rFonts w:hint="eastAsia"/>
          <w:color w:val="000000"/>
          <w:sz w:val="24"/>
        </w:rPr>
      </w:pPr>
      <w:r>
        <w:rPr>
          <w:rFonts w:hint="eastAsia"/>
          <w:color w:val="000000"/>
          <w:sz w:val="24"/>
        </w:rPr>
        <w:t>需支持医疗机构根据本机构可供应药品情况由标准药品目录中选择匹配可提供的药品范围，并对本机构药品的相关的属性进行维护管理。</w:t>
      </w:r>
    </w:p>
    <w:p w14:paraId="3811B204">
      <w:pPr>
        <w:widowControl/>
        <w:spacing w:line="400" w:lineRule="atLeast"/>
        <w:ind w:firstLine="480" w:firstLineChars="200"/>
        <w:rPr>
          <w:rFonts w:hint="eastAsia"/>
          <w:color w:val="000000"/>
          <w:sz w:val="24"/>
        </w:rPr>
      </w:pPr>
      <w:r>
        <w:rPr>
          <w:rFonts w:hint="eastAsia"/>
          <w:color w:val="000000"/>
          <w:sz w:val="24"/>
        </w:rPr>
        <w:t>1.4.3 处方开立</w:t>
      </w:r>
    </w:p>
    <w:p w14:paraId="19E708B1">
      <w:pPr>
        <w:widowControl/>
        <w:spacing w:line="400" w:lineRule="atLeast"/>
        <w:ind w:firstLine="480" w:firstLineChars="200"/>
        <w:rPr>
          <w:rFonts w:hint="eastAsia"/>
          <w:color w:val="000000"/>
          <w:sz w:val="24"/>
        </w:rPr>
      </w:pPr>
      <w:r>
        <w:rPr>
          <w:rFonts w:hint="eastAsia"/>
          <w:color w:val="000000"/>
          <w:sz w:val="24"/>
        </w:rPr>
        <w:t>需支持开立成药处方和草药处方；</w:t>
      </w:r>
    </w:p>
    <w:p w14:paraId="4F451B7B">
      <w:pPr>
        <w:widowControl/>
        <w:spacing w:line="400" w:lineRule="atLeast"/>
        <w:ind w:firstLine="480" w:firstLineChars="200"/>
        <w:rPr>
          <w:rFonts w:hint="eastAsia"/>
          <w:color w:val="000000"/>
          <w:sz w:val="24"/>
        </w:rPr>
      </w:pPr>
      <w:r>
        <w:rPr>
          <w:rFonts w:hint="eastAsia"/>
          <w:color w:val="000000"/>
          <w:sz w:val="24"/>
        </w:rPr>
        <w:t>需支持开立成药处方时，录入用法用量、开立数量、用药医嘱等信息；</w:t>
      </w:r>
    </w:p>
    <w:p w14:paraId="293C2BD4">
      <w:pPr>
        <w:widowControl/>
        <w:spacing w:line="400" w:lineRule="atLeast"/>
        <w:ind w:firstLine="480" w:firstLineChars="200"/>
        <w:rPr>
          <w:rFonts w:hint="eastAsia"/>
          <w:color w:val="000000"/>
          <w:sz w:val="24"/>
        </w:rPr>
      </w:pPr>
      <w:r>
        <w:rPr>
          <w:rFonts w:hint="eastAsia"/>
          <w:color w:val="000000"/>
          <w:sz w:val="24"/>
        </w:rPr>
        <w:t>需支持开立草药处方时为此药方添加治法、频次、付数、用法等信息；支持为每付草药方配置草药，录入每一味草药的用量，并对草药煎服方法进行标注。</w:t>
      </w:r>
    </w:p>
    <w:p w14:paraId="046A3E4F">
      <w:pPr>
        <w:widowControl/>
        <w:spacing w:line="400" w:lineRule="atLeast"/>
        <w:ind w:firstLine="480" w:firstLineChars="200"/>
        <w:rPr>
          <w:rFonts w:hint="eastAsia"/>
          <w:color w:val="000000"/>
          <w:sz w:val="24"/>
        </w:rPr>
      </w:pPr>
      <w:r>
        <w:rPr>
          <w:rFonts w:hint="eastAsia"/>
          <w:color w:val="000000"/>
          <w:sz w:val="24"/>
        </w:rPr>
        <w:t>1.4.4 处方缴费</w:t>
      </w:r>
    </w:p>
    <w:p w14:paraId="7AE50B74">
      <w:pPr>
        <w:widowControl/>
        <w:spacing w:line="400" w:lineRule="atLeast"/>
        <w:ind w:firstLine="480" w:firstLineChars="200"/>
        <w:rPr>
          <w:rFonts w:hint="eastAsia"/>
          <w:color w:val="000000"/>
          <w:sz w:val="24"/>
        </w:rPr>
      </w:pPr>
      <w:r>
        <w:rPr>
          <w:rFonts w:hint="eastAsia"/>
          <w:color w:val="000000"/>
          <w:sz w:val="24"/>
        </w:rPr>
        <w:t>需支持订单确认后由开立医生进行处方缴费确认。</w:t>
      </w:r>
    </w:p>
    <w:p w14:paraId="3FF5482B">
      <w:pPr>
        <w:widowControl/>
        <w:spacing w:line="400" w:lineRule="atLeast"/>
        <w:ind w:firstLine="480" w:firstLineChars="200"/>
        <w:rPr>
          <w:rFonts w:hint="eastAsia"/>
          <w:color w:val="000000"/>
          <w:sz w:val="24"/>
        </w:rPr>
      </w:pPr>
      <w:r>
        <w:rPr>
          <w:rFonts w:hint="eastAsia"/>
          <w:color w:val="000000"/>
          <w:sz w:val="24"/>
        </w:rPr>
        <w:t>需支持对处方进行单独收费；</w:t>
      </w:r>
    </w:p>
    <w:p w14:paraId="3FDE6A2B">
      <w:pPr>
        <w:widowControl/>
        <w:spacing w:line="400" w:lineRule="atLeast"/>
        <w:ind w:firstLine="480" w:firstLineChars="200"/>
        <w:rPr>
          <w:rFonts w:hint="eastAsia"/>
          <w:color w:val="000000"/>
          <w:sz w:val="24"/>
        </w:rPr>
      </w:pPr>
      <w:r>
        <w:rPr>
          <w:rFonts w:hint="eastAsia"/>
          <w:color w:val="000000"/>
          <w:sz w:val="24"/>
        </w:rPr>
        <w:t>需支持对已收费的处方进行退费；</w:t>
      </w:r>
    </w:p>
    <w:p w14:paraId="529BD793">
      <w:pPr>
        <w:widowControl/>
        <w:spacing w:line="400" w:lineRule="atLeast"/>
        <w:ind w:firstLine="480" w:firstLineChars="200"/>
        <w:rPr>
          <w:rFonts w:hint="eastAsia"/>
          <w:color w:val="000000"/>
          <w:sz w:val="24"/>
        </w:rPr>
      </w:pPr>
      <w:r>
        <w:rPr>
          <w:rFonts w:hint="eastAsia"/>
          <w:color w:val="000000"/>
          <w:sz w:val="24"/>
        </w:rPr>
        <w:t>需支持查看处方明细及开立日期等信息。</w:t>
      </w:r>
    </w:p>
    <w:p w14:paraId="3FAA0815">
      <w:pPr>
        <w:widowControl/>
        <w:spacing w:line="400" w:lineRule="atLeast"/>
        <w:ind w:firstLine="480" w:firstLineChars="200"/>
        <w:rPr>
          <w:rFonts w:hint="eastAsia"/>
          <w:color w:val="000000"/>
          <w:sz w:val="24"/>
        </w:rPr>
      </w:pPr>
      <w:r>
        <w:rPr>
          <w:rFonts w:hint="eastAsia"/>
          <w:color w:val="000000"/>
          <w:sz w:val="24"/>
        </w:rPr>
        <w:t>1.4.5 药房发药</w:t>
      </w:r>
    </w:p>
    <w:p w14:paraId="7904D3C2">
      <w:pPr>
        <w:widowControl/>
        <w:spacing w:line="400" w:lineRule="atLeast"/>
        <w:ind w:firstLine="480" w:firstLineChars="200"/>
        <w:rPr>
          <w:rFonts w:hint="eastAsia"/>
          <w:color w:val="000000"/>
          <w:sz w:val="24"/>
        </w:rPr>
      </w:pPr>
      <w:r>
        <w:rPr>
          <w:rFonts w:hint="eastAsia"/>
          <w:color w:val="000000"/>
          <w:sz w:val="24"/>
        </w:rPr>
        <w:t>需支持合作医疗机构药房或第三方药品服务机构，在订单确认时被选择为发药机构后，即可对患者完成发药确认操作。</w:t>
      </w:r>
    </w:p>
    <w:p w14:paraId="493CBA47">
      <w:pPr>
        <w:widowControl/>
        <w:spacing w:line="400" w:lineRule="atLeast"/>
        <w:ind w:firstLine="480" w:firstLineChars="200"/>
        <w:rPr>
          <w:rFonts w:hint="eastAsia"/>
          <w:color w:val="000000"/>
          <w:sz w:val="24"/>
        </w:rPr>
      </w:pPr>
      <w:r>
        <w:rPr>
          <w:rFonts w:hint="eastAsia"/>
          <w:color w:val="000000"/>
          <w:sz w:val="24"/>
        </w:rPr>
        <w:t>需支持查看电子处方明细信息，根据处方详情进行配药；</w:t>
      </w:r>
    </w:p>
    <w:p w14:paraId="39C318EC">
      <w:pPr>
        <w:widowControl/>
        <w:spacing w:line="400" w:lineRule="atLeast"/>
        <w:ind w:firstLine="480" w:firstLineChars="200"/>
        <w:rPr>
          <w:rFonts w:hint="eastAsia"/>
          <w:color w:val="000000"/>
          <w:sz w:val="24"/>
        </w:rPr>
      </w:pPr>
      <w:r>
        <w:rPr>
          <w:rFonts w:hint="eastAsia"/>
          <w:color w:val="000000"/>
          <w:sz w:val="24"/>
        </w:rPr>
        <w:t>需支持根据订单号和缴费日期进行处方订单筛选和查看；</w:t>
      </w:r>
    </w:p>
    <w:p w14:paraId="0C9FFB7E">
      <w:pPr>
        <w:widowControl/>
        <w:spacing w:line="400" w:lineRule="atLeast"/>
        <w:ind w:firstLine="480" w:firstLineChars="200"/>
        <w:rPr>
          <w:rFonts w:hint="eastAsia"/>
          <w:color w:val="000000"/>
          <w:sz w:val="24"/>
        </w:rPr>
      </w:pPr>
      <w:r>
        <w:rPr>
          <w:rFonts w:hint="eastAsia"/>
          <w:color w:val="000000"/>
          <w:sz w:val="24"/>
        </w:rPr>
        <w:t>需支持对已发药订单的查看。</w:t>
      </w:r>
    </w:p>
    <w:p w14:paraId="707FB782">
      <w:pPr>
        <w:widowControl/>
        <w:spacing w:line="400" w:lineRule="atLeast"/>
        <w:ind w:firstLine="480" w:firstLineChars="200"/>
        <w:rPr>
          <w:color w:val="000000"/>
          <w:sz w:val="24"/>
        </w:rPr>
      </w:pPr>
      <w:r>
        <w:rPr>
          <w:rFonts w:hint="eastAsia"/>
          <w:color w:val="000000"/>
          <w:sz w:val="24"/>
        </w:rPr>
        <w:t>1.5 审方中心</w:t>
      </w:r>
      <w:r>
        <w:rPr>
          <w:rFonts w:hint="eastAsia"/>
          <w:color w:val="000000"/>
          <w:sz w:val="24"/>
          <w:lang w:val="en-US" w:eastAsia="zh-CN"/>
        </w:rPr>
        <w:t>数据对接</w:t>
      </w:r>
      <w:r>
        <w:rPr>
          <w:rFonts w:hint="eastAsia"/>
          <w:color w:val="000000"/>
          <w:sz w:val="24"/>
        </w:rPr>
        <w:t>▲</w:t>
      </w:r>
    </w:p>
    <w:p w14:paraId="57249355">
      <w:pPr>
        <w:widowControl/>
        <w:spacing w:line="400" w:lineRule="atLeast"/>
        <w:ind w:firstLine="480" w:firstLineChars="200"/>
        <w:rPr>
          <w:rFonts w:hint="default" w:eastAsia="宋体"/>
          <w:color w:val="000000"/>
          <w:sz w:val="24"/>
          <w:lang w:val="en-US" w:eastAsia="zh-CN"/>
        </w:rPr>
      </w:pPr>
      <w:r>
        <w:rPr>
          <w:rFonts w:hint="eastAsia"/>
          <w:color w:val="000000"/>
          <w:sz w:val="24"/>
          <w:lang w:val="en-US" w:eastAsia="zh-CN"/>
        </w:rPr>
        <w:t>将铜山、泉山区内医疗单位数据接入徐州市第一人民医院医疗集团药事审方中心平台。</w:t>
      </w:r>
    </w:p>
    <w:p w14:paraId="6EAFF2E8">
      <w:pPr>
        <w:widowControl/>
        <w:spacing w:line="400" w:lineRule="atLeast"/>
        <w:ind w:firstLine="480" w:firstLineChars="200"/>
        <w:rPr>
          <w:rFonts w:hint="eastAsia"/>
          <w:color w:val="000000"/>
          <w:sz w:val="24"/>
        </w:rPr>
      </w:pPr>
      <w:r>
        <w:rPr>
          <w:rFonts w:hint="eastAsia"/>
          <w:color w:val="000000"/>
          <w:sz w:val="24"/>
        </w:rPr>
        <w:t>2 运营管理中心</w:t>
      </w:r>
    </w:p>
    <w:p w14:paraId="6F0691B5">
      <w:pPr>
        <w:widowControl/>
        <w:spacing w:line="400" w:lineRule="atLeast"/>
        <w:ind w:firstLine="480" w:firstLineChars="200"/>
        <w:rPr>
          <w:rFonts w:hint="eastAsia"/>
          <w:color w:val="000000"/>
          <w:sz w:val="24"/>
        </w:rPr>
      </w:pPr>
      <w:r>
        <w:rPr>
          <w:rFonts w:hint="eastAsia"/>
          <w:color w:val="000000"/>
          <w:sz w:val="24"/>
        </w:rPr>
        <w:t>2.1 服务网络管理</w:t>
      </w:r>
    </w:p>
    <w:p w14:paraId="6A10CE74">
      <w:pPr>
        <w:widowControl/>
        <w:spacing w:line="400" w:lineRule="atLeast"/>
        <w:ind w:firstLine="480" w:firstLineChars="200"/>
        <w:rPr>
          <w:rFonts w:hint="eastAsia"/>
          <w:color w:val="000000"/>
          <w:sz w:val="24"/>
        </w:rPr>
      </w:pPr>
      <w:r>
        <w:rPr>
          <w:rFonts w:hint="eastAsia"/>
          <w:color w:val="000000"/>
          <w:sz w:val="24"/>
        </w:rPr>
        <w:t>2.1.1 医疗服务网络管理▲</w:t>
      </w:r>
    </w:p>
    <w:p w14:paraId="21CD222B">
      <w:pPr>
        <w:widowControl/>
        <w:spacing w:line="400" w:lineRule="atLeast"/>
        <w:ind w:firstLine="480" w:firstLineChars="200"/>
        <w:rPr>
          <w:rFonts w:hint="eastAsia"/>
          <w:color w:val="000000"/>
          <w:sz w:val="24"/>
        </w:rPr>
      </w:pPr>
      <w:r>
        <w:rPr>
          <w:rFonts w:hint="eastAsia"/>
          <w:color w:val="000000"/>
          <w:sz w:val="24"/>
        </w:rPr>
        <w:t>需支持通过平台设置多个医疗服务网络，通过服务网络限定医疗资源的供需关系。支持由多家医疗机构创建组成医疗服务网络，支持管理服务网络使用状态。</w:t>
      </w:r>
    </w:p>
    <w:p w14:paraId="55A47FEC">
      <w:pPr>
        <w:widowControl/>
        <w:spacing w:line="400" w:lineRule="atLeast"/>
        <w:ind w:firstLine="480" w:firstLineChars="200"/>
        <w:rPr>
          <w:rFonts w:hint="eastAsia"/>
          <w:color w:val="000000"/>
          <w:sz w:val="24"/>
        </w:rPr>
      </w:pPr>
      <w:r>
        <w:rPr>
          <w:rFonts w:hint="eastAsia"/>
          <w:color w:val="000000"/>
          <w:sz w:val="24"/>
        </w:rPr>
        <w:t>2.1.2 医疗服务协议管理▲</w:t>
      </w:r>
    </w:p>
    <w:p w14:paraId="22CC5255">
      <w:pPr>
        <w:widowControl/>
        <w:spacing w:line="400" w:lineRule="atLeast"/>
        <w:ind w:firstLine="480" w:firstLineChars="200"/>
        <w:rPr>
          <w:rFonts w:hint="eastAsia"/>
          <w:color w:val="000000"/>
          <w:sz w:val="24"/>
        </w:rPr>
      </w:pPr>
      <w:r>
        <w:rPr>
          <w:rFonts w:hint="eastAsia"/>
          <w:color w:val="000000"/>
          <w:sz w:val="24"/>
        </w:rPr>
        <w:t>需支持医疗机构间签订服务协议，明确提供的服务资源范围及服务项目价格，服务协议将会在费用结算时起到作用。支持本地资源目录查询资源批量添加，定向网络服务协议定价，支持服务投放和撤销，服务操作支持服务履历记录，支持对服务协议进行批量折扣。</w:t>
      </w:r>
    </w:p>
    <w:p w14:paraId="137F594E">
      <w:pPr>
        <w:widowControl/>
        <w:spacing w:line="400" w:lineRule="atLeast"/>
        <w:ind w:firstLine="480" w:firstLineChars="200"/>
        <w:rPr>
          <w:rFonts w:hint="eastAsia"/>
          <w:color w:val="000000"/>
          <w:sz w:val="24"/>
        </w:rPr>
      </w:pPr>
      <w:r>
        <w:rPr>
          <w:rFonts w:hint="eastAsia"/>
          <w:color w:val="000000"/>
          <w:sz w:val="24"/>
        </w:rPr>
        <w:t>2.2 服务资源管理</w:t>
      </w:r>
    </w:p>
    <w:p w14:paraId="1791B152">
      <w:pPr>
        <w:widowControl/>
        <w:spacing w:line="400" w:lineRule="atLeast"/>
        <w:ind w:firstLine="480" w:firstLineChars="200"/>
        <w:rPr>
          <w:rFonts w:hint="eastAsia"/>
          <w:color w:val="000000"/>
          <w:sz w:val="24"/>
        </w:rPr>
      </w:pPr>
      <w:r>
        <w:rPr>
          <w:rFonts w:hint="eastAsia"/>
          <w:color w:val="000000"/>
          <w:sz w:val="24"/>
        </w:rPr>
        <w:t>2.2.1 标准资源目录管理</w:t>
      </w:r>
    </w:p>
    <w:p w14:paraId="4B4C622B">
      <w:pPr>
        <w:widowControl/>
        <w:spacing w:line="400" w:lineRule="atLeast"/>
        <w:ind w:firstLine="480" w:firstLineChars="200"/>
        <w:rPr>
          <w:rFonts w:hint="eastAsia"/>
          <w:color w:val="000000"/>
          <w:sz w:val="24"/>
        </w:rPr>
      </w:pPr>
      <w:r>
        <w:rPr>
          <w:rFonts w:hint="eastAsia"/>
          <w:color w:val="000000"/>
          <w:sz w:val="24"/>
        </w:rPr>
        <w:t>需支持管理创建多种类型下不同服务内容的资源标准，支持维护服务支持的具体明细，支持维护资源服务标准价格限制范围，指定标准资源服务的投放标准。</w:t>
      </w:r>
    </w:p>
    <w:p w14:paraId="4C5EDB1F">
      <w:pPr>
        <w:widowControl/>
        <w:spacing w:line="400" w:lineRule="atLeast"/>
        <w:ind w:firstLine="480" w:firstLineChars="200"/>
        <w:rPr>
          <w:rFonts w:hint="eastAsia"/>
          <w:color w:val="000000"/>
          <w:sz w:val="24"/>
        </w:rPr>
      </w:pPr>
      <w:r>
        <w:rPr>
          <w:rFonts w:hint="eastAsia"/>
          <w:color w:val="000000"/>
          <w:sz w:val="24"/>
        </w:rPr>
        <w:t>2.2.2 本地资源目录管理</w:t>
      </w:r>
    </w:p>
    <w:p w14:paraId="6E090362">
      <w:pPr>
        <w:widowControl/>
        <w:spacing w:line="400" w:lineRule="atLeast"/>
        <w:ind w:firstLine="480" w:firstLineChars="200"/>
        <w:rPr>
          <w:rFonts w:hint="eastAsia"/>
          <w:color w:val="000000"/>
          <w:sz w:val="24"/>
        </w:rPr>
      </w:pPr>
      <w:r>
        <w:rPr>
          <w:rFonts w:hint="eastAsia"/>
          <w:color w:val="000000"/>
          <w:sz w:val="24"/>
        </w:rPr>
        <w:t>需支持医疗机构内部管理本地资源投放范围，支持根据标准资源目录选取匹配本地资源目录，支持合作医疗机构从维护的本地资源服务目录中选择投放提供的服务项目，并对相关服务项目的本地价格等属性进行维护。</w:t>
      </w:r>
    </w:p>
    <w:p w14:paraId="6AD3BF9C">
      <w:pPr>
        <w:widowControl/>
        <w:spacing w:line="400" w:lineRule="atLeast"/>
        <w:ind w:firstLine="480" w:firstLineChars="200"/>
        <w:rPr>
          <w:rFonts w:hint="eastAsia"/>
          <w:color w:val="000000"/>
          <w:sz w:val="24"/>
        </w:rPr>
      </w:pPr>
      <w:r>
        <w:rPr>
          <w:rFonts w:hint="eastAsia"/>
          <w:color w:val="000000"/>
          <w:sz w:val="24"/>
        </w:rPr>
        <w:t>3 双向转诊监管中心▲</w:t>
      </w:r>
    </w:p>
    <w:p w14:paraId="586AAAFF">
      <w:pPr>
        <w:widowControl/>
        <w:spacing w:line="400" w:lineRule="atLeast"/>
        <w:ind w:firstLine="480" w:firstLineChars="200"/>
        <w:rPr>
          <w:rFonts w:hint="eastAsia"/>
          <w:color w:val="000000"/>
          <w:sz w:val="24"/>
        </w:rPr>
      </w:pPr>
      <w:r>
        <w:rPr>
          <w:rFonts w:hint="eastAsia"/>
          <w:color w:val="000000"/>
          <w:sz w:val="24"/>
        </w:rPr>
        <w:t>需支持双向转诊的情况进行监管，包括上转申请例数、下转申请例数、转诊机构情况、转诊科室情况、转诊申请例数等指标，支持按时间查询。</w:t>
      </w:r>
    </w:p>
    <w:p w14:paraId="0F2EE510">
      <w:pPr>
        <w:widowControl/>
        <w:spacing w:line="400" w:lineRule="atLeast"/>
        <w:ind w:firstLine="480" w:firstLineChars="200"/>
        <w:rPr>
          <w:rFonts w:hint="eastAsia"/>
          <w:color w:val="000000"/>
          <w:sz w:val="24"/>
        </w:rPr>
      </w:pPr>
      <w:r>
        <w:rPr>
          <w:rFonts w:hint="eastAsia"/>
          <w:color w:val="000000"/>
          <w:sz w:val="24"/>
        </w:rPr>
        <w:t>4 对接设计</w:t>
      </w:r>
      <w:r>
        <w:rPr>
          <w:rFonts w:hint="eastAsia" w:ascii="宋体" w:hAnsi="宋体"/>
          <w:sz w:val="24"/>
        </w:rPr>
        <w:t>★</w:t>
      </w:r>
    </w:p>
    <w:p w14:paraId="36254668">
      <w:pPr>
        <w:widowControl/>
        <w:spacing w:line="400" w:lineRule="atLeast"/>
        <w:ind w:firstLine="480" w:firstLineChars="200"/>
        <w:rPr>
          <w:rFonts w:hint="eastAsia"/>
          <w:color w:val="0000FF"/>
          <w:sz w:val="24"/>
        </w:rPr>
      </w:pPr>
      <w:r>
        <w:rPr>
          <w:rFonts w:hint="eastAsia"/>
          <w:color w:val="0000FF"/>
          <w:sz w:val="24"/>
          <w:lang w:val="en-US" w:eastAsia="zh-CN"/>
        </w:rPr>
        <w:t>泉山、</w:t>
      </w:r>
      <w:r>
        <w:rPr>
          <w:rFonts w:hint="eastAsia"/>
          <w:color w:val="0000FF"/>
          <w:sz w:val="24"/>
        </w:rPr>
        <w:t>铜山</w:t>
      </w:r>
      <w:r>
        <w:rPr>
          <w:rFonts w:hint="eastAsia"/>
          <w:color w:val="0000FF"/>
          <w:sz w:val="24"/>
          <w:lang w:val="en-US" w:eastAsia="zh-CN"/>
        </w:rPr>
        <w:t>区</w:t>
      </w:r>
      <w:r>
        <w:rPr>
          <w:rFonts w:hint="eastAsia"/>
          <w:color w:val="0000FF"/>
          <w:sz w:val="24"/>
        </w:rPr>
        <w:t>基层</w:t>
      </w:r>
      <w:r>
        <w:rPr>
          <w:rFonts w:hint="eastAsia"/>
          <w:color w:val="0000FF"/>
          <w:sz w:val="24"/>
          <w:lang w:val="en-US" w:eastAsia="zh-CN"/>
        </w:rPr>
        <w:t>医疗机构全量</w:t>
      </w:r>
      <w:r>
        <w:rPr>
          <w:rFonts w:hint="eastAsia"/>
          <w:color w:val="0000FF"/>
          <w:sz w:val="24"/>
        </w:rPr>
        <w:t>数据对接集团数据大平台。</w:t>
      </w:r>
    </w:p>
    <w:p w14:paraId="058F5BAF">
      <w:pPr>
        <w:widowControl/>
        <w:spacing w:line="400" w:lineRule="atLeast"/>
        <w:ind w:firstLine="482" w:firstLineChars="200"/>
        <w:rPr>
          <w:b/>
          <w:bCs/>
          <w:color w:val="000000"/>
          <w:sz w:val="24"/>
        </w:rPr>
      </w:pPr>
      <w:r>
        <w:rPr>
          <w:rFonts w:hint="eastAsia"/>
          <w:b/>
          <w:bCs/>
          <w:color w:val="000000"/>
          <w:sz w:val="24"/>
        </w:rPr>
        <w:t>四、系统建设要求</w:t>
      </w:r>
    </w:p>
    <w:p w14:paraId="0612511A">
      <w:pPr>
        <w:spacing w:before="60" w:after="60" w:line="360" w:lineRule="auto"/>
        <w:ind w:firstLine="480"/>
        <w:rPr>
          <w:rFonts w:hint="eastAsia" w:ascii="宋体" w:hAnsi="宋体"/>
          <w:sz w:val="24"/>
        </w:rPr>
      </w:pPr>
      <w:r>
        <w:rPr>
          <w:rFonts w:hint="eastAsia" w:ascii="宋体" w:hAnsi="宋体"/>
          <w:sz w:val="24"/>
        </w:rPr>
        <w:t>要求利用云大物移等技术，为平台建设及相关应用提供信息化技术支撑和价值服务的载体。</w:t>
      </w:r>
    </w:p>
    <w:p w14:paraId="07BE155C">
      <w:pPr>
        <w:spacing w:before="60" w:after="60" w:line="360" w:lineRule="auto"/>
        <w:ind w:firstLine="480"/>
        <w:rPr>
          <w:rFonts w:hint="eastAsia" w:ascii="宋体" w:hAnsi="宋体"/>
          <w:sz w:val="24"/>
        </w:rPr>
      </w:pPr>
      <w:r>
        <w:rPr>
          <w:rFonts w:hint="eastAsia" w:ascii="宋体" w:hAnsi="宋体"/>
          <w:sz w:val="24"/>
        </w:rPr>
        <w:t>1、研发技术要求★</w:t>
      </w:r>
    </w:p>
    <w:p w14:paraId="224625C4">
      <w:pPr>
        <w:spacing w:before="60" w:after="60" w:line="360" w:lineRule="auto"/>
        <w:ind w:firstLine="480"/>
        <w:rPr>
          <w:rFonts w:hint="eastAsia" w:ascii="宋体" w:hAnsi="宋体"/>
          <w:sz w:val="24"/>
        </w:rPr>
      </w:pPr>
      <w:r>
        <w:rPr>
          <w:rFonts w:hint="eastAsia" w:ascii="宋体" w:hAnsi="宋体"/>
          <w:sz w:val="24"/>
        </w:rPr>
        <w:t>总体技术路线要遵循面向服务的SOA设计原则和技术标准，采用B/S模式架构体系，提供数据集成、应用集成、流程集成、界面集成以及服务集成等技术手段，实现各子项目的总集成。在系统设计中，应充分考虑医疗健康业务的特殊性和复杂性，确保系统的总体性能满足用户要求，不发生长时间业务中断、阻塞、死锁等情况。系统采用面向性能的设计原则，以相应的技术保证整个系统高效运行，并制定系统优化策略和方案，确保在今后一段时期内业务增长的情况下，系统仍具有较高的性能。</w:t>
      </w:r>
    </w:p>
    <w:p w14:paraId="7823A4A5">
      <w:pPr>
        <w:spacing w:before="60" w:after="60" w:line="360" w:lineRule="auto"/>
        <w:ind w:firstLine="480"/>
        <w:rPr>
          <w:rFonts w:hint="eastAsia" w:ascii="宋体" w:hAnsi="宋体"/>
          <w:sz w:val="24"/>
        </w:rPr>
      </w:pPr>
      <w:r>
        <w:rPr>
          <w:rFonts w:hint="eastAsia" w:ascii="宋体" w:hAnsi="宋体"/>
          <w:sz w:val="24"/>
        </w:rPr>
        <w:t>2、体系架构要求</w:t>
      </w:r>
    </w:p>
    <w:p w14:paraId="0A7042FC">
      <w:pPr>
        <w:spacing w:before="60" w:after="60" w:line="360" w:lineRule="auto"/>
        <w:ind w:firstLine="480"/>
        <w:rPr>
          <w:rFonts w:hint="eastAsia" w:ascii="宋体" w:hAnsi="宋体"/>
          <w:sz w:val="24"/>
        </w:rPr>
      </w:pPr>
      <w:r>
        <w:rPr>
          <w:rFonts w:hint="eastAsia" w:ascii="宋体" w:hAnsi="宋体"/>
          <w:sz w:val="24"/>
        </w:rPr>
        <w:t>本项目所开发的软件应遵循国家、省、市（区县）关于分级诊疗平台的顶层设计，整体构架应具备易部署、易管理和易使用的特点，既要保持核心架构的稳定性，又要满足用户个性化需求以及整体安全性等方面的需要，同时兼顾系统的可用性、可靠性和可扩展性。</w:t>
      </w:r>
    </w:p>
    <w:p w14:paraId="0FC66689">
      <w:pPr>
        <w:spacing w:before="60" w:after="60" w:line="360" w:lineRule="auto"/>
        <w:ind w:firstLine="480"/>
        <w:rPr>
          <w:rFonts w:hint="eastAsia" w:ascii="宋体" w:hAnsi="宋体"/>
          <w:sz w:val="24"/>
        </w:rPr>
      </w:pPr>
      <w:r>
        <w:rPr>
          <w:rFonts w:hint="eastAsia" w:ascii="宋体" w:hAnsi="宋体"/>
          <w:sz w:val="24"/>
        </w:rPr>
        <w:t>其主要技术路线包括：</w:t>
      </w:r>
    </w:p>
    <w:p w14:paraId="495856F5">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基于</w:t>
      </w:r>
      <w:r>
        <w:rPr>
          <w:rFonts w:ascii="宋体" w:hAnsi="宋体"/>
          <w:sz w:val="24"/>
        </w:rPr>
        <w:t>SOA</w:t>
      </w:r>
      <w:r>
        <w:rPr>
          <w:rFonts w:hint="eastAsia" w:ascii="宋体" w:hAnsi="宋体"/>
          <w:sz w:val="24"/>
        </w:rPr>
        <w:t>的架构、通过服务方式来连接异构系统；</w:t>
      </w:r>
    </w:p>
    <w:p w14:paraId="5D0CCFE4">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应用系统基于</w:t>
      </w:r>
      <w:r>
        <w:rPr>
          <w:rFonts w:ascii="宋体" w:hAnsi="宋体"/>
          <w:sz w:val="24"/>
        </w:rPr>
        <w:t>B/S</w:t>
      </w:r>
      <w:r>
        <w:rPr>
          <w:rFonts w:hint="eastAsia" w:ascii="宋体" w:hAnsi="宋体"/>
          <w:sz w:val="24"/>
        </w:rPr>
        <w:t>架构，基于</w:t>
      </w:r>
      <w:r>
        <w:rPr>
          <w:rFonts w:ascii="宋体" w:hAnsi="宋体"/>
          <w:sz w:val="24"/>
        </w:rPr>
        <w:t>J2EE</w:t>
      </w:r>
      <w:r>
        <w:rPr>
          <w:rFonts w:hint="eastAsia" w:ascii="宋体" w:hAnsi="宋体"/>
          <w:sz w:val="24"/>
        </w:rPr>
        <w:t>体系开发；</w:t>
      </w:r>
    </w:p>
    <w:p w14:paraId="4F904454">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基于云计算的核心思想，将大量用网络连接的计算资源统一管理和调度，构成一个计算资源池向用户按需服务；</w:t>
      </w:r>
    </w:p>
    <w:p w14:paraId="6C9A36EF">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采用标准和开放的技术。系统设计要遵循国家卫生技术标准和规范以及国家电子政务标准化指南及相关标准，采用先进、开放的技术，支持主流厂商的硬件和操作系统平台。考虑降低技术风险以及特定供应商的依赖性，有利于保持系统的向后兼容性、可集成性和可扩展性；</w:t>
      </w:r>
    </w:p>
    <w:p w14:paraId="733A68A8">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关键服务组件的标准化：必须严格遵循国家卫健委相关标准，以保证基础信息的一致性、身份识别唯一性、个人隐私的安全性、数据共享和交换的可定义性，最终保证系统建成后的互联互通和信息共享；</w:t>
      </w:r>
    </w:p>
    <w:p w14:paraId="22CDDC5C">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采用门户架构技术，把各种应用系统、数据资源和其他各类资源统一集成到通用门户之下，通过权限管理为不同用户展现个性化的应用界面和业务功能，并通过对事件和消息的处理传输把用户有机地联系在一起；</w:t>
      </w:r>
    </w:p>
    <w:p w14:paraId="4E8B7B7B">
      <w:pPr>
        <w:pStyle w:val="10"/>
        <w:numPr>
          <w:ilvl w:val="0"/>
          <w:numId w:val="1"/>
        </w:numPr>
        <w:spacing w:before="60" w:after="60" w:line="360" w:lineRule="auto"/>
        <w:contextualSpacing w:val="0"/>
        <w:rPr>
          <w:rFonts w:hint="eastAsia" w:ascii="宋体" w:hAnsi="宋体"/>
          <w:sz w:val="24"/>
        </w:rPr>
      </w:pPr>
      <w:r>
        <w:rPr>
          <w:rFonts w:hint="eastAsia" w:ascii="宋体" w:hAnsi="宋体"/>
          <w:sz w:val="24"/>
        </w:rPr>
        <w:t>能稳定、高效的支持区域内的所有医疗机构同时联网运行；保证数据高效、稳定、完整传输。</w:t>
      </w:r>
    </w:p>
    <w:p w14:paraId="580CF127">
      <w:pPr>
        <w:spacing w:before="60" w:after="60" w:line="360" w:lineRule="auto"/>
        <w:ind w:firstLine="480"/>
        <w:rPr>
          <w:rFonts w:hint="eastAsia" w:ascii="宋体" w:hAnsi="宋体"/>
          <w:sz w:val="24"/>
        </w:rPr>
      </w:pPr>
      <w:r>
        <w:rPr>
          <w:rFonts w:ascii="宋体" w:hAnsi="宋体"/>
          <w:sz w:val="24"/>
        </w:rPr>
        <w:t>3</w:t>
      </w:r>
      <w:r>
        <w:rPr>
          <w:rFonts w:hint="eastAsia" w:ascii="宋体" w:hAnsi="宋体"/>
          <w:sz w:val="24"/>
        </w:rPr>
        <w:t>、系统性能要求</w:t>
      </w:r>
    </w:p>
    <w:p w14:paraId="038C4C59">
      <w:pPr>
        <w:pStyle w:val="10"/>
        <w:numPr>
          <w:ilvl w:val="0"/>
          <w:numId w:val="2"/>
        </w:numPr>
        <w:spacing w:before="60" w:after="60" w:line="360" w:lineRule="auto"/>
        <w:contextualSpacing w:val="0"/>
        <w:rPr>
          <w:rFonts w:hint="eastAsia" w:ascii="宋体" w:hAnsi="宋体"/>
          <w:sz w:val="24"/>
        </w:rPr>
      </w:pPr>
      <w:r>
        <w:rPr>
          <w:rFonts w:ascii="宋体" w:hAnsi="宋体"/>
          <w:sz w:val="24"/>
        </w:rPr>
        <w:t>B/S</w:t>
      </w:r>
      <w:r>
        <w:rPr>
          <w:rFonts w:hint="eastAsia" w:ascii="宋体" w:hAnsi="宋体"/>
          <w:sz w:val="24"/>
        </w:rPr>
        <w:t>架构类应用应能支持</w:t>
      </w:r>
      <w:r>
        <w:rPr>
          <w:rFonts w:ascii="宋体" w:hAnsi="宋体"/>
          <w:sz w:val="24"/>
        </w:rPr>
        <w:t>500</w:t>
      </w:r>
      <w:r>
        <w:rPr>
          <w:rFonts w:hint="eastAsia" w:ascii="宋体" w:hAnsi="宋体"/>
          <w:sz w:val="24"/>
        </w:rPr>
        <w:t>个以上并发用户的访问；</w:t>
      </w:r>
    </w:p>
    <w:p w14:paraId="3859AA61">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相关系统应提供良好的前台单笔业务（交易）响应时间、后台每秒业务（交易）处理笔数的匹配关系，每笔业务（交易）处理时间应在</w:t>
      </w:r>
      <w:r>
        <w:rPr>
          <w:rFonts w:ascii="宋体" w:hAnsi="宋体"/>
          <w:sz w:val="24"/>
        </w:rPr>
        <w:t>5</w:t>
      </w:r>
      <w:r>
        <w:rPr>
          <w:rFonts w:hint="eastAsia" w:ascii="宋体" w:hAnsi="宋体"/>
          <w:sz w:val="24"/>
        </w:rPr>
        <w:t>秒内完成；</w:t>
      </w:r>
    </w:p>
    <w:p w14:paraId="62EA1FFB">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批量数据采集及交换，每分钟不低于</w:t>
      </w:r>
      <w:r>
        <w:rPr>
          <w:rFonts w:ascii="宋体" w:hAnsi="宋体"/>
          <w:sz w:val="24"/>
        </w:rPr>
        <w:t>10000</w:t>
      </w:r>
      <w:r>
        <w:rPr>
          <w:rFonts w:hint="eastAsia" w:ascii="宋体" w:hAnsi="宋体"/>
          <w:sz w:val="24"/>
        </w:rPr>
        <w:t>条；在万兆带宽条件下，支持从外部数据源导入到数据库，平均每节点的导入速度能够达到</w:t>
      </w:r>
      <w:r>
        <w:rPr>
          <w:rFonts w:ascii="宋体" w:hAnsi="宋体"/>
          <w:sz w:val="24"/>
        </w:rPr>
        <w:t>100MB/s</w:t>
      </w:r>
      <w:r>
        <w:rPr>
          <w:rFonts w:hint="eastAsia" w:ascii="宋体" w:hAnsi="宋体"/>
          <w:sz w:val="24"/>
        </w:rPr>
        <w:t>；</w:t>
      </w:r>
    </w:p>
    <w:p w14:paraId="4AD9CABB">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系统应能支持百万级数据规模的快速存储和查询，其中，千条数据以内的数据加载和存储，平均响应时间在</w:t>
      </w:r>
      <w:r>
        <w:rPr>
          <w:rFonts w:ascii="宋体" w:hAnsi="宋体"/>
          <w:sz w:val="24"/>
        </w:rPr>
        <w:t>5</w:t>
      </w:r>
      <w:r>
        <w:rPr>
          <w:rFonts w:hint="eastAsia" w:ascii="宋体" w:hAnsi="宋体"/>
          <w:sz w:val="24"/>
        </w:rPr>
        <w:t>秒之内；千条数据以内的统计，平均响应时间在</w:t>
      </w:r>
      <w:r>
        <w:rPr>
          <w:rFonts w:ascii="宋体" w:hAnsi="宋体"/>
          <w:sz w:val="24"/>
        </w:rPr>
        <w:t>10</w:t>
      </w:r>
      <w:r>
        <w:rPr>
          <w:rFonts w:hint="eastAsia" w:ascii="宋体" w:hAnsi="宋体"/>
          <w:sz w:val="24"/>
        </w:rPr>
        <w:t>秒之内；</w:t>
      </w:r>
    </w:p>
    <w:p w14:paraId="20434D04">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结构化数据服务，单数据节点</w:t>
      </w:r>
      <w:r>
        <w:rPr>
          <w:rFonts w:ascii="宋体" w:hAnsi="宋体"/>
          <w:sz w:val="24"/>
        </w:rPr>
        <w:t>QPS</w:t>
      </w:r>
      <w:r>
        <w:rPr>
          <w:rFonts w:hint="eastAsia" w:ascii="宋体" w:hAnsi="宋体"/>
          <w:sz w:val="24"/>
        </w:rPr>
        <w:t>：</w:t>
      </w:r>
      <w:r>
        <w:rPr>
          <w:rFonts w:ascii="宋体" w:hAnsi="宋体"/>
          <w:sz w:val="24"/>
        </w:rPr>
        <w:t>10000QPS</w:t>
      </w:r>
      <w:r>
        <w:rPr>
          <w:rFonts w:hint="eastAsia" w:ascii="宋体" w:hAnsi="宋体"/>
          <w:sz w:val="24"/>
        </w:rPr>
        <w:t>，结构化数据服务，随机单行读写延时：小于</w:t>
      </w:r>
      <w:r>
        <w:rPr>
          <w:rFonts w:ascii="宋体" w:hAnsi="宋体"/>
          <w:sz w:val="24"/>
        </w:rPr>
        <w:t>10ms</w:t>
      </w:r>
      <w:r>
        <w:rPr>
          <w:rFonts w:hint="eastAsia" w:ascii="宋体" w:hAnsi="宋体"/>
          <w:sz w:val="24"/>
        </w:rPr>
        <w:t>；</w:t>
      </w:r>
    </w:p>
    <w:p w14:paraId="50EE4734">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分布式全文索引引擎入库性能单节点</w:t>
      </w:r>
      <w:r>
        <w:rPr>
          <w:rFonts w:ascii="宋体" w:hAnsi="宋体"/>
          <w:sz w:val="24"/>
        </w:rPr>
        <w:t xml:space="preserve"> &gt; 8000</w:t>
      </w:r>
      <w:r>
        <w:rPr>
          <w:rFonts w:hint="eastAsia" w:ascii="宋体" w:hAnsi="宋体"/>
          <w:sz w:val="24"/>
        </w:rPr>
        <w:t>条每秒；</w:t>
      </w:r>
    </w:p>
    <w:p w14:paraId="602E6AEF">
      <w:pPr>
        <w:pStyle w:val="10"/>
        <w:numPr>
          <w:ilvl w:val="0"/>
          <w:numId w:val="2"/>
        </w:numPr>
        <w:spacing w:before="60" w:after="60" w:line="360" w:lineRule="auto"/>
        <w:contextualSpacing w:val="0"/>
        <w:rPr>
          <w:rFonts w:hint="eastAsia" w:ascii="宋体" w:hAnsi="宋体"/>
          <w:sz w:val="24"/>
        </w:rPr>
      </w:pPr>
      <w:r>
        <w:rPr>
          <w:rFonts w:hint="eastAsia" w:ascii="宋体" w:hAnsi="宋体"/>
          <w:sz w:val="24"/>
        </w:rPr>
        <w:t>平台应能提供</w:t>
      </w:r>
      <w:r>
        <w:rPr>
          <w:rFonts w:ascii="宋体" w:hAnsi="宋体"/>
          <w:sz w:val="24"/>
        </w:rPr>
        <w:t>7×24</w:t>
      </w:r>
      <w:r>
        <w:rPr>
          <w:rFonts w:hint="eastAsia" w:ascii="宋体" w:hAnsi="宋体"/>
          <w:sz w:val="24"/>
        </w:rPr>
        <w:t>小时的连续运行。</w:t>
      </w:r>
    </w:p>
    <w:p w14:paraId="6FC932E1">
      <w:pPr>
        <w:spacing w:before="60" w:after="60" w:line="360" w:lineRule="auto"/>
        <w:ind w:firstLine="480"/>
        <w:rPr>
          <w:rFonts w:hint="eastAsia" w:ascii="宋体" w:hAnsi="宋体"/>
          <w:sz w:val="24"/>
        </w:rPr>
      </w:pPr>
      <w:r>
        <w:rPr>
          <w:rFonts w:ascii="宋体" w:hAnsi="宋体"/>
          <w:sz w:val="24"/>
        </w:rPr>
        <w:t>4</w:t>
      </w:r>
      <w:r>
        <w:rPr>
          <w:rFonts w:hint="eastAsia" w:ascii="宋体" w:hAnsi="宋体"/>
          <w:sz w:val="24"/>
        </w:rPr>
        <w:t>、系统安全要求★</w:t>
      </w:r>
    </w:p>
    <w:p w14:paraId="14B1DCB3">
      <w:pPr>
        <w:spacing w:before="60" w:after="60" w:line="360" w:lineRule="auto"/>
        <w:ind w:firstLine="480"/>
        <w:rPr>
          <w:rFonts w:hint="eastAsia" w:ascii="宋体" w:hAnsi="宋体"/>
          <w:sz w:val="24"/>
        </w:rPr>
      </w:pPr>
      <w:r>
        <w:rPr>
          <w:rFonts w:hint="eastAsia" w:ascii="宋体" w:hAnsi="宋体"/>
          <w:sz w:val="24"/>
        </w:rPr>
        <w:t>盘锦市全民健康信息平台项目的系统安全应达到我国计算机信息系统安全保护等级划分准则中规定的等保三级2.0安全要求进行安全保障。</w:t>
      </w:r>
    </w:p>
    <w:p w14:paraId="066C755B">
      <w:pPr>
        <w:spacing w:before="60" w:after="60" w:line="360" w:lineRule="auto"/>
        <w:ind w:firstLine="480"/>
        <w:rPr>
          <w:rFonts w:hint="eastAsia" w:ascii="宋体" w:hAnsi="宋体"/>
          <w:sz w:val="24"/>
        </w:rPr>
      </w:pPr>
      <w:r>
        <w:rPr>
          <w:rFonts w:hint="eastAsia" w:ascii="宋体" w:hAnsi="宋体"/>
          <w:sz w:val="24"/>
        </w:rPr>
        <w:t>信息安全建设的目标是支撑和保障基层信息管理系统和业务的安全稳定运行，防止信息网络瘫痪、防止应用系统破坏、防止业务数据丢失、防止卫生信息泄密、防止终端病毒感染、防止有害信息传播、防止恶意渗透攻击，以确保信息系统安全稳定运行，确保业务数据安全。</w:t>
      </w:r>
    </w:p>
    <w:p w14:paraId="09DECBA0">
      <w:pPr>
        <w:pStyle w:val="10"/>
        <w:numPr>
          <w:ilvl w:val="0"/>
          <w:numId w:val="3"/>
        </w:numPr>
        <w:spacing w:before="60" w:after="60" w:line="360" w:lineRule="auto"/>
        <w:contextualSpacing w:val="0"/>
        <w:rPr>
          <w:rFonts w:hint="eastAsia" w:ascii="宋体" w:hAnsi="宋体"/>
          <w:sz w:val="24"/>
        </w:rPr>
      </w:pPr>
      <w:r>
        <w:rPr>
          <w:rFonts w:hint="eastAsia" w:ascii="宋体" w:hAnsi="宋体"/>
          <w:sz w:val="24"/>
        </w:rPr>
        <w:t>系统安全访问功能要求：应具有权限管理、身份认证和访问控制功能；</w:t>
      </w:r>
    </w:p>
    <w:p w14:paraId="43366901">
      <w:pPr>
        <w:pStyle w:val="10"/>
        <w:numPr>
          <w:ilvl w:val="0"/>
          <w:numId w:val="3"/>
        </w:numPr>
        <w:spacing w:before="60" w:after="60" w:line="360" w:lineRule="auto"/>
        <w:contextualSpacing w:val="0"/>
        <w:rPr>
          <w:rFonts w:hint="eastAsia" w:ascii="宋体" w:hAnsi="宋体"/>
          <w:sz w:val="24"/>
        </w:rPr>
      </w:pPr>
      <w:r>
        <w:rPr>
          <w:rFonts w:hint="eastAsia" w:ascii="宋体" w:hAnsi="宋体"/>
          <w:sz w:val="24"/>
        </w:rPr>
        <w:t>重要数据修改日志功能：对重要数据保留修改记录，提供修改日志查询；</w:t>
      </w:r>
    </w:p>
    <w:p w14:paraId="196727D4">
      <w:pPr>
        <w:pStyle w:val="10"/>
        <w:numPr>
          <w:ilvl w:val="0"/>
          <w:numId w:val="3"/>
        </w:numPr>
        <w:spacing w:before="60" w:after="60" w:line="360" w:lineRule="auto"/>
        <w:contextualSpacing w:val="0"/>
        <w:rPr>
          <w:rFonts w:hint="eastAsia" w:ascii="宋体" w:hAnsi="宋体"/>
          <w:sz w:val="24"/>
        </w:rPr>
      </w:pPr>
      <w:r>
        <w:rPr>
          <w:rFonts w:hint="eastAsia" w:ascii="宋体" w:hAnsi="宋体"/>
          <w:sz w:val="24"/>
        </w:rPr>
        <w:t>网络要求：系统支持专网或</w:t>
      </w:r>
      <w:r>
        <w:rPr>
          <w:rFonts w:ascii="宋体" w:hAnsi="宋体"/>
          <w:sz w:val="24"/>
        </w:rPr>
        <w:t>VPN</w:t>
      </w:r>
      <w:r>
        <w:rPr>
          <w:rFonts w:hint="eastAsia" w:ascii="宋体" w:hAnsi="宋体"/>
          <w:sz w:val="24"/>
        </w:rPr>
        <w:t>等链路，保证数据传输安全。</w:t>
      </w:r>
    </w:p>
    <w:p w14:paraId="256FA90A">
      <w:pPr>
        <w:spacing w:before="60" w:after="60" w:line="360" w:lineRule="auto"/>
        <w:ind w:firstLine="480"/>
        <w:rPr>
          <w:rFonts w:hint="eastAsia" w:ascii="宋体" w:hAnsi="宋体"/>
          <w:sz w:val="24"/>
        </w:rPr>
      </w:pPr>
      <w:r>
        <w:rPr>
          <w:rFonts w:hint="eastAsia" w:ascii="宋体" w:hAnsi="宋体"/>
          <w:sz w:val="24"/>
        </w:rPr>
        <w:t>5、技术支持要求</w:t>
      </w:r>
    </w:p>
    <w:p w14:paraId="47B4A0E0">
      <w:pPr>
        <w:spacing w:before="60" w:after="60" w:line="360" w:lineRule="auto"/>
        <w:ind w:firstLine="480"/>
        <w:rPr>
          <w:rFonts w:hint="eastAsia" w:ascii="宋体" w:hAnsi="宋体"/>
          <w:sz w:val="24"/>
        </w:rPr>
      </w:pPr>
      <w:r>
        <w:rPr>
          <w:rFonts w:hint="eastAsia" w:ascii="宋体" w:hAnsi="宋体"/>
          <w:sz w:val="24"/>
        </w:rPr>
        <w:t>提供各个层次的技术培训。从项目组织管理、售后服务方面保证为本项目提供长期持续服务支持。</w:t>
      </w:r>
    </w:p>
    <w:p w14:paraId="5531CF94">
      <w:pPr>
        <w:widowControl/>
        <w:spacing w:line="400" w:lineRule="atLeast"/>
        <w:ind w:firstLine="482" w:firstLineChars="200"/>
        <w:rPr>
          <w:rFonts w:hint="eastAsia" w:ascii="宋体" w:hAnsi="宋体" w:cs="宋体"/>
          <w:b/>
          <w:color w:val="000000"/>
          <w:sz w:val="24"/>
        </w:rPr>
      </w:pPr>
      <w:r>
        <w:rPr>
          <w:rFonts w:hint="eastAsia"/>
          <w:b/>
          <w:bCs/>
          <w:color w:val="000000"/>
          <w:sz w:val="24"/>
        </w:rPr>
        <w:t>五、服务要求：</w:t>
      </w:r>
      <w:r>
        <w:rPr>
          <w:rFonts w:hint="eastAsia" w:ascii="宋体" w:hAnsi="宋体"/>
          <w:color w:val="000000"/>
          <w:sz w:val="24"/>
        </w:rPr>
        <w:t xml:space="preserve">          </w:t>
      </w:r>
    </w:p>
    <w:p w14:paraId="72F5495D">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1、交货地点：徐州市第一人民医院</w:t>
      </w:r>
    </w:p>
    <w:p w14:paraId="470C6481">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2、到货时间：合同签订之日起，</w:t>
      </w:r>
      <w:r>
        <w:rPr>
          <w:rFonts w:hint="eastAsia" w:ascii="宋体" w:hAnsi="宋体" w:cs="宋体"/>
          <w:color w:val="000000"/>
          <w:sz w:val="24"/>
          <w:u w:val="single"/>
          <w:lang w:val="en-US" w:eastAsia="zh-CN"/>
        </w:rPr>
        <w:t>60</w:t>
      </w:r>
      <w:r>
        <w:rPr>
          <w:rFonts w:hint="eastAsia" w:ascii="宋体" w:hAnsi="宋体" w:cs="宋体"/>
          <w:color w:val="000000"/>
          <w:sz w:val="24"/>
        </w:rPr>
        <w:t>日内完成平台研发、部署、试运行、验收等工作。</w:t>
      </w:r>
    </w:p>
    <w:p w14:paraId="41787C1C">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3、中标人应向采购人提供全方位、及时而有效的技术支持和服务。</w:t>
      </w:r>
    </w:p>
    <w:p w14:paraId="463E1071">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4、中标人负责供货、安装、调试。</w:t>
      </w:r>
    </w:p>
    <w:p w14:paraId="5609A9D3">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5、货物的生产、安装、维修、检验、验收等按照以下原则执行：有国家标准的执行国家标准；无国家标准的执行行业标准；无行业标准的执行地方标准；无地方标准的执行企业标准。</w:t>
      </w:r>
    </w:p>
    <w:p w14:paraId="4BC4D746">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6、所有货物(包括零部件）须为全新的、未使用过的原装正品，并完全符合国家质量标准，具有厂家出具的合格证书、有国家强制性认证要求的产品须提供3C 证书，货物的技术参数及配置情况必须由供应商提供相关技术资料。</w:t>
      </w:r>
    </w:p>
    <w:p w14:paraId="5983672E">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7、验收：</w:t>
      </w:r>
    </w:p>
    <w:p w14:paraId="211A25E1">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系统建设完成正式上线后，中标人与采购人一起按采购人要求的性能指标进行验收。中标人验收合格后，双方共同签署设备验收合格证明。验收中发现产品达不到规定的性能指标，中标人必须调整，并且赔偿由此给采购人造成的损失。</w:t>
      </w:r>
    </w:p>
    <w:p w14:paraId="032BFE3C">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8、培训服务：</w:t>
      </w:r>
    </w:p>
    <w:p w14:paraId="49C500F0">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为保证系统正常使用，供方要提供系统培训方案，包括但不限于以下内容：培训目的描述、培训对象、培训原则、培训方法、培训方式、培训内容、培训计划、培训质量评估等。</w:t>
      </w:r>
    </w:p>
    <w:p w14:paraId="25C1D96C">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系统建成后，能否做到方便实用，达到预期的效果，用户应用技术培训是关键，本系统供方应编写培训教材，包括但不限于以下内容：</w:t>
      </w:r>
    </w:p>
    <w:p w14:paraId="18BED3BC">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1）管理员手册；</w:t>
      </w:r>
    </w:p>
    <w:p w14:paraId="6BCDA26B">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2）提供咨询热线；</w:t>
      </w:r>
    </w:p>
    <w:p w14:paraId="4ADCDBE1">
      <w:pPr>
        <w:snapToGrid w:val="0"/>
        <w:spacing w:line="400" w:lineRule="atLeast"/>
        <w:ind w:firstLine="480" w:firstLineChars="200"/>
        <w:rPr>
          <w:rFonts w:hint="eastAsia" w:ascii="宋体" w:hAnsi="宋体" w:cs="宋体"/>
          <w:color w:val="000000"/>
          <w:sz w:val="24"/>
        </w:rPr>
      </w:pPr>
      <w:r>
        <w:rPr>
          <w:rFonts w:hint="eastAsia" w:ascii="宋体" w:hAnsi="宋体" w:cs="宋体"/>
          <w:color w:val="000000"/>
          <w:sz w:val="24"/>
        </w:rPr>
        <w:t>3）分期分批组织教学实习；</w:t>
      </w:r>
    </w:p>
    <w:p w14:paraId="15EC2E11">
      <w:pPr>
        <w:snapToGrid w:val="0"/>
        <w:spacing w:line="400" w:lineRule="atLeast"/>
        <w:ind w:firstLine="480" w:firstLineChars="200"/>
        <w:rPr>
          <w:rFonts w:hint="eastAsia" w:ascii="宋体" w:hAnsi="宋体"/>
          <w:color w:val="000000"/>
          <w:sz w:val="24"/>
          <w:highlight w:val="green"/>
        </w:rPr>
      </w:pPr>
      <w:r>
        <w:rPr>
          <w:rFonts w:hint="eastAsia" w:ascii="宋体" w:hAnsi="宋体" w:cs="宋体"/>
          <w:color w:val="000000"/>
          <w:sz w:val="24"/>
        </w:rPr>
        <w:t>4）做好系统管理员、操作员及各级领导的应用培训工作。</w:t>
      </w:r>
    </w:p>
    <w:p w14:paraId="20B00829">
      <w:pPr>
        <w:snapToGrid w:val="0"/>
        <w:spacing w:line="400" w:lineRule="atLeast"/>
        <w:ind w:firstLine="480" w:firstLineChars="200"/>
        <w:rPr>
          <w:rFonts w:hint="eastAsia" w:ascii="宋体" w:hAnsi="宋体"/>
          <w:color w:val="000000"/>
          <w:sz w:val="24"/>
        </w:rPr>
      </w:pPr>
      <w:r>
        <w:rPr>
          <w:rFonts w:hint="eastAsia" w:ascii="宋体" w:hAnsi="宋体"/>
          <w:color w:val="000000"/>
          <w:sz w:val="24"/>
        </w:rPr>
        <w:t>9、项目维护期间，中标人须派驻至少1名技术人员到采购人处开展维护服务工作。</w:t>
      </w:r>
    </w:p>
    <w:p w14:paraId="1C35D966">
      <w:pPr>
        <w:snapToGrid w:val="0"/>
        <w:spacing w:line="400" w:lineRule="atLeast"/>
        <w:ind w:firstLine="480" w:firstLineChars="200"/>
        <w:rPr>
          <w:rFonts w:hint="eastAsia" w:ascii="宋体" w:hAnsi="宋体"/>
          <w:color w:val="000000"/>
          <w:sz w:val="24"/>
        </w:rPr>
      </w:pPr>
      <w:r>
        <w:rPr>
          <w:rFonts w:hint="eastAsia" w:ascii="宋体" w:hAnsi="宋体"/>
          <w:color w:val="000000"/>
          <w:sz w:val="24"/>
        </w:rPr>
        <w:t>10、中标人应保证所提供产品涉及到的知识产权和所提供的技术资料是合法取得，并享有完整的知识产权，不会因为采购人的使用而被责令停止使用、追偿或要求赔偿损失，如出现此情况，一切经济和法律责任均由中标人承担。</w:t>
      </w:r>
    </w:p>
    <w:p w14:paraId="58E1E2FD">
      <w:pPr>
        <w:snapToGrid w:val="0"/>
        <w:spacing w:line="400" w:lineRule="atLeast"/>
        <w:ind w:firstLine="482" w:firstLineChars="200"/>
        <w:rPr>
          <w:rFonts w:hint="eastAsia" w:ascii="宋体" w:hAnsi="宋体"/>
          <w:b/>
          <w:bCs/>
          <w:color w:val="000000"/>
          <w:sz w:val="24"/>
        </w:rPr>
      </w:pPr>
      <w:r>
        <w:rPr>
          <w:rFonts w:hint="eastAsia" w:ascii="宋体" w:hAnsi="宋体"/>
          <w:b/>
          <w:bCs/>
          <w:color w:val="000000"/>
          <w:sz w:val="24"/>
        </w:rPr>
        <w:t>六、售后服务及质保要求：</w:t>
      </w:r>
    </w:p>
    <w:p w14:paraId="6CCDE1F1">
      <w:pPr>
        <w:snapToGrid w:val="0"/>
        <w:spacing w:line="400" w:lineRule="atLeast"/>
        <w:ind w:firstLine="482" w:firstLineChars="200"/>
        <w:rPr>
          <w:rFonts w:hint="eastAsia" w:ascii="宋体" w:hAnsi="宋体"/>
          <w:b/>
          <w:bCs/>
          <w:color w:val="0000FF"/>
          <w:sz w:val="24"/>
        </w:rPr>
      </w:pPr>
      <w:r>
        <w:rPr>
          <w:rFonts w:hint="eastAsia" w:ascii="宋体" w:hAnsi="宋体"/>
          <w:b/>
          <w:bCs/>
          <w:color w:val="0000FF"/>
          <w:sz w:val="24"/>
        </w:rPr>
        <w:t>1、 中标人为本项目提供至少</w:t>
      </w:r>
      <w:r>
        <w:rPr>
          <w:rFonts w:hint="eastAsia" w:ascii="宋体" w:hAnsi="宋体"/>
          <w:b/>
          <w:bCs/>
          <w:color w:val="0000FF"/>
          <w:sz w:val="24"/>
          <w:lang w:val="en-US" w:eastAsia="zh-CN"/>
        </w:rPr>
        <w:t>1</w:t>
      </w:r>
      <w:r>
        <w:rPr>
          <w:rFonts w:hint="eastAsia" w:ascii="宋体" w:hAnsi="宋体"/>
          <w:b/>
          <w:bCs/>
          <w:color w:val="0000FF"/>
          <w:sz w:val="24"/>
        </w:rPr>
        <w:t>年的免费质保及软件升级服务（自验收合格之日起）。</w:t>
      </w:r>
    </w:p>
    <w:p w14:paraId="3161D92E">
      <w:pPr>
        <w:snapToGrid w:val="0"/>
        <w:spacing w:line="400" w:lineRule="atLeast"/>
        <w:ind w:firstLine="480" w:firstLineChars="200"/>
        <w:rPr>
          <w:rFonts w:hint="eastAsia" w:ascii="宋体" w:hAnsi="宋体"/>
          <w:color w:val="000000"/>
          <w:sz w:val="24"/>
        </w:rPr>
      </w:pPr>
      <w:r>
        <w:rPr>
          <w:rFonts w:hint="eastAsia" w:ascii="宋体" w:hAnsi="宋体"/>
          <w:color w:val="000000"/>
          <w:sz w:val="24"/>
        </w:rPr>
        <w:t>2、如果系统运行出现故障，中标人应在2小时内予以响应（免费上门服务）。</w:t>
      </w:r>
    </w:p>
    <w:p w14:paraId="11D592A7">
      <w:pPr>
        <w:snapToGrid w:val="0"/>
        <w:spacing w:line="400" w:lineRule="atLeast"/>
        <w:ind w:firstLine="480" w:firstLineChars="200"/>
        <w:rPr>
          <w:rFonts w:hint="eastAsia" w:ascii="宋体" w:hAnsi="宋体"/>
          <w:color w:val="000000"/>
          <w:sz w:val="24"/>
        </w:rPr>
      </w:pPr>
      <w:r>
        <w:rPr>
          <w:rFonts w:hint="eastAsia" w:ascii="宋体" w:hAnsi="宋体"/>
          <w:color w:val="000000"/>
          <w:sz w:val="24"/>
        </w:rPr>
        <w:t>3、中标人必须对采购人所提出的维护要求作出实质性响应，提供各种突发事件的应急策略（包括具体响应时间）。</w:t>
      </w:r>
    </w:p>
    <w:p w14:paraId="4967DB72">
      <w:pPr>
        <w:snapToGrid w:val="0"/>
        <w:spacing w:line="400" w:lineRule="atLeast"/>
        <w:ind w:firstLine="480" w:firstLineChars="200"/>
        <w:rPr>
          <w:rFonts w:hint="eastAsia" w:ascii="宋体" w:hAnsi="宋体"/>
          <w:color w:val="000000"/>
          <w:sz w:val="24"/>
        </w:rPr>
      </w:pPr>
      <w:r>
        <w:rPr>
          <w:rFonts w:hint="eastAsia" w:ascii="宋体" w:hAnsi="宋体"/>
          <w:color w:val="000000"/>
          <w:sz w:val="24"/>
        </w:rPr>
        <w:t>4、在系统质量保证期内中标人应免费提供需方提出的符合文件要求的功能增减或修改的服务。</w:t>
      </w:r>
    </w:p>
    <w:p w14:paraId="305A88E5">
      <w:pPr>
        <w:pStyle w:val="6"/>
        <w:spacing w:line="400" w:lineRule="atLeast"/>
        <w:ind w:firstLine="482" w:firstLineChars="200"/>
        <w:rPr>
          <w:rFonts w:hint="eastAsia" w:ascii="宋体" w:hAnsi="宋体"/>
          <w:b/>
          <w:bCs/>
          <w:color w:val="000000"/>
          <w:sz w:val="24"/>
        </w:rPr>
      </w:pPr>
      <w:r>
        <w:rPr>
          <w:rFonts w:hint="eastAsia" w:ascii="宋体" w:hAnsi="宋体"/>
          <w:b/>
          <w:bCs/>
          <w:color w:val="000000"/>
          <w:sz w:val="24"/>
        </w:rPr>
        <w:t>七</w:t>
      </w:r>
      <w:r>
        <w:rPr>
          <w:rFonts w:ascii="宋体" w:hAnsi="宋体"/>
          <w:b/>
          <w:bCs/>
          <w:color w:val="000000"/>
          <w:sz w:val="24"/>
        </w:rPr>
        <w:t>、其他要求</w:t>
      </w:r>
    </w:p>
    <w:p w14:paraId="1C4282EC">
      <w:pPr>
        <w:pStyle w:val="6"/>
        <w:spacing w:line="400" w:lineRule="atLeast"/>
        <w:ind w:firstLine="480" w:firstLineChars="200"/>
        <w:rPr>
          <w:rFonts w:hint="eastAsia" w:ascii="宋体" w:hAnsi="宋体"/>
          <w:color w:val="000000"/>
          <w:sz w:val="24"/>
        </w:rPr>
      </w:pPr>
      <w:r>
        <w:rPr>
          <w:rFonts w:hint="eastAsia" w:ascii="宋体" w:hAnsi="宋体"/>
          <w:color w:val="000000"/>
          <w:sz w:val="24"/>
        </w:rPr>
        <w:t>1、为保证本项目的顺利实施，投标人应结合本项目特点，自行设计实施方案。</w:t>
      </w:r>
    </w:p>
    <w:p w14:paraId="6DA96C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80D5B"/>
    <w:multiLevelType w:val="multilevel"/>
    <w:tmpl w:val="5C380D5B"/>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771C38EE"/>
    <w:multiLevelType w:val="multilevel"/>
    <w:tmpl w:val="771C38EE"/>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2">
    <w:nsid w:val="780526EA"/>
    <w:multiLevelType w:val="multilevel"/>
    <w:tmpl w:val="780526EA"/>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70B48"/>
    <w:rsid w:val="177B516C"/>
    <w:rsid w:val="4DA37DAA"/>
    <w:rsid w:val="658B4525"/>
    <w:rsid w:val="7B970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5">
    <w:name w:val="标题 11"/>
    <w:basedOn w:val="1"/>
    <w:next w:val="1"/>
    <w:qFormat/>
    <w:uiPriority w:val="0"/>
    <w:pPr>
      <w:keepNext/>
      <w:keepLines/>
      <w:spacing w:line="578" w:lineRule="auto"/>
      <w:jc w:val="center"/>
      <w:outlineLvl w:val="0"/>
    </w:pPr>
    <w:rPr>
      <w:rFonts w:eastAsia="新宋体"/>
      <w:b/>
      <w:bCs/>
      <w:sz w:val="30"/>
      <w:szCs w:val="44"/>
    </w:rPr>
  </w:style>
  <w:style w:type="paragraph" w:customStyle="1" w:styleId="6">
    <w:name w:val="正文1"/>
    <w:basedOn w:val="7"/>
    <w:next w:val="8"/>
    <w:qFormat/>
    <w:uiPriority w:val="0"/>
  </w:style>
  <w:style w:type="paragraph" w:customStyle="1" w:styleId="7">
    <w:name w:val="正文111"/>
    <w:next w:val="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
    <w:name w:val="正文文本1"/>
    <w:basedOn w:val="9"/>
    <w:next w:val="9"/>
    <w:qFormat/>
    <w:uiPriority w:val="0"/>
    <w:pPr>
      <w:spacing w:after="120"/>
    </w:pPr>
    <w:rPr>
      <w:rFonts w:ascii="Calibri" w:hAnsi="Calibri"/>
    </w:rPr>
  </w:style>
  <w:style w:type="paragraph" w:customStyle="1" w:styleId="9">
    <w:name w:val="正文11"/>
    <w:next w:val="8"/>
    <w:qFormat/>
    <w:uiPriority w:val="0"/>
    <w:pPr>
      <w:widowControl w:val="0"/>
      <w:jc w:val="both"/>
    </w:pPr>
    <w:rPr>
      <w:rFonts w:ascii="Times New Roman" w:hAnsi="Times New Roman" w:eastAsia="宋体" w:cs="Times New Roman"/>
      <w:sz w:val="21"/>
      <w:szCs w:val="24"/>
      <w:lang w:val="en-US" w:eastAsia="zh-CN" w:bidi="ar-SA"/>
    </w:rPr>
  </w:style>
  <w:style w:type="paragraph" w:styleId="10">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6860</Words>
  <Characters>7115</Characters>
  <Lines>0</Lines>
  <Paragraphs>0</Paragraphs>
  <TotalTime>2</TotalTime>
  <ScaleCrop>false</ScaleCrop>
  <LinksUpToDate>false</LinksUpToDate>
  <CharactersWithSpaces>7180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2025-09-23T06:22:00Z</dcterms:created>
  <dc:creator>Lucifer</dc:creator>
  <cp:lastModifiedBy>WPS_1743389209</cp:lastModifiedBy>
  <dcterms:modified xsi:type="dcterms:W3CDTF">2025-09-25T01:32:01Z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DDEF76E81F0646498989A43DD3F39FB4_13</vt:lpwstr>
  </property>
  <property fmtid="{D5CDD505-2E9C-101B-9397-08002B2CF9AE}" pid="4" name="KSOTemplateDocerSaveRecord">
    <vt:lpwstr>eyJoZGlkIjoiZWJhYTE1MmJhMTJjYTNmZjJhNzBhZGU5ZTY0NTBlMDAiLCJ1c2VySWQiOiIxNjg5MDczNjU2In0=</vt:lpwstr>
  </property>
</Properties>
</file>