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DAC67"/>
    <w:p w14:paraId="6F955E6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b/>
          <w:bCs/>
          <w:sz w:val="28"/>
          <w:szCs w:val="28"/>
          <w:lang w:val="en-US" w:eastAsia="zh-CN"/>
        </w:rPr>
      </w:pPr>
      <w:r>
        <w:rPr>
          <w:rFonts w:hint="eastAsia" w:ascii="宋体" w:hAnsi="宋体" w:eastAsia="宋体" w:cs="宋体"/>
          <w:b/>
          <w:bCs/>
          <w:color w:val="000000" w:themeColor="text1"/>
          <w:kern w:val="2"/>
          <w:sz w:val="36"/>
          <w:szCs w:val="36"/>
          <w:lang w:val="en-US" w:eastAsia="zh-CN" w:bidi="ar-SA"/>
          <w14:textFill>
            <w14:solidFill>
              <w14:schemeClr w14:val="tx1"/>
            </w14:solidFill>
          </w14:textFill>
        </w:rPr>
        <w:t>更正（澄清）内容（二）</w:t>
      </w:r>
    </w:p>
    <w:p w14:paraId="43C877BF">
      <w:pPr>
        <w:pStyle w:val="27"/>
        <w:widowControl/>
        <w:spacing w:beforeAutospacing="0" w:afterAutospacing="0" w:line="360" w:lineRule="auto"/>
        <w:ind w:firstLine="843" w:firstLineChars="3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rPr>
        <w:t>一、以下为澄清或者修改的内容</w:t>
      </w:r>
    </w:p>
    <w:p w14:paraId="461753A8">
      <w:pPr>
        <w:ind w:firstLine="843" w:firstLineChars="3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第一项</w:t>
      </w:r>
    </w:p>
    <w:p w14:paraId="057855B9">
      <w:pPr>
        <w:ind w:firstLine="843" w:firstLineChars="300"/>
        <w:rPr>
          <w:rFonts w:hint="eastAsia" w:ascii="宋体" w:hAnsi="宋体" w:eastAsia="宋体" w:cs="宋体"/>
          <w:b/>
          <w:bCs/>
          <w:color w:val="FF0000"/>
          <w:sz w:val="28"/>
          <w:szCs w:val="28"/>
          <w:lang w:val="en-US" w:eastAsia="zh-CN"/>
        </w:rPr>
      </w:pPr>
      <w:r>
        <w:rPr>
          <w:rFonts w:hint="eastAsia" w:ascii="宋体" w:hAnsi="宋体" w:eastAsia="宋体" w:cs="宋体"/>
          <w:b/>
          <w:bCs/>
          <w:sz w:val="28"/>
          <w:szCs w:val="28"/>
          <w:lang w:val="en-US" w:eastAsia="zh-CN"/>
        </w:rPr>
        <w:t>原招标文件中“第四章  评标标准”</w:t>
      </w:r>
      <w:r>
        <w:rPr>
          <w:rFonts w:hint="eastAsia" w:ascii="宋体" w:hAnsi="宋体" w:eastAsia="宋体" w:cs="宋体"/>
          <w:b/>
          <w:bCs/>
          <w:color w:val="FF0000"/>
          <w:sz w:val="28"/>
          <w:lang w:val="en-US" w:eastAsia="zh-CN"/>
        </w:rPr>
        <w:t>现更正为：</w:t>
      </w:r>
    </w:p>
    <w:tbl>
      <w:tblPr>
        <w:tblStyle w:val="30"/>
        <w:tblpPr w:leftFromText="180" w:rightFromText="180" w:vertAnchor="text" w:horzAnchor="page" w:tblpX="706" w:tblpY="468"/>
        <w:tblW w:w="10550"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888"/>
        <w:gridCol w:w="1347"/>
        <w:gridCol w:w="1522"/>
        <w:gridCol w:w="6793"/>
      </w:tblGrid>
      <w:tr w14:paraId="7CB9FB7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77" w:hRule="atLeast"/>
        </w:trPr>
        <w:tc>
          <w:tcPr>
            <w:tcW w:w="2235" w:type="dxa"/>
            <w:gridSpan w:val="2"/>
            <w:vAlign w:val="center"/>
          </w:tcPr>
          <w:p w14:paraId="0F8369B8">
            <w:pPr>
              <w:widowControl/>
              <w:spacing w:line="400" w:lineRule="exact"/>
              <w:rPr>
                <w:rFonts w:ascii="宋体" w:hAnsi="宋体" w:cs="宋体"/>
                <w:b/>
                <w:bCs/>
                <w:color w:val="000000"/>
                <w:sz w:val="28"/>
                <w:szCs w:val="28"/>
              </w:rPr>
            </w:pPr>
            <w:r>
              <w:rPr>
                <w:rFonts w:hint="eastAsia" w:ascii="宋体" w:hAnsi="宋体" w:cs="宋体"/>
                <w:b/>
                <w:bCs/>
                <w:color w:val="000000"/>
                <w:sz w:val="28"/>
                <w:szCs w:val="28"/>
              </w:rPr>
              <w:t>评审因素</w:t>
            </w:r>
          </w:p>
        </w:tc>
        <w:tc>
          <w:tcPr>
            <w:tcW w:w="8315" w:type="dxa"/>
            <w:gridSpan w:val="2"/>
            <w:vAlign w:val="center"/>
          </w:tcPr>
          <w:p w14:paraId="3F7B6AB8">
            <w:pPr>
              <w:widowControl/>
              <w:spacing w:line="400" w:lineRule="exact"/>
              <w:ind w:firstLine="482"/>
              <w:jc w:val="center"/>
              <w:rPr>
                <w:rFonts w:ascii="宋体" w:hAnsi="宋体" w:cs="宋体"/>
                <w:b/>
                <w:bCs/>
                <w:color w:val="000000"/>
                <w:sz w:val="28"/>
                <w:szCs w:val="28"/>
              </w:rPr>
            </w:pPr>
            <w:r>
              <w:rPr>
                <w:rFonts w:hint="eastAsia" w:ascii="宋体" w:hAnsi="宋体" w:cs="宋体"/>
                <w:b/>
                <w:bCs/>
                <w:color w:val="000000"/>
                <w:sz w:val="28"/>
                <w:szCs w:val="28"/>
              </w:rPr>
              <w:t>评审因素细化和量化</w:t>
            </w:r>
          </w:p>
        </w:tc>
      </w:tr>
      <w:tr w14:paraId="4037878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350" w:hRule="atLeast"/>
        </w:trPr>
        <w:tc>
          <w:tcPr>
            <w:tcW w:w="2235" w:type="dxa"/>
            <w:gridSpan w:val="2"/>
            <w:vAlign w:val="center"/>
          </w:tcPr>
          <w:p w14:paraId="05F20B23">
            <w:pPr>
              <w:widowControl/>
              <w:spacing w:line="400" w:lineRule="exact"/>
              <w:jc w:val="center"/>
              <w:rPr>
                <w:rFonts w:ascii="宋体" w:hAnsi="宋体" w:cs="宋体"/>
                <w:color w:val="000000"/>
                <w:sz w:val="28"/>
                <w:szCs w:val="28"/>
              </w:rPr>
            </w:pPr>
            <w:r>
              <w:rPr>
                <w:rFonts w:hint="eastAsia" w:ascii="宋体" w:hAnsi="宋体" w:cs="宋体"/>
                <w:color w:val="000000"/>
                <w:sz w:val="28"/>
                <w:szCs w:val="28"/>
              </w:rPr>
              <w:t>价格</w:t>
            </w:r>
          </w:p>
          <w:p w14:paraId="31A1E2A8">
            <w:pPr>
              <w:widowControl/>
              <w:spacing w:line="400" w:lineRule="exact"/>
              <w:jc w:val="center"/>
              <w:rPr>
                <w:rFonts w:ascii="宋体" w:hAnsi="宋体" w:cs="宋体"/>
                <w:color w:val="000000"/>
                <w:sz w:val="28"/>
                <w:szCs w:val="28"/>
              </w:rPr>
            </w:pPr>
            <w:r>
              <w:rPr>
                <w:rFonts w:hint="eastAsia" w:ascii="宋体" w:hAnsi="宋体" w:cs="宋体"/>
                <w:color w:val="000000"/>
                <w:sz w:val="28"/>
                <w:szCs w:val="28"/>
              </w:rPr>
              <w:t>（30分）</w:t>
            </w:r>
          </w:p>
        </w:tc>
        <w:tc>
          <w:tcPr>
            <w:tcW w:w="8315" w:type="dxa"/>
            <w:gridSpan w:val="2"/>
            <w:vAlign w:val="center"/>
          </w:tcPr>
          <w:p w14:paraId="2A810F90">
            <w:pPr>
              <w:spacing w:line="0" w:lineRule="atLeast"/>
              <w:rPr>
                <w:rFonts w:ascii="宋体" w:hAnsi="宋体" w:cs="宋体"/>
                <w:color w:val="000000"/>
                <w:sz w:val="28"/>
                <w:szCs w:val="28"/>
              </w:rPr>
            </w:pPr>
            <w:r>
              <w:rPr>
                <w:rFonts w:hint="eastAsia" w:ascii="宋体" w:hAnsi="宋体" w:cs="宋体"/>
                <w:color w:val="000000"/>
                <w:sz w:val="28"/>
                <w:szCs w:val="28"/>
              </w:rPr>
              <w:t>采用低价优先法计算，即满足招标文件要求且投标人评审价格最低的投标报价为评标基准价，其价格得分为满分；</w:t>
            </w:r>
          </w:p>
          <w:p w14:paraId="343EDA8F">
            <w:pPr>
              <w:spacing w:line="0" w:lineRule="atLeast"/>
              <w:rPr>
                <w:rFonts w:ascii="宋体" w:hAnsi="宋体" w:cs="宋体"/>
                <w:color w:val="000000"/>
                <w:sz w:val="28"/>
                <w:szCs w:val="28"/>
              </w:rPr>
            </w:pPr>
            <w:r>
              <w:rPr>
                <w:rFonts w:hint="eastAsia" w:ascii="宋体" w:hAnsi="宋体" w:cs="宋体"/>
                <w:color w:val="000000"/>
                <w:sz w:val="28"/>
                <w:szCs w:val="28"/>
              </w:rPr>
              <w:t>各投标人价格得分=评标基准价（投标人的最低评审价格）÷各投标人评审价格×30。</w:t>
            </w:r>
          </w:p>
          <w:p w14:paraId="6A537238">
            <w:pPr>
              <w:spacing w:line="0" w:lineRule="atLeast"/>
              <w:rPr>
                <w:rFonts w:ascii="宋体" w:hAnsi="宋体" w:cs="宋体"/>
                <w:color w:val="000000"/>
                <w:sz w:val="28"/>
                <w:szCs w:val="28"/>
              </w:rPr>
            </w:pPr>
            <w:r>
              <w:rPr>
                <w:rFonts w:hint="eastAsia" w:ascii="宋体" w:hAnsi="宋体" w:cs="宋体"/>
                <w:color w:val="000000"/>
                <w:sz w:val="28"/>
                <w:szCs w:val="28"/>
              </w:rPr>
              <w:t>得分四舍五入保留小数点后2位。</w:t>
            </w:r>
          </w:p>
          <w:p w14:paraId="1E51B91E">
            <w:pPr>
              <w:spacing w:line="0" w:lineRule="atLeast"/>
              <w:rPr>
                <w:rFonts w:ascii="宋体" w:hAnsi="宋体" w:cs="宋体"/>
                <w:b/>
                <w:bCs/>
                <w:color w:val="000000"/>
                <w:sz w:val="28"/>
                <w:szCs w:val="28"/>
              </w:rPr>
            </w:pPr>
            <w:r>
              <w:rPr>
                <w:rFonts w:hint="eastAsia" w:ascii="宋体" w:hAnsi="宋体" w:cs="宋体"/>
                <w:color w:val="000000"/>
                <w:sz w:val="28"/>
                <w:szCs w:val="28"/>
              </w:rPr>
              <w:t>注：投标人所投产品全部为小微企业制造或监狱企业、享受政府采购支持政策的残疾人福利性单位制造的（以投标人提供的《分项价格表》、《中小企业声明函》、监狱企业证明文件和《残疾人福利性单位声明函》等相关材料为准），给予10%的价格扣除，用扣除后的价格参加评审。该投标人的评审价格=《开标一览表》中的“总价”*（100%-10%）</w:t>
            </w:r>
          </w:p>
        </w:tc>
      </w:tr>
      <w:tr w14:paraId="5A268CC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490" w:hRule="atLeast"/>
        </w:trPr>
        <w:tc>
          <w:tcPr>
            <w:tcW w:w="888" w:type="dxa"/>
            <w:vAlign w:val="center"/>
          </w:tcPr>
          <w:p w14:paraId="2D56C811">
            <w:pPr>
              <w:widowControl/>
              <w:spacing w:line="400" w:lineRule="exact"/>
              <w:rPr>
                <w:rFonts w:ascii="宋体" w:hAnsi="宋体" w:cs="宋体"/>
                <w:color w:val="000000"/>
                <w:sz w:val="28"/>
                <w:szCs w:val="28"/>
              </w:rPr>
            </w:pPr>
            <w:r>
              <w:rPr>
                <w:rFonts w:hint="eastAsia" w:ascii="宋体" w:hAnsi="宋体" w:cs="宋体"/>
                <w:color w:val="000000"/>
                <w:sz w:val="28"/>
                <w:szCs w:val="28"/>
              </w:rPr>
              <w:t>商务部分（3分）</w:t>
            </w:r>
          </w:p>
        </w:tc>
        <w:tc>
          <w:tcPr>
            <w:tcW w:w="1347" w:type="dxa"/>
            <w:vAlign w:val="center"/>
          </w:tcPr>
          <w:p w14:paraId="75460A57">
            <w:pPr>
              <w:widowControl/>
              <w:spacing w:line="400" w:lineRule="exact"/>
              <w:jc w:val="center"/>
              <w:rPr>
                <w:rFonts w:ascii="宋体" w:hAnsi="宋体" w:cs="宋体"/>
                <w:color w:val="000000"/>
                <w:sz w:val="28"/>
                <w:szCs w:val="28"/>
              </w:rPr>
            </w:pPr>
            <w:r>
              <w:rPr>
                <w:rFonts w:hint="eastAsia" w:ascii="宋体" w:hAnsi="宋体" w:cs="宋体"/>
                <w:bCs/>
                <w:color w:val="000000"/>
                <w:sz w:val="28"/>
                <w:szCs w:val="28"/>
              </w:rPr>
              <w:t>投标人</w:t>
            </w:r>
            <w:r>
              <w:rPr>
                <w:rFonts w:hint="eastAsia" w:ascii="宋体" w:hAnsi="宋体" w:cs="宋体"/>
                <w:color w:val="000000"/>
                <w:sz w:val="28"/>
                <w:szCs w:val="28"/>
              </w:rPr>
              <w:t>业绩</w:t>
            </w:r>
          </w:p>
          <w:p w14:paraId="1B07A777">
            <w:pPr>
              <w:widowControl/>
              <w:spacing w:line="400" w:lineRule="exact"/>
              <w:jc w:val="center"/>
              <w:rPr>
                <w:rFonts w:ascii="宋体" w:hAnsi="宋体" w:cs="宋体"/>
                <w:color w:val="000000"/>
                <w:sz w:val="28"/>
                <w:szCs w:val="28"/>
              </w:rPr>
            </w:pPr>
            <w:r>
              <w:rPr>
                <w:rFonts w:hint="eastAsia" w:ascii="宋体" w:hAnsi="宋体" w:cs="宋体"/>
                <w:color w:val="000000"/>
                <w:sz w:val="28"/>
                <w:szCs w:val="28"/>
              </w:rPr>
              <w:t>（3分）</w:t>
            </w:r>
          </w:p>
        </w:tc>
        <w:tc>
          <w:tcPr>
            <w:tcW w:w="8315" w:type="dxa"/>
            <w:gridSpan w:val="2"/>
            <w:vAlign w:val="center"/>
          </w:tcPr>
          <w:p w14:paraId="0FB03D73">
            <w:pPr>
              <w:spacing w:line="0" w:lineRule="atLeast"/>
              <w:rPr>
                <w:rFonts w:ascii="宋体" w:hAnsi="宋体" w:cs="宋体"/>
                <w:color w:val="000000"/>
                <w:sz w:val="28"/>
                <w:szCs w:val="28"/>
              </w:rPr>
            </w:pPr>
            <w:r>
              <w:rPr>
                <w:rFonts w:hint="eastAsia" w:ascii="宋体" w:hAnsi="宋体" w:cs="宋体"/>
                <w:color w:val="000000"/>
                <w:sz w:val="28"/>
                <w:szCs w:val="28"/>
              </w:rPr>
              <w:t>投标文件中提供投标人为卖方(乙方)，合同签订日期在2022年9月1日之后，合同内容为本项目相同或类似业绩的，每提供一个有效业绩的，得1.5分，本项最高得3分，未提供不得分。</w:t>
            </w:r>
          </w:p>
          <w:p w14:paraId="7732279C">
            <w:pPr>
              <w:spacing w:line="0" w:lineRule="atLeast"/>
              <w:rPr>
                <w:rFonts w:ascii="宋体" w:hAnsi="宋体" w:cs="宋体"/>
                <w:color w:val="000000"/>
                <w:sz w:val="28"/>
                <w:szCs w:val="28"/>
              </w:rPr>
            </w:pPr>
            <w:r>
              <w:rPr>
                <w:rFonts w:hint="eastAsia" w:ascii="宋体" w:hAnsi="宋体" w:cs="宋体"/>
                <w:color w:val="000000"/>
                <w:sz w:val="28"/>
                <w:szCs w:val="28"/>
              </w:rPr>
              <w:t>时间以合同签订时间为准，投标文件中同时提供合同扫描件，不提供或提供内容模糊不清该项不得分。</w:t>
            </w:r>
          </w:p>
        </w:tc>
      </w:tr>
      <w:tr w14:paraId="72425FC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11" w:hRule="atLeast"/>
        </w:trPr>
        <w:tc>
          <w:tcPr>
            <w:tcW w:w="888" w:type="dxa"/>
            <w:vMerge w:val="restart"/>
            <w:vAlign w:val="center"/>
          </w:tcPr>
          <w:p w14:paraId="13F36093">
            <w:pPr>
              <w:widowControl/>
              <w:spacing w:line="400" w:lineRule="exact"/>
              <w:jc w:val="center"/>
              <w:rPr>
                <w:rFonts w:ascii="宋体" w:hAnsi="宋体" w:cs="宋体"/>
                <w:color w:val="000000"/>
                <w:sz w:val="28"/>
                <w:szCs w:val="28"/>
              </w:rPr>
            </w:pPr>
            <w:r>
              <w:rPr>
                <w:rFonts w:hint="eastAsia" w:ascii="宋体" w:hAnsi="宋体" w:cs="宋体"/>
                <w:color w:val="000000"/>
                <w:sz w:val="28"/>
                <w:szCs w:val="28"/>
              </w:rPr>
              <w:t>技术部分（</w:t>
            </w:r>
            <w:r>
              <w:rPr>
                <w:rFonts w:hint="eastAsia" w:hAnsi="宋体" w:cs="宋体"/>
                <w:color w:val="000000"/>
                <w:sz w:val="28"/>
                <w:szCs w:val="28"/>
              </w:rPr>
              <w:t>65</w:t>
            </w:r>
            <w:r>
              <w:rPr>
                <w:rFonts w:hint="eastAsia" w:ascii="宋体" w:hAnsi="宋体" w:cs="宋体"/>
                <w:color w:val="000000"/>
                <w:sz w:val="28"/>
                <w:szCs w:val="28"/>
              </w:rPr>
              <w:t>分）</w:t>
            </w:r>
          </w:p>
        </w:tc>
        <w:tc>
          <w:tcPr>
            <w:tcW w:w="1347" w:type="dxa"/>
            <w:vAlign w:val="center"/>
          </w:tcPr>
          <w:p w14:paraId="7ACC964E">
            <w:pPr>
              <w:widowControl/>
              <w:spacing w:line="400" w:lineRule="exact"/>
              <w:jc w:val="center"/>
              <w:rPr>
                <w:rFonts w:ascii="宋体" w:hAnsi="宋体" w:cs="宋体"/>
                <w:color w:val="FF0000"/>
                <w:sz w:val="28"/>
                <w:szCs w:val="28"/>
                <w:highlight w:val="none"/>
              </w:rPr>
            </w:pPr>
            <w:r>
              <w:rPr>
                <w:rFonts w:hint="eastAsia" w:ascii="宋体" w:hAnsi="宋体" w:cs="宋体"/>
                <w:color w:val="FF0000"/>
                <w:sz w:val="28"/>
                <w:szCs w:val="28"/>
                <w:highlight w:val="none"/>
              </w:rPr>
              <w:t>所投产品的技术参数（30分）</w:t>
            </w:r>
          </w:p>
        </w:tc>
        <w:tc>
          <w:tcPr>
            <w:tcW w:w="8315" w:type="dxa"/>
            <w:gridSpan w:val="2"/>
            <w:vAlign w:val="center"/>
          </w:tcPr>
          <w:p w14:paraId="15AF234D">
            <w:pPr>
              <w:spacing w:line="0" w:lineRule="atLeast"/>
              <w:rPr>
                <w:rFonts w:ascii="宋体" w:hAnsi="宋体" w:cs="宋体"/>
                <w:color w:val="FF0000"/>
                <w:sz w:val="28"/>
                <w:szCs w:val="28"/>
                <w:highlight w:val="none"/>
              </w:rPr>
            </w:pPr>
            <w:r>
              <w:rPr>
                <w:rFonts w:hint="eastAsia" w:ascii="宋体" w:hAnsi="宋体" w:cs="宋体"/>
                <w:color w:val="FF0000"/>
                <w:sz w:val="28"/>
                <w:szCs w:val="28"/>
                <w:highlight w:val="none"/>
              </w:rPr>
              <w:t>对投标文件中《技术参数（技术性能）》进行评分。</w:t>
            </w:r>
          </w:p>
          <w:p w14:paraId="7AEA0946">
            <w:pPr>
              <w:spacing w:line="0" w:lineRule="atLeast"/>
              <w:rPr>
                <w:rFonts w:ascii="宋体" w:hAnsi="宋体" w:cs="宋体"/>
                <w:color w:val="FF0000"/>
                <w:sz w:val="28"/>
                <w:szCs w:val="28"/>
                <w:highlight w:val="none"/>
              </w:rPr>
            </w:pPr>
            <w:r>
              <w:rPr>
                <w:rFonts w:hint="eastAsia" w:ascii="宋体" w:hAnsi="宋体" w:cs="宋体"/>
                <w:color w:val="FF0000"/>
                <w:sz w:val="28"/>
                <w:szCs w:val="28"/>
                <w:highlight w:val="none"/>
              </w:rPr>
              <w:t>所投产品技术参数全部满足招标文件第六章《采购需求》的得基本分30分；在此基础上，每有一项负偏离扣2分；扣完为止。</w:t>
            </w:r>
          </w:p>
          <w:p w14:paraId="7F72CD7E">
            <w:pPr>
              <w:spacing w:line="0" w:lineRule="atLeast"/>
              <w:rPr>
                <w:rFonts w:ascii="宋体" w:hAnsi="宋体" w:cs="宋体"/>
                <w:color w:val="FF0000"/>
                <w:sz w:val="28"/>
                <w:szCs w:val="28"/>
                <w:highlight w:val="none"/>
              </w:rPr>
            </w:pPr>
            <w:r>
              <w:rPr>
                <w:rFonts w:hint="eastAsia" w:ascii="宋体" w:hAnsi="宋体" w:cs="宋体"/>
                <w:color w:val="FF0000"/>
                <w:sz w:val="28"/>
                <w:szCs w:val="28"/>
                <w:highlight w:val="none"/>
              </w:rPr>
              <w:t>本项最高得30分，最低得0分。</w:t>
            </w:r>
          </w:p>
        </w:tc>
      </w:tr>
      <w:tr w14:paraId="54EEDAE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34" w:hRule="atLeast"/>
        </w:trPr>
        <w:tc>
          <w:tcPr>
            <w:tcW w:w="888" w:type="dxa"/>
            <w:vMerge w:val="continue"/>
            <w:vAlign w:val="center"/>
          </w:tcPr>
          <w:p w14:paraId="7760F24A">
            <w:pPr>
              <w:widowControl/>
              <w:spacing w:line="400" w:lineRule="exact"/>
              <w:ind w:firstLine="480"/>
              <w:jc w:val="center"/>
              <w:rPr>
                <w:rFonts w:ascii="宋体" w:hAnsi="宋体" w:cs="宋体"/>
                <w:color w:val="000000"/>
                <w:sz w:val="28"/>
                <w:szCs w:val="28"/>
              </w:rPr>
            </w:pPr>
          </w:p>
        </w:tc>
        <w:tc>
          <w:tcPr>
            <w:tcW w:w="1347" w:type="dxa"/>
            <w:vMerge w:val="restart"/>
            <w:vAlign w:val="center"/>
          </w:tcPr>
          <w:p w14:paraId="5D3BE61C">
            <w:pPr>
              <w:spacing w:line="0" w:lineRule="atLeast"/>
              <w:rPr>
                <w:rFonts w:ascii="宋体" w:hAnsi="宋体" w:cs="宋体"/>
                <w:color w:val="000000"/>
                <w:sz w:val="28"/>
                <w:szCs w:val="28"/>
              </w:rPr>
            </w:pPr>
            <w:r>
              <w:rPr>
                <w:rFonts w:hint="eastAsia" w:ascii="宋体" w:hAnsi="宋体" w:cs="宋体"/>
                <w:color w:val="000000"/>
                <w:sz w:val="28"/>
                <w:szCs w:val="28"/>
              </w:rPr>
              <w:t>实施方案（26分）</w:t>
            </w:r>
          </w:p>
        </w:tc>
        <w:tc>
          <w:tcPr>
            <w:tcW w:w="8315" w:type="dxa"/>
            <w:gridSpan w:val="2"/>
            <w:vAlign w:val="center"/>
          </w:tcPr>
          <w:p w14:paraId="5DF7A94B">
            <w:pPr>
              <w:spacing w:line="0" w:lineRule="atLeast"/>
              <w:rPr>
                <w:rFonts w:ascii="宋体" w:hAnsi="宋体" w:cs="宋体"/>
                <w:color w:val="000000"/>
                <w:sz w:val="28"/>
                <w:szCs w:val="28"/>
              </w:rPr>
            </w:pPr>
            <w:r>
              <w:rPr>
                <w:rFonts w:hint="eastAsia" w:ascii="宋体" w:hAnsi="宋体" w:cs="宋体"/>
                <w:color w:val="000000"/>
                <w:sz w:val="28"/>
                <w:szCs w:val="28"/>
              </w:rPr>
              <w:t>1.根据投标文件实施方案中实施计划、组织保障等方面的合理性进行综合评价。</w:t>
            </w:r>
          </w:p>
          <w:p w14:paraId="01269C62">
            <w:pPr>
              <w:spacing w:line="0" w:lineRule="atLeast"/>
              <w:rPr>
                <w:rFonts w:ascii="宋体" w:hAnsi="宋体" w:cs="宋体"/>
                <w:color w:val="000000"/>
                <w:sz w:val="28"/>
                <w:szCs w:val="28"/>
              </w:rPr>
            </w:pPr>
            <w:r>
              <w:rPr>
                <w:rFonts w:hint="eastAsia" w:ascii="宋体" w:hAnsi="宋体" w:cs="宋体"/>
                <w:color w:val="000000"/>
                <w:sz w:val="28"/>
                <w:szCs w:val="28"/>
              </w:rPr>
              <w:t>完整性（3分）方案完整完全符合项目特点的得3分；较为完整的得2分；不完整的得1分；</w:t>
            </w:r>
          </w:p>
          <w:p w14:paraId="414A11ED">
            <w:pPr>
              <w:spacing w:line="0" w:lineRule="atLeast"/>
              <w:rPr>
                <w:rFonts w:ascii="宋体" w:hAnsi="宋体" w:cs="宋体"/>
                <w:color w:val="000000"/>
                <w:sz w:val="28"/>
                <w:szCs w:val="28"/>
              </w:rPr>
            </w:pPr>
            <w:r>
              <w:rPr>
                <w:rFonts w:hint="eastAsia" w:ascii="宋体" w:hAnsi="宋体" w:cs="宋体"/>
                <w:color w:val="000000"/>
                <w:sz w:val="28"/>
                <w:szCs w:val="28"/>
              </w:rPr>
              <w:t>合理性（2分）方案科学合理的得2分；较为科学合理的得1分；欠缺的得0.5分；</w:t>
            </w:r>
          </w:p>
          <w:p w14:paraId="519E7F06">
            <w:pPr>
              <w:spacing w:line="0" w:lineRule="atLeast"/>
              <w:rPr>
                <w:rFonts w:ascii="宋体" w:hAnsi="宋体" w:cs="宋体"/>
                <w:color w:val="000000"/>
                <w:sz w:val="28"/>
                <w:szCs w:val="28"/>
              </w:rPr>
            </w:pPr>
            <w:r>
              <w:rPr>
                <w:rFonts w:hint="eastAsia" w:ascii="宋体" w:hAnsi="宋体" w:cs="宋体"/>
                <w:color w:val="000000"/>
                <w:sz w:val="28"/>
                <w:szCs w:val="28"/>
              </w:rPr>
              <w:t>可行性（2分）方案可行性强的得2分；较强的得1分；欠缺的得0.5分；</w:t>
            </w:r>
          </w:p>
          <w:p w14:paraId="487BEAE3">
            <w:pPr>
              <w:spacing w:line="0" w:lineRule="atLeast"/>
              <w:rPr>
                <w:rFonts w:ascii="宋体" w:hAnsi="宋体" w:cs="宋体"/>
                <w:color w:val="000000"/>
                <w:sz w:val="28"/>
                <w:szCs w:val="28"/>
              </w:rPr>
            </w:pPr>
            <w:r>
              <w:rPr>
                <w:rFonts w:hint="eastAsia" w:ascii="宋体" w:hAnsi="宋体" w:cs="宋体"/>
                <w:color w:val="000000"/>
                <w:sz w:val="28"/>
                <w:szCs w:val="28"/>
              </w:rPr>
              <w:t>未提供方案不得分。</w:t>
            </w:r>
          </w:p>
        </w:tc>
      </w:tr>
      <w:tr w14:paraId="7885040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34" w:hRule="atLeast"/>
        </w:trPr>
        <w:tc>
          <w:tcPr>
            <w:tcW w:w="888" w:type="dxa"/>
            <w:vMerge w:val="continue"/>
            <w:vAlign w:val="center"/>
          </w:tcPr>
          <w:p w14:paraId="6A50EB51">
            <w:pPr>
              <w:widowControl/>
              <w:spacing w:line="400" w:lineRule="exact"/>
              <w:ind w:firstLine="480"/>
              <w:jc w:val="center"/>
              <w:rPr>
                <w:rFonts w:ascii="宋体" w:hAnsi="宋体" w:cs="宋体"/>
                <w:color w:val="000000"/>
                <w:sz w:val="28"/>
                <w:szCs w:val="28"/>
              </w:rPr>
            </w:pPr>
          </w:p>
        </w:tc>
        <w:tc>
          <w:tcPr>
            <w:tcW w:w="1347" w:type="dxa"/>
            <w:vMerge w:val="continue"/>
            <w:vAlign w:val="center"/>
          </w:tcPr>
          <w:p w14:paraId="3D6077FD">
            <w:pPr>
              <w:spacing w:line="0" w:lineRule="atLeast"/>
              <w:rPr>
                <w:rFonts w:ascii="宋体" w:hAnsi="宋体" w:cs="宋体"/>
                <w:color w:val="000000"/>
                <w:sz w:val="28"/>
                <w:szCs w:val="28"/>
              </w:rPr>
            </w:pPr>
          </w:p>
        </w:tc>
        <w:tc>
          <w:tcPr>
            <w:tcW w:w="8315" w:type="dxa"/>
            <w:gridSpan w:val="2"/>
            <w:vAlign w:val="center"/>
          </w:tcPr>
          <w:p w14:paraId="38E7FE86">
            <w:pPr>
              <w:spacing w:line="0" w:lineRule="atLeast"/>
              <w:rPr>
                <w:rFonts w:ascii="宋体" w:hAnsi="宋体" w:cs="宋体"/>
                <w:color w:val="000000"/>
                <w:sz w:val="28"/>
                <w:szCs w:val="28"/>
              </w:rPr>
            </w:pPr>
            <w:r>
              <w:rPr>
                <w:rFonts w:hint="eastAsia" w:ascii="宋体" w:hAnsi="宋体" w:cs="宋体"/>
                <w:color w:val="000000"/>
                <w:sz w:val="28"/>
                <w:szCs w:val="28"/>
              </w:rPr>
              <w:t>2.根据投标文件实施方案中项目管理策略、质量和进度控制措施等的完整性进行综合评价。</w:t>
            </w:r>
          </w:p>
          <w:p w14:paraId="371C3DD0">
            <w:pPr>
              <w:spacing w:line="0" w:lineRule="atLeast"/>
              <w:rPr>
                <w:rFonts w:ascii="宋体" w:hAnsi="宋体" w:cs="宋体"/>
                <w:color w:val="000000"/>
                <w:sz w:val="28"/>
                <w:szCs w:val="28"/>
              </w:rPr>
            </w:pPr>
            <w:r>
              <w:rPr>
                <w:rFonts w:hint="eastAsia" w:ascii="宋体" w:hAnsi="宋体" w:cs="宋体"/>
                <w:color w:val="000000"/>
                <w:sz w:val="28"/>
                <w:szCs w:val="28"/>
              </w:rPr>
              <w:t>方案完整性（3分）方案完整完全符合项目特点的得3分；较为完整的得2分；不完整的得1分；</w:t>
            </w:r>
          </w:p>
          <w:p w14:paraId="517C13F3">
            <w:pPr>
              <w:spacing w:line="0" w:lineRule="atLeast"/>
              <w:rPr>
                <w:rFonts w:ascii="宋体" w:hAnsi="宋体" w:cs="宋体"/>
                <w:color w:val="000000"/>
                <w:sz w:val="28"/>
                <w:szCs w:val="28"/>
              </w:rPr>
            </w:pPr>
            <w:r>
              <w:rPr>
                <w:rFonts w:hint="eastAsia" w:ascii="宋体" w:hAnsi="宋体" w:cs="宋体"/>
                <w:color w:val="000000"/>
                <w:sz w:val="28"/>
                <w:szCs w:val="28"/>
              </w:rPr>
              <w:t>合理性（2分）方案科学合理的得2分；较为科学合理的得1分；欠缺的得0.5分；</w:t>
            </w:r>
          </w:p>
          <w:p w14:paraId="201644BE">
            <w:pPr>
              <w:spacing w:line="0" w:lineRule="atLeast"/>
              <w:rPr>
                <w:rFonts w:ascii="宋体" w:hAnsi="宋体" w:cs="宋体"/>
                <w:color w:val="000000"/>
                <w:sz w:val="28"/>
                <w:szCs w:val="28"/>
              </w:rPr>
            </w:pPr>
            <w:r>
              <w:rPr>
                <w:rFonts w:hint="eastAsia" w:ascii="宋体" w:hAnsi="宋体" w:cs="宋体"/>
                <w:color w:val="000000"/>
                <w:sz w:val="28"/>
                <w:szCs w:val="28"/>
              </w:rPr>
              <w:t>可行性（2分）方案可行性强的得2分；较强的得1分；欠缺的得0.5分；</w:t>
            </w:r>
          </w:p>
          <w:p w14:paraId="11580358">
            <w:pPr>
              <w:spacing w:line="0" w:lineRule="atLeast"/>
              <w:rPr>
                <w:rFonts w:ascii="宋体" w:hAnsi="宋体" w:cs="宋体"/>
                <w:color w:val="000000"/>
                <w:sz w:val="28"/>
                <w:szCs w:val="28"/>
              </w:rPr>
            </w:pPr>
            <w:r>
              <w:rPr>
                <w:rFonts w:hint="eastAsia" w:ascii="宋体" w:hAnsi="宋体" w:cs="宋体"/>
                <w:color w:val="000000"/>
                <w:sz w:val="28"/>
                <w:szCs w:val="28"/>
              </w:rPr>
              <w:t>未提供方案不得分。</w:t>
            </w:r>
          </w:p>
        </w:tc>
      </w:tr>
      <w:tr w14:paraId="74872CC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34" w:hRule="atLeast"/>
        </w:trPr>
        <w:tc>
          <w:tcPr>
            <w:tcW w:w="888" w:type="dxa"/>
            <w:vMerge w:val="continue"/>
            <w:vAlign w:val="center"/>
          </w:tcPr>
          <w:p w14:paraId="21F8A889">
            <w:pPr>
              <w:widowControl/>
              <w:spacing w:line="400" w:lineRule="exact"/>
              <w:ind w:firstLine="480"/>
              <w:jc w:val="center"/>
              <w:rPr>
                <w:rFonts w:ascii="宋体" w:hAnsi="宋体" w:cs="宋体"/>
                <w:color w:val="000000"/>
                <w:sz w:val="28"/>
                <w:szCs w:val="28"/>
              </w:rPr>
            </w:pPr>
          </w:p>
        </w:tc>
        <w:tc>
          <w:tcPr>
            <w:tcW w:w="1347" w:type="dxa"/>
            <w:vMerge w:val="continue"/>
            <w:vAlign w:val="center"/>
          </w:tcPr>
          <w:p w14:paraId="5B664C89">
            <w:pPr>
              <w:spacing w:line="0" w:lineRule="atLeast"/>
              <w:rPr>
                <w:rFonts w:ascii="宋体" w:hAnsi="宋体" w:cs="宋体"/>
                <w:color w:val="000000"/>
                <w:sz w:val="28"/>
                <w:szCs w:val="28"/>
              </w:rPr>
            </w:pPr>
          </w:p>
        </w:tc>
        <w:tc>
          <w:tcPr>
            <w:tcW w:w="8315" w:type="dxa"/>
            <w:gridSpan w:val="2"/>
            <w:vAlign w:val="center"/>
          </w:tcPr>
          <w:p w14:paraId="7E930985">
            <w:pPr>
              <w:spacing w:line="0" w:lineRule="atLeast"/>
              <w:rPr>
                <w:rFonts w:ascii="宋体" w:hAnsi="宋体" w:cs="宋体"/>
                <w:color w:val="000000"/>
                <w:sz w:val="28"/>
                <w:szCs w:val="28"/>
              </w:rPr>
            </w:pPr>
            <w:r>
              <w:rPr>
                <w:rFonts w:hint="eastAsia" w:ascii="宋体" w:hAnsi="宋体" w:cs="宋体"/>
                <w:color w:val="000000"/>
                <w:sz w:val="28"/>
                <w:szCs w:val="28"/>
              </w:rPr>
              <w:t>3.根据投标文件实施方案中拟配备实施团队结构和成员分工等的清晰性、可执行性进行综合评价。</w:t>
            </w:r>
          </w:p>
          <w:p w14:paraId="69E126C7">
            <w:pPr>
              <w:spacing w:line="0" w:lineRule="atLeast"/>
              <w:rPr>
                <w:rFonts w:ascii="宋体" w:hAnsi="宋体" w:cs="宋体"/>
                <w:color w:val="000000"/>
                <w:sz w:val="28"/>
                <w:szCs w:val="28"/>
              </w:rPr>
            </w:pPr>
            <w:r>
              <w:rPr>
                <w:rFonts w:hint="eastAsia" w:ascii="宋体" w:hAnsi="宋体" w:cs="宋体"/>
                <w:color w:val="000000"/>
                <w:sz w:val="28"/>
                <w:szCs w:val="28"/>
              </w:rPr>
              <w:t>方案完整性（3分）方案完整完全符合项目特点的得3分；较为完整的得2分；不完整的得1分；</w:t>
            </w:r>
          </w:p>
          <w:p w14:paraId="7D999D0C">
            <w:pPr>
              <w:spacing w:line="0" w:lineRule="atLeast"/>
              <w:rPr>
                <w:rFonts w:ascii="宋体" w:hAnsi="宋体" w:cs="宋体"/>
                <w:color w:val="000000"/>
                <w:sz w:val="28"/>
                <w:szCs w:val="28"/>
              </w:rPr>
            </w:pPr>
            <w:r>
              <w:rPr>
                <w:rFonts w:hint="eastAsia" w:ascii="宋体" w:hAnsi="宋体" w:cs="宋体"/>
                <w:color w:val="000000"/>
                <w:sz w:val="28"/>
                <w:szCs w:val="28"/>
              </w:rPr>
              <w:t>合理性（2分）方案科学合理的得2分；较为科学合理的得1分；欠缺的得0.5分；</w:t>
            </w:r>
          </w:p>
          <w:p w14:paraId="092ABFC3">
            <w:pPr>
              <w:spacing w:line="0" w:lineRule="atLeast"/>
              <w:rPr>
                <w:rFonts w:ascii="宋体" w:hAnsi="宋体" w:cs="宋体"/>
                <w:color w:val="000000"/>
                <w:sz w:val="28"/>
                <w:szCs w:val="28"/>
              </w:rPr>
            </w:pPr>
            <w:r>
              <w:rPr>
                <w:rFonts w:hint="eastAsia" w:ascii="宋体" w:hAnsi="宋体" w:cs="宋体"/>
                <w:color w:val="000000"/>
                <w:sz w:val="28"/>
                <w:szCs w:val="28"/>
              </w:rPr>
              <w:t>可行性（2分）方案可行性强的得2分；较强的得1分；欠缺的得0.5分；</w:t>
            </w:r>
          </w:p>
          <w:p w14:paraId="480B4C9E">
            <w:pPr>
              <w:spacing w:line="0" w:lineRule="atLeast"/>
              <w:rPr>
                <w:rFonts w:ascii="宋体" w:hAnsi="宋体" w:cs="宋体"/>
                <w:color w:val="000000"/>
                <w:sz w:val="28"/>
                <w:szCs w:val="28"/>
              </w:rPr>
            </w:pPr>
            <w:r>
              <w:rPr>
                <w:rFonts w:hint="eastAsia" w:ascii="宋体" w:hAnsi="宋体" w:cs="宋体"/>
                <w:color w:val="000000"/>
                <w:sz w:val="28"/>
                <w:szCs w:val="28"/>
              </w:rPr>
              <w:t>未提供方案不得分。</w:t>
            </w:r>
          </w:p>
        </w:tc>
      </w:tr>
      <w:tr w14:paraId="6743DDB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34" w:hRule="atLeast"/>
        </w:trPr>
        <w:tc>
          <w:tcPr>
            <w:tcW w:w="888" w:type="dxa"/>
            <w:vMerge w:val="continue"/>
            <w:vAlign w:val="center"/>
          </w:tcPr>
          <w:p w14:paraId="00CCBC69">
            <w:pPr>
              <w:widowControl/>
              <w:spacing w:line="400" w:lineRule="exact"/>
              <w:ind w:firstLine="480"/>
              <w:jc w:val="center"/>
              <w:rPr>
                <w:rFonts w:ascii="宋体" w:hAnsi="宋体" w:cs="宋体"/>
                <w:color w:val="000000"/>
                <w:sz w:val="28"/>
                <w:szCs w:val="28"/>
              </w:rPr>
            </w:pPr>
          </w:p>
        </w:tc>
        <w:tc>
          <w:tcPr>
            <w:tcW w:w="1347" w:type="dxa"/>
            <w:vMerge w:val="continue"/>
            <w:vAlign w:val="center"/>
          </w:tcPr>
          <w:p w14:paraId="4964C8F5">
            <w:pPr>
              <w:spacing w:line="0" w:lineRule="atLeast"/>
              <w:rPr>
                <w:rFonts w:ascii="宋体" w:hAnsi="宋体" w:cs="宋体"/>
                <w:color w:val="000000"/>
                <w:sz w:val="28"/>
                <w:szCs w:val="28"/>
              </w:rPr>
            </w:pPr>
          </w:p>
        </w:tc>
        <w:tc>
          <w:tcPr>
            <w:tcW w:w="8315" w:type="dxa"/>
            <w:gridSpan w:val="2"/>
            <w:vAlign w:val="center"/>
          </w:tcPr>
          <w:p w14:paraId="3A7E3D6A">
            <w:pPr>
              <w:spacing w:line="0" w:lineRule="atLeast"/>
              <w:rPr>
                <w:rFonts w:ascii="宋体" w:hAnsi="宋体" w:cs="宋体"/>
                <w:color w:val="000000"/>
                <w:sz w:val="28"/>
                <w:szCs w:val="28"/>
              </w:rPr>
            </w:pPr>
            <w:r>
              <w:rPr>
                <w:rFonts w:hint="eastAsia" w:ascii="宋体" w:hAnsi="宋体" w:cs="宋体"/>
                <w:color w:val="000000"/>
                <w:sz w:val="28"/>
                <w:szCs w:val="28"/>
              </w:rPr>
              <w:t>4.根据投标文件中设备安装调试、配送方案、验收标准的清晰性、可执行性进行综合评价。</w:t>
            </w:r>
          </w:p>
          <w:p w14:paraId="1806EBB8">
            <w:pPr>
              <w:spacing w:line="0" w:lineRule="atLeast"/>
              <w:rPr>
                <w:rFonts w:ascii="宋体" w:hAnsi="宋体" w:cs="宋体"/>
                <w:color w:val="000000"/>
                <w:sz w:val="30"/>
                <w:szCs w:val="30"/>
              </w:rPr>
            </w:pPr>
            <w:r>
              <w:rPr>
                <w:rFonts w:hint="eastAsia" w:ascii="宋体" w:hAnsi="宋体" w:cs="宋体"/>
                <w:color w:val="000000"/>
                <w:sz w:val="30"/>
                <w:szCs w:val="30"/>
              </w:rPr>
              <w:t>方案完整性（2分）方案完整完全符合项目特点的得2分；较为完整的得1分；不完整的得0.5分；</w:t>
            </w:r>
          </w:p>
          <w:p w14:paraId="5C8DAE02">
            <w:pPr>
              <w:spacing w:line="0" w:lineRule="atLeast"/>
              <w:rPr>
                <w:rFonts w:ascii="宋体" w:hAnsi="宋体" w:cs="宋体"/>
                <w:color w:val="000000"/>
                <w:sz w:val="28"/>
                <w:szCs w:val="28"/>
              </w:rPr>
            </w:pPr>
            <w:r>
              <w:rPr>
                <w:rFonts w:hint="eastAsia" w:ascii="宋体" w:hAnsi="宋体" w:cs="宋体"/>
                <w:color w:val="000000"/>
                <w:sz w:val="30"/>
                <w:szCs w:val="30"/>
              </w:rPr>
              <w:t>合理性（2分）方案科学合</w:t>
            </w:r>
            <w:r>
              <w:rPr>
                <w:rFonts w:hint="eastAsia" w:ascii="宋体" w:hAnsi="宋体" w:cs="宋体"/>
                <w:color w:val="000000"/>
                <w:sz w:val="28"/>
                <w:szCs w:val="28"/>
              </w:rPr>
              <w:t>理的得2分；较为科学合理的得1分；欠缺的得0.5分；</w:t>
            </w:r>
          </w:p>
          <w:p w14:paraId="42597D76">
            <w:pPr>
              <w:spacing w:line="0" w:lineRule="atLeast"/>
              <w:rPr>
                <w:rFonts w:ascii="宋体" w:hAnsi="宋体" w:cs="宋体"/>
                <w:color w:val="000000"/>
                <w:sz w:val="28"/>
                <w:szCs w:val="28"/>
              </w:rPr>
            </w:pPr>
            <w:r>
              <w:rPr>
                <w:rFonts w:hint="eastAsia" w:ascii="宋体" w:hAnsi="宋体" w:cs="宋体"/>
                <w:color w:val="000000"/>
                <w:sz w:val="28"/>
                <w:szCs w:val="28"/>
              </w:rPr>
              <w:t>可行性（1分）方案可行性强的得1分；较强的得0.5分；</w:t>
            </w:r>
          </w:p>
          <w:p w14:paraId="7E2EDF92">
            <w:pPr>
              <w:spacing w:line="400" w:lineRule="exact"/>
              <w:rPr>
                <w:rFonts w:ascii="宋体" w:hAnsi="宋体" w:cs="宋体"/>
                <w:color w:val="000000"/>
                <w:sz w:val="28"/>
                <w:szCs w:val="28"/>
              </w:rPr>
            </w:pPr>
            <w:r>
              <w:rPr>
                <w:rFonts w:hint="eastAsia" w:ascii="宋体" w:hAnsi="宋体" w:cs="宋体"/>
                <w:color w:val="000000"/>
                <w:sz w:val="28"/>
                <w:szCs w:val="28"/>
              </w:rPr>
              <w:t>未提供方案不得分。</w:t>
            </w:r>
          </w:p>
        </w:tc>
      </w:tr>
      <w:tr w14:paraId="34205A1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34" w:hRule="atLeast"/>
        </w:trPr>
        <w:tc>
          <w:tcPr>
            <w:tcW w:w="888" w:type="dxa"/>
            <w:vMerge w:val="continue"/>
            <w:vAlign w:val="center"/>
          </w:tcPr>
          <w:p w14:paraId="319DDB73">
            <w:pPr>
              <w:widowControl/>
              <w:spacing w:line="400" w:lineRule="exact"/>
              <w:ind w:firstLine="480"/>
              <w:jc w:val="center"/>
              <w:rPr>
                <w:rFonts w:ascii="宋体" w:hAnsi="宋体" w:cs="宋体"/>
                <w:color w:val="000000"/>
                <w:sz w:val="28"/>
                <w:szCs w:val="28"/>
              </w:rPr>
            </w:pPr>
          </w:p>
        </w:tc>
        <w:tc>
          <w:tcPr>
            <w:tcW w:w="1347" w:type="dxa"/>
            <w:vMerge w:val="restart"/>
            <w:vAlign w:val="center"/>
          </w:tcPr>
          <w:p w14:paraId="0FF88B12">
            <w:pPr>
              <w:spacing w:line="0" w:lineRule="atLeast"/>
              <w:rPr>
                <w:rFonts w:ascii="宋体" w:hAnsi="宋体" w:cs="宋体"/>
                <w:color w:val="000000"/>
                <w:sz w:val="28"/>
                <w:szCs w:val="28"/>
              </w:rPr>
            </w:pPr>
            <w:r>
              <w:rPr>
                <w:rFonts w:hint="eastAsia" w:ascii="宋体" w:hAnsi="宋体" w:cs="宋体"/>
                <w:color w:val="000000"/>
                <w:sz w:val="28"/>
                <w:szCs w:val="28"/>
              </w:rPr>
              <w:t>售后服务和培训方案</w:t>
            </w:r>
          </w:p>
          <w:p w14:paraId="4CFBDF2C">
            <w:pPr>
              <w:spacing w:line="0" w:lineRule="atLeast"/>
              <w:rPr>
                <w:rFonts w:ascii="宋体" w:hAnsi="宋体" w:cs="宋体"/>
                <w:color w:val="000000"/>
                <w:sz w:val="28"/>
                <w:szCs w:val="28"/>
              </w:rPr>
            </w:pPr>
            <w:r>
              <w:rPr>
                <w:rFonts w:hint="eastAsia" w:ascii="宋体" w:hAnsi="宋体" w:cs="宋体"/>
                <w:color w:val="000000"/>
                <w:sz w:val="28"/>
                <w:szCs w:val="28"/>
              </w:rPr>
              <w:t>（9分）</w:t>
            </w:r>
          </w:p>
        </w:tc>
        <w:tc>
          <w:tcPr>
            <w:tcW w:w="1522" w:type="dxa"/>
            <w:vAlign w:val="center"/>
          </w:tcPr>
          <w:p w14:paraId="75AD6636">
            <w:pPr>
              <w:widowControl/>
              <w:spacing w:line="400" w:lineRule="exact"/>
              <w:jc w:val="left"/>
              <w:rPr>
                <w:rFonts w:hAnsi="宋体" w:cs="宋体"/>
                <w:color w:val="000000"/>
                <w:sz w:val="28"/>
                <w:szCs w:val="28"/>
              </w:rPr>
            </w:pPr>
            <w:r>
              <w:rPr>
                <w:rFonts w:hint="eastAsia" w:ascii="宋体" w:hAnsi="宋体" w:cs="宋体"/>
                <w:color w:val="000000"/>
                <w:sz w:val="28"/>
                <w:szCs w:val="28"/>
              </w:rPr>
              <w:t>培训方案（</w:t>
            </w:r>
            <w:r>
              <w:rPr>
                <w:rFonts w:hint="eastAsia" w:hAnsi="宋体" w:cs="宋体"/>
                <w:color w:val="000000"/>
                <w:sz w:val="28"/>
                <w:szCs w:val="28"/>
              </w:rPr>
              <w:t>3</w:t>
            </w:r>
            <w:r>
              <w:rPr>
                <w:rFonts w:hint="eastAsia" w:ascii="宋体" w:hAnsi="宋体" w:cs="宋体"/>
                <w:color w:val="000000"/>
                <w:sz w:val="28"/>
                <w:szCs w:val="28"/>
              </w:rPr>
              <w:t>分）</w:t>
            </w:r>
          </w:p>
        </w:tc>
        <w:tc>
          <w:tcPr>
            <w:tcW w:w="6793" w:type="dxa"/>
            <w:vAlign w:val="center"/>
          </w:tcPr>
          <w:p w14:paraId="18370D8C">
            <w:pPr>
              <w:spacing w:line="0" w:lineRule="atLeast"/>
              <w:rPr>
                <w:rFonts w:ascii="宋体" w:hAnsi="宋体" w:cs="宋体"/>
                <w:color w:val="000000"/>
                <w:sz w:val="28"/>
                <w:szCs w:val="28"/>
              </w:rPr>
            </w:pPr>
            <w:r>
              <w:rPr>
                <w:rFonts w:hint="eastAsia" w:ascii="宋体" w:hAnsi="宋体" w:cs="宋体"/>
                <w:color w:val="000000"/>
                <w:sz w:val="28"/>
                <w:szCs w:val="28"/>
              </w:rPr>
              <w:t>根据投标文件中的培训方案包括但不限于人员安排、培训计划、系统使用等进行综合评价：</w:t>
            </w:r>
          </w:p>
          <w:p w14:paraId="130F64F1">
            <w:pPr>
              <w:spacing w:line="0" w:lineRule="atLeast"/>
              <w:rPr>
                <w:rFonts w:ascii="宋体" w:hAnsi="宋体" w:cs="宋体"/>
                <w:color w:val="000000"/>
                <w:sz w:val="28"/>
                <w:szCs w:val="28"/>
              </w:rPr>
            </w:pPr>
            <w:r>
              <w:rPr>
                <w:rFonts w:hint="eastAsia" w:ascii="宋体" w:hAnsi="宋体" w:cs="宋体"/>
                <w:color w:val="000000"/>
                <w:sz w:val="28"/>
                <w:szCs w:val="28"/>
              </w:rPr>
              <w:t>方案完整性（1分）方案完整完全符合项目特点的得1分；较为完整的得0.5分；</w:t>
            </w:r>
          </w:p>
          <w:p w14:paraId="50A0240D">
            <w:pPr>
              <w:spacing w:line="0" w:lineRule="atLeast"/>
              <w:rPr>
                <w:rFonts w:ascii="宋体" w:hAnsi="宋体" w:cs="宋体"/>
                <w:color w:val="000000"/>
                <w:sz w:val="28"/>
                <w:szCs w:val="28"/>
              </w:rPr>
            </w:pPr>
            <w:r>
              <w:rPr>
                <w:rFonts w:hint="eastAsia" w:ascii="宋体" w:hAnsi="宋体" w:cs="宋体"/>
                <w:color w:val="000000"/>
                <w:sz w:val="28"/>
                <w:szCs w:val="28"/>
              </w:rPr>
              <w:t>合理性（1分）方案科学合理的得1分；欠缺的得0.5分；</w:t>
            </w:r>
          </w:p>
          <w:p w14:paraId="2A93F0E6">
            <w:pPr>
              <w:spacing w:line="0" w:lineRule="atLeast"/>
              <w:rPr>
                <w:rFonts w:ascii="宋体" w:hAnsi="宋体" w:cs="宋体"/>
                <w:color w:val="000000"/>
                <w:sz w:val="28"/>
                <w:szCs w:val="28"/>
              </w:rPr>
            </w:pPr>
            <w:r>
              <w:rPr>
                <w:rFonts w:hint="eastAsia" w:ascii="宋体" w:hAnsi="宋体" w:cs="宋体"/>
                <w:color w:val="000000"/>
                <w:sz w:val="28"/>
                <w:szCs w:val="28"/>
              </w:rPr>
              <w:t>可行性（1分）方案可行性强的得1分；较强的得0.5分；</w:t>
            </w:r>
          </w:p>
          <w:p w14:paraId="088D69CC">
            <w:pPr>
              <w:spacing w:line="0" w:lineRule="atLeast"/>
              <w:rPr>
                <w:rFonts w:hAnsi="宋体" w:cs="宋体"/>
                <w:bCs/>
                <w:color w:val="000000"/>
                <w:sz w:val="28"/>
                <w:szCs w:val="28"/>
              </w:rPr>
            </w:pPr>
            <w:r>
              <w:rPr>
                <w:rFonts w:hint="eastAsia" w:ascii="宋体" w:hAnsi="宋体" w:cs="宋体"/>
                <w:color w:val="000000"/>
                <w:sz w:val="28"/>
                <w:szCs w:val="28"/>
              </w:rPr>
              <w:t>未提供方案不得分。</w:t>
            </w:r>
          </w:p>
        </w:tc>
      </w:tr>
      <w:tr w14:paraId="70276BC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34" w:hRule="atLeast"/>
        </w:trPr>
        <w:tc>
          <w:tcPr>
            <w:tcW w:w="888" w:type="dxa"/>
            <w:vMerge w:val="continue"/>
            <w:vAlign w:val="center"/>
          </w:tcPr>
          <w:p w14:paraId="582D6A9D">
            <w:pPr>
              <w:widowControl/>
              <w:spacing w:line="400" w:lineRule="exact"/>
              <w:ind w:firstLine="480"/>
              <w:jc w:val="center"/>
              <w:rPr>
                <w:rFonts w:ascii="宋体" w:hAnsi="宋体" w:cs="宋体"/>
                <w:color w:val="000000"/>
                <w:sz w:val="28"/>
                <w:szCs w:val="28"/>
              </w:rPr>
            </w:pPr>
          </w:p>
        </w:tc>
        <w:tc>
          <w:tcPr>
            <w:tcW w:w="1347" w:type="dxa"/>
            <w:vMerge w:val="continue"/>
            <w:vAlign w:val="center"/>
          </w:tcPr>
          <w:p w14:paraId="615FFAB3">
            <w:pPr>
              <w:spacing w:line="0" w:lineRule="atLeast"/>
              <w:rPr>
                <w:rFonts w:ascii="宋体" w:hAnsi="宋体" w:cs="宋体"/>
                <w:color w:val="000000"/>
                <w:sz w:val="28"/>
                <w:szCs w:val="28"/>
              </w:rPr>
            </w:pPr>
          </w:p>
        </w:tc>
        <w:tc>
          <w:tcPr>
            <w:tcW w:w="1522" w:type="dxa"/>
            <w:vAlign w:val="center"/>
          </w:tcPr>
          <w:p w14:paraId="3A2193EC">
            <w:pPr>
              <w:widowControl/>
              <w:spacing w:line="400" w:lineRule="exact"/>
              <w:jc w:val="left"/>
              <w:rPr>
                <w:rFonts w:ascii="宋体" w:hAnsi="宋体" w:cs="宋体"/>
                <w:color w:val="000000"/>
                <w:sz w:val="28"/>
                <w:szCs w:val="28"/>
              </w:rPr>
            </w:pPr>
            <w:r>
              <w:rPr>
                <w:rFonts w:hint="eastAsia" w:ascii="宋体" w:hAnsi="宋体" w:cs="宋体"/>
                <w:color w:val="000000"/>
                <w:sz w:val="28"/>
                <w:szCs w:val="28"/>
              </w:rPr>
              <w:t>售后服务方案</w:t>
            </w:r>
          </w:p>
          <w:p w14:paraId="353497FB">
            <w:pPr>
              <w:widowControl/>
              <w:spacing w:line="400" w:lineRule="exact"/>
              <w:jc w:val="left"/>
              <w:rPr>
                <w:rFonts w:hAnsi="宋体" w:cs="宋体"/>
                <w:color w:val="000000"/>
                <w:sz w:val="28"/>
                <w:szCs w:val="28"/>
              </w:rPr>
            </w:pPr>
            <w:r>
              <w:rPr>
                <w:rFonts w:hint="eastAsia" w:ascii="宋体" w:hAnsi="宋体" w:cs="宋体"/>
                <w:color w:val="000000"/>
                <w:sz w:val="28"/>
                <w:szCs w:val="28"/>
              </w:rPr>
              <w:t>（6分）</w:t>
            </w:r>
          </w:p>
        </w:tc>
        <w:tc>
          <w:tcPr>
            <w:tcW w:w="6793" w:type="dxa"/>
            <w:vAlign w:val="center"/>
          </w:tcPr>
          <w:p w14:paraId="3DB74A75">
            <w:pPr>
              <w:spacing w:line="0" w:lineRule="atLeast"/>
              <w:rPr>
                <w:rFonts w:ascii="宋体" w:hAnsi="宋体" w:cs="宋体"/>
                <w:color w:val="000000"/>
                <w:sz w:val="28"/>
                <w:szCs w:val="28"/>
              </w:rPr>
            </w:pPr>
            <w:r>
              <w:rPr>
                <w:rFonts w:hint="eastAsia" w:ascii="宋体" w:hAnsi="宋体" w:cs="宋体"/>
                <w:color w:val="000000"/>
                <w:sz w:val="28"/>
                <w:szCs w:val="28"/>
              </w:rPr>
              <w:t>1.售后服务（4分）</w:t>
            </w:r>
          </w:p>
          <w:p w14:paraId="3BB02EEA">
            <w:pPr>
              <w:spacing w:line="0" w:lineRule="atLeast"/>
              <w:rPr>
                <w:rFonts w:ascii="宋体" w:hAnsi="宋体" w:cs="宋体"/>
                <w:color w:val="000000"/>
                <w:sz w:val="28"/>
                <w:szCs w:val="28"/>
              </w:rPr>
            </w:pPr>
            <w:r>
              <w:rPr>
                <w:rFonts w:hint="eastAsia" w:ascii="宋体" w:hAnsi="宋体" w:cs="宋体"/>
                <w:color w:val="000000"/>
                <w:sz w:val="28"/>
                <w:szCs w:val="28"/>
              </w:rPr>
              <w:t>根据投标人提供的售后服务方案（包含服务体系、服务内容、故障解决方案、响应时间、专业技术人员保障及服务电话等）等方面打分。</w:t>
            </w:r>
          </w:p>
          <w:p w14:paraId="71049AA0">
            <w:pPr>
              <w:spacing w:line="0" w:lineRule="atLeast"/>
              <w:rPr>
                <w:rFonts w:ascii="宋体" w:hAnsi="宋体" w:cs="宋体"/>
                <w:color w:val="000000"/>
                <w:sz w:val="28"/>
                <w:szCs w:val="28"/>
              </w:rPr>
            </w:pPr>
            <w:r>
              <w:rPr>
                <w:rFonts w:hint="eastAsia" w:ascii="宋体" w:hAnsi="宋体" w:cs="宋体"/>
                <w:color w:val="000000"/>
                <w:sz w:val="28"/>
                <w:szCs w:val="28"/>
              </w:rPr>
              <w:t>方案完整性（2分）方案完整完全符合项目特点的得2分；较为完整的得1分；欠缺的得0.5分；</w:t>
            </w:r>
          </w:p>
          <w:p w14:paraId="58ACE13D">
            <w:pPr>
              <w:spacing w:line="0" w:lineRule="atLeast"/>
              <w:rPr>
                <w:rFonts w:ascii="宋体" w:hAnsi="宋体" w:cs="宋体"/>
                <w:color w:val="000000"/>
                <w:sz w:val="28"/>
                <w:szCs w:val="28"/>
              </w:rPr>
            </w:pPr>
            <w:r>
              <w:rPr>
                <w:rFonts w:hint="eastAsia" w:ascii="宋体" w:hAnsi="宋体" w:cs="宋体"/>
                <w:color w:val="000000"/>
                <w:sz w:val="28"/>
                <w:szCs w:val="28"/>
              </w:rPr>
              <w:t>合理性（1分）方案科学合理的得1分；欠缺的得0.5分；</w:t>
            </w:r>
          </w:p>
          <w:p w14:paraId="7B49B766">
            <w:pPr>
              <w:spacing w:line="0" w:lineRule="atLeast"/>
              <w:rPr>
                <w:rFonts w:ascii="宋体" w:hAnsi="宋体" w:cs="宋体"/>
                <w:color w:val="000000"/>
                <w:sz w:val="28"/>
                <w:szCs w:val="28"/>
              </w:rPr>
            </w:pPr>
            <w:r>
              <w:rPr>
                <w:rFonts w:hint="eastAsia" w:ascii="宋体" w:hAnsi="宋体" w:cs="宋体"/>
                <w:color w:val="000000"/>
                <w:sz w:val="28"/>
                <w:szCs w:val="28"/>
              </w:rPr>
              <w:t>可行性（1分）方案可行性强的得1分；较强的得0.5分；</w:t>
            </w:r>
          </w:p>
          <w:p w14:paraId="560DC6E1">
            <w:pPr>
              <w:spacing w:line="0" w:lineRule="atLeast"/>
              <w:rPr>
                <w:rFonts w:ascii="宋体" w:hAnsi="宋体" w:cs="宋体"/>
                <w:color w:val="000000"/>
                <w:sz w:val="28"/>
                <w:szCs w:val="28"/>
              </w:rPr>
            </w:pPr>
            <w:r>
              <w:rPr>
                <w:rFonts w:hint="eastAsia" w:ascii="宋体" w:hAnsi="宋体" w:cs="宋体"/>
                <w:color w:val="000000"/>
                <w:sz w:val="28"/>
                <w:szCs w:val="28"/>
              </w:rPr>
              <w:t>未提供方案不得分。</w:t>
            </w:r>
          </w:p>
          <w:p w14:paraId="69938545">
            <w:pPr>
              <w:spacing w:line="0" w:lineRule="atLeast"/>
              <w:rPr>
                <w:rFonts w:ascii="宋体" w:hAnsi="宋体" w:cs="宋体"/>
                <w:color w:val="000000"/>
                <w:sz w:val="28"/>
                <w:szCs w:val="28"/>
              </w:rPr>
            </w:pPr>
            <w:r>
              <w:rPr>
                <w:rFonts w:hint="eastAsia" w:ascii="宋体" w:hAnsi="宋体" w:cs="宋体"/>
                <w:color w:val="000000"/>
                <w:sz w:val="28"/>
                <w:szCs w:val="28"/>
              </w:rPr>
              <w:t>2.质保期（2分）</w:t>
            </w:r>
          </w:p>
          <w:p w14:paraId="5B6C989B">
            <w:pPr>
              <w:spacing w:line="0" w:lineRule="atLeast"/>
              <w:rPr>
                <w:rFonts w:hAnsi="宋体" w:cs="宋体"/>
                <w:bCs/>
                <w:color w:val="000000"/>
                <w:sz w:val="28"/>
                <w:szCs w:val="28"/>
              </w:rPr>
            </w:pPr>
            <w:r>
              <w:rPr>
                <w:rFonts w:hint="eastAsia" w:ascii="宋体" w:hAnsi="宋体" w:cs="宋体"/>
                <w:color w:val="000000"/>
                <w:sz w:val="28"/>
                <w:szCs w:val="28"/>
              </w:rPr>
              <w:t>完全满足招标文件质保期要求的得1分，在此基础上，每增加一年质保期加1分。</w:t>
            </w:r>
          </w:p>
        </w:tc>
      </w:tr>
      <w:tr w14:paraId="358D9DE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31" w:hRule="atLeast"/>
        </w:trPr>
        <w:tc>
          <w:tcPr>
            <w:tcW w:w="2235" w:type="dxa"/>
            <w:gridSpan w:val="2"/>
            <w:vAlign w:val="center"/>
          </w:tcPr>
          <w:p w14:paraId="335E28E7">
            <w:pPr>
              <w:widowControl/>
              <w:spacing w:line="400" w:lineRule="exact"/>
              <w:ind w:firstLine="480"/>
              <w:jc w:val="center"/>
              <w:rPr>
                <w:rFonts w:ascii="宋体" w:hAnsi="宋体" w:cs="宋体"/>
                <w:color w:val="000000"/>
                <w:sz w:val="28"/>
                <w:szCs w:val="28"/>
              </w:rPr>
            </w:pPr>
            <w:r>
              <w:rPr>
                <w:rFonts w:hint="eastAsia" w:ascii="宋体" w:hAnsi="宋体" w:cs="宋体"/>
                <w:color w:val="000000"/>
                <w:sz w:val="28"/>
                <w:szCs w:val="28"/>
              </w:rPr>
              <w:t>所报产品为“环境标志产品”（1分）</w:t>
            </w:r>
          </w:p>
        </w:tc>
        <w:tc>
          <w:tcPr>
            <w:tcW w:w="8315" w:type="dxa"/>
            <w:gridSpan w:val="2"/>
            <w:vAlign w:val="center"/>
          </w:tcPr>
          <w:p w14:paraId="3E53F292">
            <w:pPr>
              <w:spacing w:line="0" w:lineRule="atLeast"/>
              <w:rPr>
                <w:rFonts w:ascii="宋体" w:hAnsi="宋体" w:cs="宋体"/>
                <w:color w:val="000000"/>
                <w:sz w:val="28"/>
                <w:szCs w:val="28"/>
              </w:rPr>
            </w:pPr>
            <w:r>
              <w:rPr>
                <w:rFonts w:hint="eastAsia" w:ascii="宋体" w:hAnsi="宋体" w:cs="宋体"/>
                <w:color w:val="000000"/>
                <w:sz w:val="28"/>
                <w:szCs w:val="28"/>
              </w:rPr>
              <w:t>投标主要产品（不低于投标总价的60%）属“环境标志产品”（必须是有效期内）的得1分，是否为“环境标志产品”，以是否列入中华人民共和国财政部、中华人民共和国环境保护部发布的“环境标志产品政府采购清单”为准，投标文件中提供有关证明材料扫描件，经评标委员会在</w:t>
            </w:r>
            <w:r>
              <w:fldChar w:fldCharType="begin"/>
            </w:r>
            <w:r>
              <w:instrText xml:space="preserve"> HYPERLINK "http://www.ccgp.gov.cn/" </w:instrText>
            </w:r>
            <w:r>
              <w:fldChar w:fldCharType="separate"/>
            </w:r>
            <w:r>
              <w:rPr>
                <w:rFonts w:hint="eastAsia" w:ascii="宋体" w:hAnsi="宋体" w:cs="宋体"/>
                <w:color w:val="000000"/>
                <w:sz w:val="28"/>
                <w:szCs w:val="28"/>
              </w:rPr>
              <w:t>http：//www.ccgp.gov.cn/</w:t>
            </w:r>
            <w:r>
              <w:rPr>
                <w:rFonts w:hint="eastAsia" w:ascii="宋体" w:hAnsi="宋体" w:cs="宋体"/>
                <w:color w:val="000000"/>
                <w:sz w:val="28"/>
                <w:szCs w:val="28"/>
              </w:rPr>
              <w:fldChar w:fldCharType="end"/>
            </w:r>
            <w:r>
              <w:rPr>
                <w:rFonts w:hint="eastAsia" w:ascii="宋体" w:hAnsi="宋体" w:cs="宋体"/>
                <w:color w:val="000000"/>
                <w:sz w:val="28"/>
                <w:szCs w:val="28"/>
              </w:rPr>
              <w:t>网上核查后方为有效。投标时不须原件核查。</w:t>
            </w:r>
          </w:p>
        </w:tc>
      </w:tr>
      <w:tr w14:paraId="497B192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49" w:hRule="atLeast"/>
        </w:trPr>
        <w:tc>
          <w:tcPr>
            <w:tcW w:w="2235" w:type="dxa"/>
            <w:gridSpan w:val="2"/>
            <w:vAlign w:val="center"/>
          </w:tcPr>
          <w:p w14:paraId="14EFC971">
            <w:pPr>
              <w:widowControl/>
              <w:spacing w:line="400" w:lineRule="exact"/>
              <w:ind w:firstLine="480"/>
              <w:jc w:val="center"/>
              <w:rPr>
                <w:rFonts w:ascii="宋体" w:hAnsi="宋体" w:cs="宋体"/>
                <w:color w:val="000000"/>
                <w:sz w:val="28"/>
                <w:szCs w:val="28"/>
              </w:rPr>
            </w:pPr>
            <w:r>
              <w:rPr>
                <w:rFonts w:hint="eastAsia" w:ascii="宋体" w:hAnsi="宋体" w:cs="宋体"/>
                <w:color w:val="000000"/>
                <w:sz w:val="28"/>
                <w:szCs w:val="28"/>
              </w:rPr>
              <w:t>所报产品为“节能产品”（1分）</w:t>
            </w:r>
          </w:p>
        </w:tc>
        <w:tc>
          <w:tcPr>
            <w:tcW w:w="8315" w:type="dxa"/>
            <w:gridSpan w:val="2"/>
            <w:vAlign w:val="center"/>
          </w:tcPr>
          <w:p w14:paraId="4E0FA6B4">
            <w:pPr>
              <w:spacing w:line="0" w:lineRule="atLeast"/>
              <w:rPr>
                <w:rFonts w:ascii="宋体" w:hAnsi="宋体" w:cs="宋体"/>
                <w:color w:val="000000"/>
                <w:sz w:val="28"/>
                <w:szCs w:val="28"/>
              </w:rPr>
            </w:pPr>
            <w:r>
              <w:rPr>
                <w:rFonts w:hint="eastAsia" w:ascii="宋体" w:hAnsi="宋体" w:cs="宋体"/>
                <w:color w:val="000000"/>
                <w:sz w:val="28"/>
                <w:szCs w:val="28"/>
              </w:rPr>
              <w:t>投标主要产品（不低于投标总价的60%）属“节能产品”（必须是有效期内）的得1分，是否为“节能产品”，以是否列入中华人民共和国财政部、中华人民共和国国家发展和改革委员会发布的“节能产品政府采购清单”为准，投标文件中提供有关证明材料扫描件，经评标委员会在</w:t>
            </w:r>
            <w:r>
              <w:fldChar w:fldCharType="begin"/>
            </w:r>
            <w:r>
              <w:instrText xml:space="preserve"> HYPERLINK "http://www.ccgp.gov.cn/" </w:instrText>
            </w:r>
            <w:r>
              <w:fldChar w:fldCharType="separate"/>
            </w:r>
            <w:r>
              <w:rPr>
                <w:rFonts w:hint="eastAsia" w:ascii="宋体" w:hAnsi="宋体" w:cs="宋体"/>
                <w:color w:val="000000"/>
                <w:sz w:val="28"/>
                <w:szCs w:val="28"/>
              </w:rPr>
              <w:t>http：//www.ccgp.gov.cn/</w:t>
            </w:r>
            <w:r>
              <w:rPr>
                <w:rFonts w:hint="eastAsia" w:ascii="宋体" w:hAnsi="宋体" w:cs="宋体"/>
                <w:color w:val="000000"/>
                <w:sz w:val="28"/>
                <w:szCs w:val="28"/>
              </w:rPr>
              <w:fldChar w:fldCharType="end"/>
            </w:r>
            <w:r>
              <w:rPr>
                <w:rFonts w:hint="eastAsia" w:ascii="宋体" w:hAnsi="宋体" w:cs="宋体"/>
                <w:color w:val="000000"/>
                <w:sz w:val="28"/>
                <w:szCs w:val="28"/>
              </w:rPr>
              <w:t>网上核查后方为有效。投标时不须原件核查。</w:t>
            </w:r>
          </w:p>
        </w:tc>
      </w:tr>
    </w:tbl>
    <w:p w14:paraId="3EBC4C68">
      <w:pPr>
        <w:rPr>
          <w:rFonts w:hint="eastAsia" w:ascii="宋体" w:hAnsi="宋体" w:eastAsia="宋体" w:cs="宋体"/>
          <w:b/>
          <w:bCs/>
          <w:color w:val="FF0000"/>
          <w:sz w:val="28"/>
          <w:szCs w:val="28"/>
          <w:lang w:val="en-US" w:eastAsia="zh-CN"/>
        </w:rPr>
      </w:pPr>
    </w:p>
    <w:p w14:paraId="176CD25E">
      <w:pPr>
        <w:rPr>
          <w:rFonts w:hint="eastAsia" w:ascii="宋体" w:hAnsi="宋体" w:eastAsia="宋体" w:cs="宋体"/>
          <w:b/>
          <w:bCs/>
          <w:color w:val="FF0000"/>
          <w:sz w:val="28"/>
          <w:szCs w:val="28"/>
          <w:lang w:val="en-US" w:eastAsia="zh-CN"/>
        </w:rPr>
      </w:pPr>
    </w:p>
    <w:p w14:paraId="4E8995A5">
      <w:pPr>
        <w:rPr>
          <w:rFonts w:hint="eastAsia" w:ascii="宋体" w:hAnsi="宋体" w:eastAsia="宋体" w:cs="宋体"/>
          <w:b/>
          <w:bCs/>
          <w:color w:val="FF0000"/>
          <w:sz w:val="28"/>
          <w:szCs w:val="28"/>
          <w:lang w:val="en-US" w:eastAsia="zh-CN"/>
        </w:rPr>
      </w:pPr>
    </w:p>
    <w:p w14:paraId="5B554B60">
      <w:pPr>
        <w:rPr>
          <w:rFonts w:hint="eastAsia" w:ascii="宋体" w:hAnsi="宋体" w:eastAsia="宋体" w:cs="宋体"/>
          <w:b/>
          <w:bCs/>
          <w:color w:val="FF0000"/>
          <w:sz w:val="28"/>
          <w:szCs w:val="28"/>
          <w:lang w:val="en-US" w:eastAsia="zh-CN"/>
        </w:rPr>
      </w:pPr>
    </w:p>
    <w:p w14:paraId="19DE0BBC">
      <w:pPr>
        <w:rPr>
          <w:rFonts w:hint="eastAsia" w:ascii="宋体" w:hAnsi="宋体" w:eastAsia="宋体" w:cs="宋体"/>
          <w:b/>
          <w:bCs/>
          <w:color w:val="FF0000"/>
          <w:sz w:val="28"/>
          <w:szCs w:val="28"/>
          <w:lang w:val="en-US" w:eastAsia="zh-CN"/>
        </w:rPr>
      </w:pPr>
    </w:p>
    <w:p w14:paraId="77922FBD">
      <w:pPr>
        <w:rPr>
          <w:rFonts w:hint="eastAsia" w:ascii="宋体" w:hAnsi="宋体" w:eastAsia="宋体" w:cs="宋体"/>
          <w:b/>
          <w:bCs/>
          <w:color w:val="FF0000"/>
          <w:sz w:val="28"/>
          <w:szCs w:val="28"/>
          <w:lang w:val="en-US" w:eastAsia="zh-CN"/>
        </w:rPr>
      </w:pPr>
    </w:p>
    <w:p w14:paraId="6BD36178">
      <w:pPr>
        <w:rPr>
          <w:rFonts w:hint="eastAsia" w:ascii="宋体" w:hAnsi="宋体" w:eastAsia="宋体" w:cs="宋体"/>
          <w:b/>
          <w:bCs/>
          <w:color w:val="FF0000"/>
          <w:sz w:val="28"/>
          <w:szCs w:val="28"/>
          <w:lang w:val="en-US" w:eastAsia="zh-CN"/>
        </w:rPr>
      </w:pPr>
    </w:p>
    <w:p w14:paraId="06C82565">
      <w:pPr>
        <w:rPr>
          <w:rFonts w:hint="default" w:ascii="宋体" w:hAnsi="宋体" w:eastAsia="宋体" w:cs="宋体"/>
          <w:b/>
          <w:bCs/>
          <w:sz w:val="28"/>
          <w:szCs w:val="28"/>
          <w:lang w:val="en-US" w:eastAsia="zh-CN"/>
        </w:rPr>
      </w:pPr>
      <w:r>
        <w:rPr>
          <w:rFonts w:hint="eastAsia" w:ascii="宋体" w:hAnsi="宋体" w:eastAsia="宋体" w:cs="宋体"/>
          <w:b/>
          <w:bCs/>
          <w:color w:val="FF0000"/>
          <w:sz w:val="28"/>
          <w:szCs w:val="28"/>
          <w:lang w:val="en-US" w:eastAsia="zh-CN"/>
        </w:rPr>
        <w:t>”</w:t>
      </w:r>
    </w:p>
    <w:p w14:paraId="4D39345B">
      <w:pPr>
        <w:ind w:firstLine="843" w:firstLineChars="3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第二项</w:t>
      </w:r>
    </w:p>
    <w:p w14:paraId="46A7C315">
      <w:pPr>
        <w:pStyle w:val="44"/>
        <w:spacing w:line="500" w:lineRule="exact"/>
        <w:ind w:firstLine="60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原招标文件中“第六章  采购需求”中的“五、技术参数</w:t>
      </w:r>
    </w:p>
    <w:p w14:paraId="4031513E">
      <w:pPr>
        <w:pStyle w:val="44"/>
        <w:spacing w:line="500" w:lineRule="exact"/>
        <w:ind w:firstLine="60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w:t>
      </w:r>
      <w:r>
        <w:rPr>
          <w:rFonts w:hint="eastAsia" w:ascii="宋体" w:hAnsi="宋体" w:eastAsia="宋体" w:cs="宋体"/>
          <w:b/>
          <w:bCs/>
          <w:color w:val="FF0000"/>
          <w:sz w:val="28"/>
          <w:szCs w:val="28"/>
          <w:lang w:val="en-US" w:eastAsia="zh-CN"/>
        </w:rPr>
        <w:t>现更正为：</w:t>
      </w:r>
    </w:p>
    <w:tbl>
      <w:tblPr>
        <w:tblStyle w:val="30"/>
        <w:tblW w:w="100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376"/>
        <w:gridCol w:w="6131"/>
        <w:gridCol w:w="832"/>
        <w:gridCol w:w="849"/>
      </w:tblGrid>
      <w:tr w14:paraId="5AC75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817" w:type="dxa"/>
            <w:vAlign w:val="center"/>
          </w:tcPr>
          <w:p w14:paraId="7BB12DDC">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序号</w:t>
            </w:r>
          </w:p>
        </w:tc>
        <w:tc>
          <w:tcPr>
            <w:tcW w:w="1376" w:type="dxa"/>
            <w:vAlign w:val="center"/>
          </w:tcPr>
          <w:p w14:paraId="57395060">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产品类别</w:t>
            </w:r>
          </w:p>
        </w:tc>
        <w:tc>
          <w:tcPr>
            <w:tcW w:w="6131" w:type="dxa"/>
            <w:vAlign w:val="center"/>
          </w:tcPr>
          <w:p w14:paraId="4CCD4BAA">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技术规格</w:t>
            </w:r>
          </w:p>
        </w:tc>
        <w:tc>
          <w:tcPr>
            <w:tcW w:w="832" w:type="dxa"/>
            <w:vAlign w:val="center"/>
          </w:tcPr>
          <w:p w14:paraId="7ADC9BF6">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单位</w:t>
            </w:r>
          </w:p>
        </w:tc>
        <w:tc>
          <w:tcPr>
            <w:tcW w:w="849" w:type="dxa"/>
            <w:vAlign w:val="center"/>
          </w:tcPr>
          <w:p w14:paraId="7C581916">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数量</w:t>
            </w:r>
          </w:p>
        </w:tc>
      </w:tr>
      <w:tr w14:paraId="1F61A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817" w:type="dxa"/>
            <w:vAlign w:val="center"/>
          </w:tcPr>
          <w:p w14:paraId="2B64A9E2">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1</w:t>
            </w:r>
          </w:p>
        </w:tc>
        <w:tc>
          <w:tcPr>
            <w:tcW w:w="1376" w:type="dxa"/>
            <w:vAlign w:val="center"/>
          </w:tcPr>
          <w:p w14:paraId="4FD5FF7E">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Lora烟感火灾探测报警器</w:t>
            </w:r>
          </w:p>
        </w:tc>
        <w:tc>
          <w:tcPr>
            <w:tcW w:w="6131" w:type="dxa"/>
            <w:vAlign w:val="center"/>
          </w:tcPr>
          <w:p w14:paraId="5FB76E0C">
            <w:pPr>
              <w:spacing w:line="400" w:lineRule="exact"/>
              <w:rPr>
                <w:rFonts w:ascii="宋体" w:hAnsi="宋体" w:cs="宋体"/>
                <w:bCs/>
                <w:color w:val="FF0000"/>
                <w:kern w:val="2"/>
                <w:sz w:val="30"/>
                <w:szCs w:val="30"/>
                <w:highlight w:val="none"/>
              </w:rPr>
            </w:pPr>
            <w:r>
              <w:rPr>
                <w:rFonts w:hint="eastAsia" w:ascii="宋体" w:hAnsi="宋体" w:cs="宋体"/>
                <w:bCs/>
                <w:color w:val="FF0000"/>
                <w:kern w:val="2"/>
                <w:sz w:val="30"/>
                <w:szCs w:val="30"/>
                <w:highlight w:val="none"/>
              </w:rPr>
              <w:t>1、探测范围：40㎡-60㎡（高度小于8m）。</w:t>
            </w:r>
          </w:p>
          <w:p w14:paraId="1B05A412">
            <w:pPr>
              <w:spacing w:line="400" w:lineRule="exact"/>
              <w:rPr>
                <w:rFonts w:ascii="宋体" w:hAnsi="宋体" w:cs="宋体"/>
                <w:bCs/>
                <w:color w:val="FF0000"/>
                <w:kern w:val="2"/>
                <w:sz w:val="30"/>
                <w:szCs w:val="30"/>
                <w:highlight w:val="none"/>
              </w:rPr>
            </w:pPr>
            <w:r>
              <w:rPr>
                <w:rFonts w:hint="eastAsia" w:ascii="宋体" w:hAnsi="宋体" w:cs="宋体"/>
                <w:bCs/>
                <w:color w:val="FF0000"/>
                <w:kern w:val="2"/>
                <w:sz w:val="30"/>
                <w:szCs w:val="30"/>
                <w:highlight w:val="none"/>
              </w:rPr>
              <w:t>2、通讯方式：无线。</w:t>
            </w:r>
          </w:p>
          <w:p w14:paraId="4273F49F">
            <w:pPr>
              <w:spacing w:line="400" w:lineRule="exact"/>
              <w:rPr>
                <w:rFonts w:ascii="宋体" w:hAnsi="宋体" w:cs="宋体"/>
                <w:bCs/>
                <w:color w:val="FF0000"/>
                <w:kern w:val="2"/>
                <w:sz w:val="30"/>
                <w:szCs w:val="30"/>
                <w:highlight w:val="none"/>
              </w:rPr>
            </w:pPr>
            <w:r>
              <w:rPr>
                <w:rFonts w:hint="eastAsia" w:ascii="宋体" w:hAnsi="宋体" w:cs="宋体"/>
                <w:bCs/>
                <w:color w:val="FF0000"/>
                <w:kern w:val="2"/>
                <w:sz w:val="30"/>
                <w:szCs w:val="30"/>
                <w:highlight w:val="none"/>
              </w:rPr>
              <w:t>3、工作原理：光电式。</w:t>
            </w:r>
          </w:p>
          <w:p w14:paraId="757C466F">
            <w:pPr>
              <w:spacing w:line="400" w:lineRule="exact"/>
              <w:rPr>
                <w:rFonts w:ascii="宋体" w:hAnsi="宋体" w:cs="宋体"/>
                <w:bCs/>
                <w:color w:val="FF0000"/>
                <w:kern w:val="2"/>
                <w:sz w:val="30"/>
                <w:szCs w:val="30"/>
                <w:highlight w:val="none"/>
              </w:rPr>
            </w:pPr>
            <w:r>
              <w:rPr>
                <w:rFonts w:hint="eastAsia" w:ascii="宋体" w:hAnsi="宋体" w:cs="宋体"/>
                <w:bCs/>
                <w:color w:val="FF0000"/>
                <w:kern w:val="2"/>
                <w:sz w:val="30"/>
                <w:szCs w:val="30"/>
                <w:highlight w:val="none"/>
              </w:rPr>
              <w:t>4、工作电压：DC 3V。</w:t>
            </w:r>
          </w:p>
          <w:p w14:paraId="3BA705E3">
            <w:pPr>
              <w:spacing w:line="400" w:lineRule="exact"/>
              <w:rPr>
                <w:rFonts w:ascii="宋体" w:hAnsi="宋体" w:cs="宋体"/>
                <w:bCs/>
                <w:color w:val="FF0000"/>
                <w:kern w:val="2"/>
                <w:sz w:val="30"/>
                <w:szCs w:val="30"/>
                <w:highlight w:val="none"/>
              </w:rPr>
            </w:pPr>
            <w:r>
              <w:rPr>
                <w:rFonts w:hint="eastAsia" w:ascii="宋体" w:hAnsi="宋体" w:cs="宋体"/>
                <w:bCs/>
                <w:color w:val="FF0000"/>
                <w:kern w:val="2"/>
                <w:sz w:val="30"/>
                <w:szCs w:val="30"/>
                <w:highlight w:val="none"/>
              </w:rPr>
              <w:t>5、静态电流　：≤14 μA。</w:t>
            </w:r>
          </w:p>
          <w:p w14:paraId="1199AF28">
            <w:pPr>
              <w:spacing w:line="400" w:lineRule="exact"/>
              <w:rPr>
                <w:rFonts w:ascii="宋体" w:hAnsi="宋体" w:cs="宋体"/>
                <w:bCs/>
                <w:color w:val="FF0000"/>
                <w:kern w:val="2"/>
                <w:sz w:val="30"/>
                <w:szCs w:val="30"/>
                <w:highlight w:val="none"/>
              </w:rPr>
            </w:pPr>
            <w:r>
              <w:rPr>
                <w:rFonts w:hint="eastAsia" w:ascii="宋体" w:hAnsi="宋体" w:cs="宋体"/>
                <w:bCs/>
                <w:color w:val="FF0000"/>
                <w:kern w:val="2"/>
                <w:sz w:val="30"/>
                <w:szCs w:val="30"/>
                <w:highlight w:val="none"/>
              </w:rPr>
              <w:t>6、报警电流：≤30 mA。</w:t>
            </w:r>
          </w:p>
          <w:p w14:paraId="4FE15544">
            <w:pPr>
              <w:spacing w:line="400" w:lineRule="exact"/>
              <w:rPr>
                <w:rFonts w:ascii="宋体" w:hAnsi="宋体" w:cs="宋体"/>
                <w:bCs/>
                <w:color w:val="FF0000"/>
                <w:kern w:val="2"/>
                <w:sz w:val="30"/>
                <w:szCs w:val="30"/>
                <w:highlight w:val="none"/>
              </w:rPr>
            </w:pPr>
            <w:r>
              <w:rPr>
                <w:rFonts w:hint="eastAsia" w:ascii="宋体" w:hAnsi="宋体" w:cs="宋体"/>
                <w:bCs/>
                <w:color w:val="FF0000"/>
                <w:kern w:val="2"/>
                <w:sz w:val="30"/>
                <w:szCs w:val="30"/>
                <w:highlight w:val="none"/>
              </w:rPr>
              <w:t>7、报警音量：80dB@3m（A 计权）。</w:t>
            </w:r>
          </w:p>
          <w:p w14:paraId="1290F356">
            <w:pPr>
              <w:spacing w:line="400" w:lineRule="exact"/>
              <w:rPr>
                <w:rFonts w:ascii="宋体" w:hAnsi="宋体" w:cs="宋体"/>
                <w:bCs/>
                <w:color w:val="FF0000"/>
                <w:kern w:val="2"/>
                <w:sz w:val="30"/>
                <w:szCs w:val="30"/>
                <w:highlight w:val="none"/>
              </w:rPr>
            </w:pPr>
            <w:r>
              <w:rPr>
                <w:rFonts w:hint="eastAsia" w:ascii="宋体" w:hAnsi="宋体" w:cs="宋体"/>
                <w:bCs/>
                <w:color w:val="FF0000"/>
                <w:kern w:val="2"/>
                <w:sz w:val="30"/>
                <w:szCs w:val="30"/>
                <w:highlight w:val="none"/>
              </w:rPr>
              <w:t>8、使用环境：室内，温度：-10 °C～55 °C，相对湿度：≤95%RH。</w:t>
            </w:r>
          </w:p>
          <w:p w14:paraId="5DD3F7B7">
            <w:pPr>
              <w:spacing w:line="400" w:lineRule="exact"/>
              <w:rPr>
                <w:rFonts w:ascii="宋体" w:hAnsi="宋体" w:cs="宋体"/>
                <w:bCs/>
                <w:color w:val="FF0000"/>
                <w:kern w:val="2"/>
                <w:sz w:val="30"/>
                <w:szCs w:val="30"/>
                <w:highlight w:val="none"/>
              </w:rPr>
            </w:pPr>
            <w:r>
              <w:rPr>
                <w:rFonts w:hint="eastAsia" w:ascii="宋体" w:hAnsi="宋体" w:cs="宋体"/>
                <w:bCs/>
                <w:color w:val="FF0000"/>
                <w:kern w:val="2"/>
                <w:sz w:val="30"/>
                <w:szCs w:val="30"/>
                <w:highlight w:val="none"/>
              </w:rPr>
              <w:t>9、设备的外壳防护等级:IP31。</w:t>
            </w:r>
          </w:p>
          <w:p w14:paraId="27D320A4">
            <w:pPr>
              <w:spacing w:line="400" w:lineRule="exact"/>
              <w:rPr>
                <w:rFonts w:ascii="宋体" w:hAnsi="宋体" w:cs="宋体"/>
                <w:bCs/>
                <w:color w:val="FF0000"/>
                <w:kern w:val="2"/>
                <w:sz w:val="30"/>
                <w:szCs w:val="30"/>
                <w:highlight w:val="none"/>
              </w:rPr>
            </w:pPr>
            <w:r>
              <w:rPr>
                <w:rFonts w:hint="eastAsia" w:ascii="宋体" w:hAnsi="宋体" w:cs="宋体"/>
                <w:bCs/>
                <w:color w:val="FF0000"/>
                <w:kern w:val="2"/>
                <w:sz w:val="30"/>
                <w:szCs w:val="30"/>
                <w:highlight w:val="none"/>
              </w:rPr>
              <w:t>10、具有抗水汽干扰功能，在水汽环境中，出现烟雾时应能正确报警。</w:t>
            </w:r>
          </w:p>
          <w:p w14:paraId="69980267">
            <w:pPr>
              <w:spacing w:line="400" w:lineRule="exact"/>
              <w:rPr>
                <w:rFonts w:ascii="宋体" w:hAnsi="宋体" w:cs="宋体"/>
                <w:bCs/>
                <w:color w:val="FF0000"/>
                <w:kern w:val="2"/>
                <w:sz w:val="30"/>
                <w:szCs w:val="30"/>
                <w:highlight w:val="none"/>
              </w:rPr>
            </w:pPr>
            <w:r>
              <w:rPr>
                <w:rFonts w:hint="eastAsia" w:ascii="宋体" w:hAnsi="宋体" w:cs="宋体"/>
                <w:bCs/>
                <w:color w:val="FF0000"/>
                <w:kern w:val="2"/>
                <w:sz w:val="30"/>
                <w:szCs w:val="30"/>
                <w:highlight w:val="none"/>
              </w:rPr>
              <w:t>11、设备采用容量不小于2400mAh的锂锰电池供电，正常工作情况下，电池容量可为设备提供持续6年以上供电。</w:t>
            </w:r>
          </w:p>
          <w:p w14:paraId="07A1068F">
            <w:pPr>
              <w:spacing w:line="400" w:lineRule="exact"/>
              <w:rPr>
                <w:rFonts w:ascii="宋体" w:hAnsi="宋体" w:cs="宋体"/>
                <w:bCs/>
                <w:kern w:val="2"/>
                <w:sz w:val="30"/>
                <w:szCs w:val="30"/>
                <w:highlight w:val="yellow"/>
              </w:rPr>
            </w:pPr>
            <w:r>
              <w:rPr>
                <w:rFonts w:hint="eastAsia" w:ascii="宋体" w:hAnsi="宋体" w:cs="宋体"/>
                <w:bCs/>
                <w:color w:val="FF0000"/>
                <w:kern w:val="2"/>
                <w:sz w:val="30"/>
                <w:szCs w:val="30"/>
                <w:highlight w:val="none"/>
              </w:rPr>
              <w:t>12、产品需符合GB 20517-2006《独立式感烟火灾探测报警器》要求，并取得国家消防电子产品质量检验检测中心出具的型式试验报告。</w:t>
            </w:r>
          </w:p>
        </w:tc>
        <w:tc>
          <w:tcPr>
            <w:tcW w:w="832" w:type="dxa"/>
            <w:vAlign w:val="center"/>
          </w:tcPr>
          <w:p w14:paraId="478546F5">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台</w:t>
            </w:r>
          </w:p>
        </w:tc>
        <w:tc>
          <w:tcPr>
            <w:tcW w:w="849" w:type="dxa"/>
            <w:vAlign w:val="center"/>
          </w:tcPr>
          <w:p w14:paraId="5F0008E2">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12040</w:t>
            </w:r>
          </w:p>
        </w:tc>
      </w:tr>
      <w:tr w14:paraId="1D070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817" w:type="dxa"/>
            <w:vAlign w:val="center"/>
          </w:tcPr>
          <w:p w14:paraId="7FFC89D0">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2</w:t>
            </w:r>
          </w:p>
        </w:tc>
        <w:tc>
          <w:tcPr>
            <w:tcW w:w="1376" w:type="dxa"/>
            <w:vAlign w:val="center"/>
          </w:tcPr>
          <w:p w14:paraId="163FF0FE">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声光警报器</w:t>
            </w:r>
          </w:p>
        </w:tc>
        <w:tc>
          <w:tcPr>
            <w:tcW w:w="6131" w:type="dxa"/>
            <w:vAlign w:val="center"/>
          </w:tcPr>
          <w:p w14:paraId="2E0D00A3">
            <w:pPr>
              <w:spacing w:line="400" w:lineRule="exact"/>
              <w:rPr>
                <w:rFonts w:ascii="宋体" w:hAnsi="宋体" w:cs="宋体"/>
                <w:bCs/>
                <w:color w:val="FF0000"/>
                <w:kern w:val="2"/>
                <w:sz w:val="30"/>
                <w:szCs w:val="30"/>
                <w:highlight w:val="none"/>
              </w:rPr>
            </w:pPr>
            <w:r>
              <w:rPr>
                <w:rFonts w:hint="eastAsia" w:ascii="宋体" w:hAnsi="宋体" w:cs="宋体"/>
                <w:bCs/>
                <w:color w:val="FF0000"/>
                <w:kern w:val="2"/>
                <w:sz w:val="30"/>
                <w:szCs w:val="30"/>
                <w:highlight w:val="none"/>
              </w:rPr>
              <w:t>1、供电：主电DC 12V 1A （出厂含适配器），电池使用寿命：≥5年，备电锂电池CR17450 2400mAh，DC 3V，工作电流：待机状态≤5μA，报警状态≤100mA。</w:t>
            </w:r>
          </w:p>
          <w:p w14:paraId="43DE482E">
            <w:pPr>
              <w:spacing w:line="400" w:lineRule="exact"/>
              <w:rPr>
                <w:rFonts w:ascii="宋体" w:hAnsi="宋体" w:cs="宋体"/>
                <w:bCs/>
                <w:color w:val="FF0000"/>
                <w:kern w:val="2"/>
                <w:sz w:val="30"/>
                <w:szCs w:val="30"/>
                <w:highlight w:val="none"/>
              </w:rPr>
            </w:pPr>
            <w:r>
              <w:rPr>
                <w:rFonts w:hint="eastAsia" w:ascii="宋体" w:hAnsi="宋体" w:cs="宋体"/>
                <w:bCs/>
                <w:color w:val="FF0000"/>
                <w:kern w:val="2"/>
                <w:sz w:val="30"/>
                <w:szCs w:val="30"/>
                <w:highlight w:val="none"/>
              </w:rPr>
              <w:t xml:space="preserve">2、通讯方式：LoRa，双向FSK；通讯性能：空旷场景1.5-2km，普通墙体3-5堵，承重墙1-2堵。地下室1堵。 </w:t>
            </w:r>
            <w:r>
              <w:rPr>
                <w:rFonts w:hint="eastAsia" w:ascii="宋体" w:hAnsi="宋体" w:cs="宋体"/>
                <w:bCs/>
                <w:color w:val="FF0000"/>
                <w:kern w:val="2"/>
                <w:sz w:val="30"/>
                <w:szCs w:val="30"/>
                <w:highlight w:val="none"/>
              </w:rPr>
              <w:br w:type="textWrapping"/>
            </w:r>
            <w:r>
              <w:rPr>
                <w:rFonts w:hint="eastAsia" w:ascii="宋体" w:hAnsi="宋体" w:cs="宋体"/>
                <w:bCs/>
                <w:color w:val="FF0000"/>
                <w:kern w:val="2"/>
                <w:sz w:val="30"/>
                <w:szCs w:val="30"/>
                <w:highlight w:val="none"/>
              </w:rPr>
              <w:t>3、报警指示灯：红色：报警， 黄色：故障，绿色：状态（通讯、信号、对码）；报警音量：≥80dB@3m（A计权）变调周期：3s - 5s；闪光频率：1Hz～2Hz。</w:t>
            </w:r>
          </w:p>
          <w:p w14:paraId="4183D3D1">
            <w:pPr>
              <w:spacing w:line="400" w:lineRule="exact"/>
              <w:rPr>
                <w:rFonts w:ascii="宋体" w:hAnsi="宋体" w:cs="宋体"/>
                <w:bCs/>
                <w:color w:val="FF0000"/>
                <w:kern w:val="2"/>
                <w:sz w:val="30"/>
                <w:szCs w:val="30"/>
                <w:highlight w:val="none"/>
              </w:rPr>
            </w:pPr>
            <w:r>
              <w:rPr>
                <w:rFonts w:hint="eastAsia" w:ascii="宋体" w:hAnsi="宋体" w:cs="宋体"/>
                <w:bCs/>
                <w:color w:val="FF0000"/>
                <w:kern w:val="2"/>
                <w:sz w:val="30"/>
                <w:szCs w:val="30"/>
                <w:highlight w:val="none"/>
              </w:rPr>
              <w:t>4、功能：信号查询、远程消警、防拆报警、欠压报警。</w:t>
            </w:r>
          </w:p>
          <w:p w14:paraId="7961E139">
            <w:pPr>
              <w:spacing w:line="400" w:lineRule="exact"/>
              <w:rPr>
                <w:rFonts w:ascii="宋体" w:hAnsi="宋体" w:cs="宋体"/>
                <w:bCs/>
                <w:color w:val="FF0000"/>
                <w:kern w:val="2"/>
                <w:sz w:val="30"/>
                <w:szCs w:val="30"/>
                <w:highlight w:val="none"/>
              </w:rPr>
            </w:pPr>
            <w:r>
              <w:rPr>
                <w:rFonts w:hint="eastAsia" w:ascii="宋体" w:hAnsi="宋体" w:cs="宋体"/>
                <w:bCs/>
                <w:color w:val="FF0000"/>
                <w:kern w:val="2"/>
                <w:sz w:val="30"/>
                <w:szCs w:val="30"/>
                <w:highlight w:val="none"/>
              </w:rPr>
              <w:t>5、安装方式：壁装、表面安装；工作环境：温度：-10℃ -55℃，湿度：≤95% 。</w:t>
            </w:r>
          </w:p>
          <w:p w14:paraId="3B0A41EA">
            <w:pPr>
              <w:spacing w:line="400" w:lineRule="exact"/>
              <w:rPr>
                <w:rFonts w:ascii="宋体" w:hAnsi="宋体" w:cs="宋体"/>
                <w:bCs/>
                <w:color w:val="FF0000"/>
                <w:kern w:val="2"/>
                <w:sz w:val="30"/>
                <w:szCs w:val="30"/>
                <w:highlight w:val="none"/>
              </w:rPr>
            </w:pPr>
            <w:r>
              <w:rPr>
                <w:rFonts w:hint="eastAsia" w:ascii="宋体" w:hAnsi="宋体" w:cs="宋体"/>
                <w:bCs/>
                <w:color w:val="FF0000"/>
                <w:kern w:val="2"/>
                <w:sz w:val="30"/>
                <w:szCs w:val="30"/>
                <w:highlight w:val="none"/>
              </w:rPr>
              <w:t>6、产品需符合GB 26851-2011《火灾声和/或光警报器》要求。</w:t>
            </w:r>
          </w:p>
        </w:tc>
        <w:tc>
          <w:tcPr>
            <w:tcW w:w="832" w:type="dxa"/>
            <w:vAlign w:val="center"/>
          </w:tcPr>
          <w:p w14:paraId="138F91BE">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台</w:t>
            </w:r>
          </w:p>
        </w:tc>
        <w:tc>
          <w:tcPr>
            <w:tcW w:w="849" w:type="dxa"/>
            <w:vAlign w:val="center"/>
          </w:tcPr>
          <w:p w14:paraId="05D6D070">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730</w:t>
            </w:r>
          </w:p>
        </w:tc>
      </w:tr>
      <w:tr w14:paraId="04FD4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817" w:type="dxa"/>
            <w:vAlign w:val="center"/>
          </w:tcPr>
          <w:p w14:paraId="3150C59B">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3</w:t>
            </w:r>
          </w:p>
        </w:tc>
        <w:tc>
          <w:tcPr>
            <w:tcW w:w="1376" w:type="dxa"/>
            <w:vAlign w:val="center"/>
          </w:tcPr>
          <w:p w14:paraId="02B99292">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手动火灾报警按钮</w:t>
            </w:r>
          </w:p>
        </w:tc>
        <w:tc>
          <w:tcPr>
            <w:tcW w:w="6131" w:type="dxa"/>
            <w:vAlign w:val="center"/>
          </w:tcPr>
          <w:p w14:paraId="2438948D">
            <w:pPr>
              <w:spacing w:line="400" w:lineRule="exact"/>
              <w:rPr>
                <w:rFonts w:ascii="宋体" w:hAnsi="宋体" w:cs="宋体"/>
                <w:bCs/>
                <w:color w:val="FF0000"/>
                <w:kern w:val="2"/>
                <w:sz w:val="30"/>
                <w:szCs w:val="30"/>
                <w:highlight w:val="none"/>
              </w:rPr>
            </w:pPr>
            <w:r>
              <w:rPr>
                <w:rFonts w:hint="eastAsia" w:ascii="宋体" w:hAnsi="宋体" w:cs="宋体"/>
                <w:bCs/>
                <w:color w:val="FF0000"/>
                <w:kern w:val="2"/>
                <w:sz w:val="30"/>
                <w:szCs w:val="30"/>
                <w:highlight w:val="none"/>
              </w:rPr>
              <w:t>1、工作原理：手动触发；工作环境：温度：-10℃- 55℃，湿度：≤95%。</w:t>
            </w:r>
          </w:p>
          <w:p w14:paraId="29A7B0D4">
            <w:pPr>
              <w:spacing w:line="400" w:lineRule="exact"/>
              <w:rPr>
                <w:rFonts w:ascii="宋体" w:hAnsi="宋体" w:cs="宋体"/>
                <w:bCs/>
                <w:color w:val="FF0000"/>
                <w:kern w:val="2"/>
                <w:sz w:val="30"/>
                <w:szCs w:val="30"/>
                <w:highlight w:val="none"/>
              </w:rPr>
            </w:pPr>
            <w:r>
              <w:rPr>
                <w:rFonts w:hint="eastAsia" w:ascii="宋体" w:hAnsi="宋体" w:cs="宋体"/>
                <w:bCs/>
                <w:color w:val="FF0000"/>
                <w:kern w:val="2"/>
                <w:sz w:val="30"/>
                <w:szCs w:val="30"/>
                <w:highlight w:val="none"/>
              </w:rPr>
              <w:t>2、电源：锂电池2400mAh，DC 3V ，工作电流：待机状态≤5μA，报警状态≤60 mA，电池使用寿命：≥5年；报警输出：1路，继电器容量（24VDC /1A）。</w:t>
            </w:r>
          </w:p>
          <w:p w14:paraId="21378A10">
            <w:pPr>
              <w:spacing w:line="400" w:lineRule="exact"/>
              <w:rPr>
                <w:rFonts w:ascii="宋体" w:hAnsi="宋体" w:cs="宋体"/>
                <w:bCs/>
                <w:color w:val="FF0000"/>
                <w:kern w:val="2"/>
                <w:sz w:val="30"/>
                <w:szCs w:val="30"/>
                <w:highlight w:val="none"/>
              </w:rPr>
            </w:pPr>
            <w:r>
              <w:rPr>
                <w:rFonts w:hint="eastAsia" w:ascii="宋体" w:hAnsi="宋体" w:cs="宋体"/>
                <w:bCs/>
                <w:color w:val="FF0000"/>
                <w:kern w:val="2"/>
                <w:sz w:val="30"/>
                <w:szCs w:val="30"/>
                <w:highlight w:val="none"/>
              </w:rPr>
              <w:t>3、通讯方式：LoRa，双向FSK；通讯性能：空旷场景1.5-2km ，普通墙体3-5堵，承重墙1-2堵 ，地下室 1堵；支持钥匙复位、信号查询、防拆报警、欠压报警 。</w:t>
            </w:r>
          </w:p>
          <w:p w14:paraId="6AB84181">
            <w:pPr>
              <w:spacing w:line="400" w:lineRule="exact"/>
              <w:rPr>
                <w:rFonts w:ascii="宋体" w:hAnsi="宋体" w:cs="宋体"/>
                <w:bCs/>
                <w:color w:val="FF0000"/>
                <w:kern w:val="2"/>
                <w:sz w:val="30"/>
                <w:szCs w:val="30"/>
                <w:highlight w:val="none"/>
              </w:rPr>
            </w:pPr>
            <w:r>
              <w:rPr>
                <w:rFonts w:hint="eastAsia" w:ascii="宋体" w:hAnsi="宋体" w:cs="宋体"/>
                <w:bCs/>
                <w:color w:val="FF0000"/>
                <w:kern w:val="2"/>
                <w:sz w:val="30"/>
                <w:szCs w:val="30"/>
                <w:highlight w:val="none"/>
              </w:rPr>
              <w:t>4、报警指示灯：1个，红色：报警， 黄色：故障，绿色：状态（通讯、信号、对码）。</w:t>
            </w:r>
          </w:p>
          <w:p w14:paraId="39B5ECD2">
            <w:pPr>
              <w:spacing w:line="400" w:lineRule="exact"/>
              <w:rPr>
                <w:rFonts w:ascii="宋体" w:hAnsi="宋体" w:cs="宋体"/>
                <w:bCs/>
                <w:color w:val="FF0000"/>
                <w:kern w:val="2"/>
                <w:sz w:val="30"/>
                <w:szCs w:val="30"/>
                <w:highlight w:val="none"/>
              </w:rPr>
            </w:pPr>
            <w:r>
              <w:rPr>
                <w:rFonts w:hint="eastAsia" w:ascii="宋体" w:hAnsi="宋体" w:cs="宋体"/>
                <w:bCs/>
                <w:color w:val="FF0000"/>
                <w:kern w:val="2"/>
                <w:sz w:val="30"/>
                <w:szCs w:val="30"/>
                <w:highlight w:val="none"/>
              </w:rPr>
              <w:t>5、产品需符合GB 19880-2005《手动火灾报警按钮》要求。</w:t>
            </w:r>
          </w:p>
        </w:tc>
        <w:tc>
          <w:tcPr>
            <w:tcW w:w="832" w:type="dxa"/>
            <w:vAlign w:val="center"/>
          </w:tcPr>
          <w:p w14:paraId="134B10E7">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台</w:t>
            </w:r>
          </w:p>
        </w:tc>
        <w:tc>
          <w:tcPr>
            <w:tcW w:w="849" w:type="dxa"/>
            <w:vAlign w:val="center"/>
          </w:tcPr>
          <w:p w14:paraId="41D434E0">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730</w:t>
            </w:r>
          </w:p>
        </w:tc>
      </w:tr>
      <w:tr w14:paraId="473F0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817" w:type="dxa"/>
            <w:vAlign w:val="center"/>
          </w:tcPr>
          <w:p w14:paraId="04E8E1C0">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4</w:t>
            </w:r>
          </w:p>
        </w:tc>
        <w:tc>
          <w:tcPr>
            <w:tcW w:w="1376" w:type="dxa"/>
            <w:vAlign w:val="center"/>
          </w:tcPr>
          <w:p w14:paraId="75293F4A">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LoRa消防网关</w:t>
            </w:r>
          </w:p>
        </w:tc>
        <w:tc>
          <w:tcPr>
            <w:tcW w:w="6131" w:type="dxa"/>
            <w:vAlign w:val="center"/>
          </w:tcPr>
          <w:p w14:paraId="4A6DF118">
            <w:pPr>
              <w:spacing w:line="400" w:lineRule="exact"/>
              <w:rPr>
                <w:rFonts w:ascii="宋体" w:hAnsi="宋体" w:cs="宋体"/>
                <w:bCs/>
                <w:color w:val="FF0000"/>
                <w:kern w:val="2"/>
                <w:sz w:val="30"/>
                <w:szCs w:val="30"/>
                <w:highlight w:val="none"/>
              </w:rPr>
            </w:pPr>
            <w:r>
              <w:rPr>
                <w:rFonts w:hint="eastAsia" w:ascii="宋体" w:hAnsi="宋体" w:cs="宋体"/>
                <w:bCs/>
                <w:color w:val="FF0000"/>
                <w:kern w:val="2"/>
                <w:sz w:val="30"/>
                <w:szCs w:val="30"/>
                <w:highlight w:val="none"/>
              </w:rPr>
              <w:t>1、上行通讯：以太网，下行通讯：LoRa，下行频率：470MHz-510MHz。</w:t>
            </w:r>
          </w:p>
          <w:p w14:paraId="76C6FF41">
            <w:pPr>
              <w:spacing w:line="400" w:lineRule="exact"/>
              <w:rPr>
                <w:rFonts w:ascii="宋体" w:hAnsi="宋体" w:cs="宋体"/>
                <w:bCs/>
                <w:color w:val="FF0000"/>
                <w:kern w:val="2"/>
                <w:sz w:val="30"/>
                <w:szCs w:val="30"/>
                <w:highlight w:val="none"/>
              </w:rPr>
            </w:pPr>
            <w:r>
              <w:rPr>
                <w:rFonts w:hint="eastAsia" w:ascii="宋体" w:hAnsi="宋体" w:cs="宋体"/>
                <w:bCs/>
                <w:color w:val="FF0000"/>
                <w:kern w:val="2"/>
                <w:sz w:val="30"/>
                <w:szCs w:val="30"/>
                <w:highlight w:val="none"/>
              </w:rPr>
              <w:t>2、报警声压：75dB（A）@1m。</w:t>
            </w:r>
          </w:p>
          <w:p w14:paraId="4B3B6323">
            <w:pPr>
              <w:spacing w:line="400" w:lineRule="exact"/>
              <w:rPr>
                <w:rFonts w:ascii="宋体" w:hAnsi="宋体" w:cs="宋体"/>
                <w:bCs/>
                <w:color w:val="FF0000"/>
                <w:kern w:val="2"/>
                <w:sz w:val="30"/>
                <w:szCs w:val="30"/>
                <w:highlight w:val="none"/>
              </w:rPr>
            </w:pPr>
            <w:r>
              <w:rPr>
                <w:rFonts w:hint="eastAsia" w:ascii="宋体" w:hAnsi="宋体" w:cs="宋体"/>
                <w:bCs/>
                <w:color w:val="FF0000"/>
                <w:kern w:val="2"/>
                <w:sz w:val="30"/>
                <w:szCs w:val="30"/>
                <w:highlight w:val="none"/>
              </w:rPr>
              <w:t>3、输出接口：RS232和RS485，继电器输出，RJ45网络接口，辅电输出口。</w:t>
            </w:r>
          </w:p>
          <w:p w14:paraId="40571FBD">
            <w:pPr>
              <w:spacing w:line="400" w:lineRule="exact"/>
              <w:rPr>
                <w:rFonts w:ascii="宋体" w:hAnsi="宋体" w:cs="宋体"/>
                <w:bCs/>
                <w:color w:val="FF0000"/>
                <w:kern w:val="2"/>
                <w:sz w:val="30"/>
                <w:szCs w:val="30"/>
                <w:highlight w:val="none"/>
              </w:rPr>
            </w:pPr>
            <w:r>
              <w:rPr>
                <w:rFonts w:hint="eastAsia" w:ascii="宋体" w:hAnsi="宋体" w:cs="宋体"/>
                <w:bCs/>
                <w:color w:val="FF0000"/>
                <w:kern w:val="2"/>
                <w:sz w:val="30"/>
                <w:szCs w:val="30"/>
                <w:highlight w:val="none"/>
              </w:rPr>
              <w:t>4、工作环境：工作温度：-10-55℃；工作湿度：≤95%RH（无凝露）。</w:t>
            </w:r>
          </w:p>
          <w:p w14:paraId="69697052">
            <w:pPr>
              <w:spacing w:line="400" w:lineRule="exact"/>
              <w:rPr>
                <w:rFonts w:ascii="宋体" w:hAnsi="宋体" w:cs="宋体"/>
                <w:bCs/>
                <w:color w:val="FF0000"/>
                <w:kern w:val="2"/>
                <w:sz w:val="30"/>
                <w:szCs w:val="30"/>
                <w:highlight w:val="none"/>
              </w:rPr>
            </w:pPr>
            <w:r>
              <w:rPr>
                <w:rFonts w:hint="eastAsia" w:ascii="宋体" w:hAnsi="宋体" w:cs="宋体"/>
                <w:bCs/>
                <w:color w:val="FF0000"/>
                <w:kern w:val="2"/>
                <w:sz w:val="30"/>
                <w:szCs w:val="30"/>
                <w:highlight w:val="none"/>
              </w:rPr>
              <w:t>5、具有网关互联报警功能；当一个网关接收到报警时，可以将警情联动到其他的网关，并通知报警联动。</w:t>
            </w:r>
          </w:p>
          <w:p w14:paraId="0D06F1C1">
            <w:pPr>
              <w:spacing w:line="400" w:lineRule="exact"/>
              <w:rPr>
                <w:rFonts w:ascii="宋体" w:hAnsi="宋体" w:cs="宋体"/>
                <w:bCs/>
                <w:color w:val="FF0000"/>
                <w:kern w:val="2"/>
                <w:sz w:val="30"/>
                <w:szCs w:val="30"/>
                <w:highlight w:val="none"/>
              </w:rPr>
            </w:pPr>
            <w:r>
              <w:rPr>
                <w:rFonts w:hint="eastAsia" w:ascii="宋体" w:hAnsi="宋体" w:cs="宋体"/>
                <w:bCs/>
                <w:color w:val="FF0000"/>
                <w:kern w:val="2"/>
                <w:sz w:val="30"/>
                <w:szCs w:val="30"/>
                <w:highlight w:val="none"/>
              </w:rPr>
              <w:t>6、网关发生主电、备电、有线网络、无线网络、通讯串口异常、防拆等异常时，都可以检测并在网关屏幕上中文的方式展示故障。前端外设烟感、手报、温感发生防拆、电池欠压等异常，声光产品的主电、备电异常，燃气、烟感、温感传感器异常，前端设备的离线时，产生故障告警。</w:t>
            </w:r>
          </w:p>
          <w:p w14:paraId="5E75252B">
            <w:pPr>
              <w:spacing w:line="400" w:lineRule="exact"/>
              <w:rPr>
                <w:rFonts w:ascii="宋体" w:hAnsi="宋体" w:cs="宋体"/>
                <w:bCs/>
                <w:color w:val="FF0000"/>
                <w:kern w:val="2"/>
                <w:sz w:val="30"/>
                <w:szCs w:val="30"/>
                <w:highlight w:val="none"/>
              </w:rPr>
            </w:pPr>
            <w:r>
              <w:rPr>
                <w:rFonts w:hint="eastAsia" w:ascii="宋体" w:hAnsi="宋体" w:cs="宋体"/>
                <w:bCs/>
                <w:color w:val="FF0000"/>
                <w:kern w:val="2"/>
                <w:sz w:val="30"/>
                <w:szCs w:val="30"/>
                <w:highlight w:val="none"/>
              </w:rPr>
              <w:t>7、设备具有防误报功能（默认关闭），当关闭该功能时：触发单个火灾探测器，会联动声光。 当开启该功能时：需要触发两个探测器报警，才能互联报警（手动报警不受限制，触发就可以联动报警）。</w:t>
            </w:r>
          </w:p>
        </w:tc>
        <w:tc>
          <w:tcPr>
            <w:tcW w:w="832" w:type="dxa"/>
            <w:vAlign w:val="center"/>
          </w:tcPr>
          <w:p w14:paraId="4F1FDB54">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台</w:t>
            </w:r>
          </w:p>
        </w:tc>
        <w:tc>
          <w:tcPr>
            <w:tcW w:w="849" w:type="dxa"/>
            <w:vAlign w:val="center"/>
          </w:tcPr>
          <w:p w14:paraId="142E1743">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450</w:t>
            </w:r>
          </w:p>
        </w:tc>
      </w:tr>
      <w:tr w14:paraId="1DF44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817" w:type="dxa"/>
            <w:vAlign w:val="center"/>
          </w:tcPr>
          <w:p w14:paraId="591B2D72">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5</w:t>
            </w:r>
          </w:p>
        </w:tc>
        <w:tc>
          <w:tcPr>
            <w:tcW w:w="1376" w:type="dxa"/>
            <w:vAlign w:val="center"/>
          </w:tcPr>
          <w:p w14:paraId="02AB4110">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值班室工作站</w:t>
            </w:r>
          </w:p>
        </w:tc>
        <w:tc>
          <w:tcPr>
            <w:tcW w:w="6131" w:type="dxa"/>
            <w:vAlign w:val="center"/>
          </w:tcPr>
          <w:p w14:paraId="7EEBC3B2">
            <w:pPr>
              <w:spacing w:line="400" w:lineRule="exact"/>
              <w:rPr>
                <w:rFonts w:ascii="宋体" w:hAnsi="宋体" w:cs="宋体"/>
                <w:bCs/>
                <w:kern w:val="2"/>
                <w:sz w:val="30"/>
                <w:szCs w:val="30"/>
              </w:rPr>
            </w:pPr>
            <w:r>
              <w:rPr>
                <w:rFonts w:hint="eastAsia" w:ascii="宋体" w:hAnsi="宋体" w:cs="宋体"/>
                <w:bCs/>
                <w:kern w:val="2"/>
                <w:sz w:val="30"/>
                <w:szCs w:val="30"/>
              </w:rPr>
              <w:t>1、分辨率：1366 × 768。</w:t>
            </w:r>
          </w:p>
          <w:p w14:paraId="35BF8F69">
            <w:pPr>
              <w:spacing w:line="400" w:lineRule="exact"/>
              <w:rPr>
                <w:rFonts w:ascii="宋体" w:hAnsi="宋体" w:cs="宋体"/>
                <w:bCs/>
                <w:kern w:val="2"/>
                <w:sz w:val="30"/>
                <w:szCs w:val="30"/>
              </w:rPr>
            </w:pPr>
            <w:r>
              <w:rPr>
                <w:rFonts w:hint="eastAsia" w:ascii="宋体" w:hAnsi="宋体" w:cs="宋体"/>
                <w:bCs/>
                <w:kern w:val="2"/>
                <w:sz w:val="30"/>
                <w:szCs w:val="30"/>
              </w:rPr>
              <w:t>2、音频输入接口：MIC IN，音频输出接口：LINE OUT；网络接口：10M/100M/1000M自适应以太网接口，支持双网隔离。</w:t>
            </w:r>
          </w:p>
          <w:p w14:paraId="10ED7069">
            <w:pPr>
              <w:spacing w:line="400" w:lineRule="exact"/>
              <w:rPr>
                <w:rFonts w:ascii="宋体" w:hAnsi="宋体" w:cs="宋体"/>
                <w:bCs/>
                <w:kern w:val="2"/>
                <w:sz w:val="30"/>
                <w:szCs w:val="30"/>
                <w:highlight w:val="yellow"/>
              </w:rPr>
            </w:pPr>
            <w:r>
              <w:rPr>
                <w:rFonts w:hint="eastAsia" w:ascii="宋体" w:hAnsi="宋体" w:cs="宋体"/>
                <w:bCs/>
                <w:kern w:val="2"/>
                <w:sz w:val="30"/>
                <w:szCs w:val="30"/>
              </w:rPr>
              <w:t>3、内存：4 GB，输出：RS-232，RS-485，USB3.0。</w:t>
            </w:r>
          </w:p>
          <w:p w14:paraId="7FFE27A2">
            <w:pPr>
              <w:spacing w:line="400" w:lineRule="exact"/>
              <w:rPr>
                <w:rFonts w:ascii="宋体" w:hAnsi="宋体" w:cs="宋体"/>
                <w:bCs/>
                <w:color w:val="FF0000"/>
                <w:kern w:val="2"/>
                <w:sz w:val="30"/>
                <w:szCs w:val="30"/>
              </w:rPr>
            </w:pPr>
            <w:r>
              <w:rPr>
                <w:rFonts w:hint="eastAsia" w:ascii="宋体" w:hAnsi="宋体" w:cs="宋体"/>
                <w:bCs/>
                <w:kern w:val="2"/>
                <w:sz w:val="30"/>
                <w:szCs w:val="30"/>
              </w:rPr>
              <w:t>4、</w:t>
            </w:r>
            <w:r>
              <w:rPr>
                <w:rFonts w:hint="eastAsia" w:ascii="宋体" w:hAnsi="宋体" w:cs="宋体"/>
                <w:bCs/>
                <w:color w:val="FF0000"/>
                <w:kern w:val="2"/>
                <w:sz w:val="30"/>
                <w:szCs w:val="30"/>
              </w:rPr>
              <w:t>为满足实际使用需求，需具备基本硬件接口。设备具有RJ45网络接口、HDMI接口、音频输入接口、音频输出接口、USB接口</w:t>
            </w:r>
          </w:p>
          <w:p w14:paraId="54437A98">
            <w:pPr>
              <w:spacing w:line="400" w:lineRule="exact"/>
              <w:rPr>
                <w:rFonts w:ascii="宋体" w:hAnsi="宋体" w:cs="宋体"/>
                <w:bCs/>
                <w:color w:val="FF0000"/>
                <w:kern w:val="2"/>
                <w:sz w:val="30"/>
                <w:szCs w:val="30"/>
              </w:rPr>
            </w:pPr>
            <w:r>
              <w:rPr>
                <w:rFonts w:hint="eastAsia" w:ascii="宋体" w:hAnsi="宋体" w:cs="宋体"/>
                <w:bCs/>
                <w:color w:val="FF0000"/>
                <w:kern w:val="2"/>
                <w:sz w:val="30"/>
                <w:szCs w:val="30"/>
              </w:rPr>
              <w:t>5、平台需满足支持无线Lora火灾报警系统（可自动注册，并显示在设备列表中）的接入。投标人需提供承诺函，承诺平台具备此功能。</w:t>
            </w:r>
          </w:p>
          <w:p w14:paraId="3BC30617">
            <w:pPr>
              <w:spacing w:line="400" w:lineRule="exact"/>
              <w:rPr>
                <w:rFonts w:ascii="宋体" w:hAnsi="宋体" w:cs="宋体"/>
                <w:bCs/>
                <w:kern w:val="2"/>
                <w:sz w:val="30"/>
                <w:szCs w:val="30"/>
                <w:highlight w:val="yellow"/>
              </w:rPr>
            </w:pPr>
            <w:r>
              <w:rPr>
                <w:rFonts w:hint="eastAsia" w:ascii="宋体" w:hAnsi="宋体" w:cs="宋体"/>
                <w:bCs/>
                <w:color w:val="FF0000"/>
                <w:kern w:val="2"/>
                <w:sz w:val="30"/>
                <w:szCs w:val="30"/>
              </w:rPr>
              <w:t>6、平台需满足支持设备报警联动附近摄像头功能，投标人需提供承诺函，承诺平台具备此功能。</w:t>
            </w:r>
          </w:p>
        </w:tc>
        <w:tc>
          <w:tcPr>
            <w:tcW w:w="832" w:type="dxa"/>
            <w:vAlign w:val="center"/>
          </w:tcPr>
          <w:p w14:paraId="43CD7746">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台</w:t>
            </w:r>
          </w:p>
        </w:tc>
        <w:tc>
          <w:tcPr>
            <w:tcW w:w="849" w:type="dxa"/>
            <w:vAlign w:val="center"/>
          </w:tcPr>
          <w:p w14:paraId="3C6586E1">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24</w:t>
            </w:r>
          </w:p>
        </w:tc>
      </w:tr>
      <w:tr w14:paraId="72254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817" w:type="dxa"/>
            <w:vAlign w:val="center"/>
          </w:tcPr>
          <w:p w14:paraId="3F3D76AB">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6</w:t>
            </w:r>
          </w:p>
        </w:tc>
        <w:tc>
          <w:tcPr>
            <w:tcW w:w="1376" w:type="dxa"/>
            <w:vAlign w:val="center"/>
          </w:tcPr>
          <w:p w14:paraId="33FE6021">
            <w:pPr>
              <w:spacing w:line="400" w:lineRule="exact"/>
              <w:jc w:val="center"/>
              <w:rPr>
                <w:rFonts w:ascii="宋体" w:hAnsi="宋体" w:cs="宋体"/>
                <w:bCs/>
                <w:color w:val="1F497D"/>
                <w:sz w:val="30"/>
                <w:szCs w:val="30"/>
              </w:rPr>
            </w:pPr>
            <w:r>
              <w:rPr>
                <w:rFonts w:hint="eastAsia" w:ascii="宋体" w:hAnsi="宋体" w:cs="宋体"/>
                <w:bCs/>
                <w:color w:val="FF0000"/>
                <w:kern w:val="2"/>
                <w:sz w:val="30"/>
                <w:szCs w:val="30"/>
              </w:rPr>
              <w:t>用户信息传输装置</w:t>
            </w:r>
          </w:p>
        </w:tc>
        <w:tc>
          <w:tcPr>
            <w:tcW w:w="6131" w:type="dxa"/>
            <w:vAlign w:val="center"/>
          </w:tcPr>
          <w:p w14:paraId="40BA9BF1">
            <w:pPr>
              <w:spacing w:line="400" w:lineRule="exact"/>
              <w:rPr>
                <w:rFonts w:ascii="宋体" w:hAnsi="宋体" w:cs="宋体"/>
                <w:bCs/>
                <w:kern w:val="2"/>
                <w:sz w:val="30"/>
                <w:szCs w:val="30"/>
              </w:rPr>
            </w:pPr>
            <w:r>
              <w:rPr>
                <w:rFonts w:hint="eastAsia" w:ascii="宋体" w:hAnsi="宋体" w:cs="宋体"/>
                <w:bCs/>
                <w:kern w:val="2"/>
                <w:sz w:val="30"/>
                <w:szCs w:val="30"/>
              </w:rPr>
              <w:t>1、RS-232或RS-485 通讯接口， CAN 通讯接口、RJ45 网络通讯口。</w:t>
            </w:r>
          </w:p>
          <w:p w14:paraId="51FD511B">
            <w:pPr>
              <w:spacing w:line="400" w:lineRule="exact"/>
              <w:rPr>
                <w:rFonts w:ascii="宋体" w:hAnsi="宋体" w:cs="宋体"/>
                <w:bCs/>
                <w:kern w:val="2"/>
                <w:sz w:val="30"/>
                <w:szCs w:val="30"/>
              </w:rPr>
            </w:pPr>
            <w:r>
              <w:rPr>
                <w:rFonts w:hint="eastAsia" w:ascii="宋体" w:hAnsi="宋体" w:cs="宋体"/>
                <w:bCs/>
                <w:kern w:val="2"/>
                <w:sz w:val="30"/>
                <w:szCs w:val="30"/>
              </w:rPr>
              <w:t>2、手动报警：具有手动火警按钮，可以向管理平台上传人工火灾报警信息 。</w:t>
            </w:r>
          </w:p>
          <w:p w14:paraId="7E1D4981">
            <w:pPr>
              <w:spacing w:line="400" w:lineRule="exact"/>
              <w:rPr>
                <w:rFonts w:ascii="宋体" w:hAnsi="宋体" w:cs="宋体"/>
                <w:bCs/>
                <w:kern w:val="2"/>
                <w:sz w:val="30"/>
                <w:szCs w:val="30"/>
              </w:rPr>
            </w:pPr>
            <w:r>
              <w:rPr>
                <w:rFonts w:hint="eastAsia" w:ascii="宋体" w:hAnsi="宋体" w:cs="宋体"/>
                <w:bCs/>
                <w:kern w:val="2"/>
                <w:sz w:val="30"/>
                <w:szCs w:val="30"/>
              </w:rPr>
              <w:t>3、断网续传：网络断网恢复后，接续上传断网期间的数据。</w:t>
            </w:r>
          </w:p>
          <w:p w14:paraId="4499CBC1">
            <w:pPr>
              <w:spacing w:line="400" w:lineRule="exact"/>
              <w:rPr>
                <w:rFonts w:ascii="宋体" w:hAnsi="宋体" w:cs="宋体"/>
                <w:bCs/>
                <w:kern w:val="2"/>
                <w:sz w:val="30"/>
                <w:szCs w:val="30"/>
              </w:rPr>
            </w:pPr>
            <w:r>
              <w:rPr>
                <w:rFonts w:hint="eastAsia" w:ascii="宋体" w:hAnsi="宋体" w:cs="宋体"/>
                <w:bCs/>
                <w:kern w:val="2"/>
                <w:sz w:val="30"/>
                <w:szCs w:val="30"/>
              </w:rPr>
              <w:t>4、值班查岗：支持值班查岗功能。</w:t>
            </w:r>
          </w:p>
          <w:p w14:paraId="5B2A888C">
            <w:pPr>
              <w:spacing w:line="400" w:lineRule="exact"/>
              <w:rPr>
                <w:rFonts w:ascii="宋体" w:hAnsi="宋体" w:cs="宋体"/>
                <w:bCs/>
                <w:kern w:val="2"/>
                <w:sz w:val="30"/>
                <w:szCs w:val="30"/>
              </w:rPr>
            </w:pPr>
            <w:r>
              <w:rPr>
                <w:rFonts w:hint="eastAsia" w:ascii="宋体" w:hAnsi="宋体" w:cs="宋体"/>
                <w:bCs/>
                <w:kern w:val="2"/>
                <w:sz w:val="30"/>
                <w:szCs w:val="30"/>
              </w:rPr>
              <w:t>5、开关量输入，常开输出。</w:t>
            </w:r>
          </w:p>
          <w:p w14:paraId="09C5501C">
            <w:pPr>
              <w:spacing w:line="400" w:lineRule="exact"/>
              <w:rPr>
                <w:rFonts w:ascii="宋体" w:hAnsi="宋体" w:cs="宋体"/>
                <w:bCs/>
                <w:kern w:val="2"/>
                <w:sz w:val="30"/>
                <w:szCs w:val="30"/>
              </w:rPr>
            </w:pPr>
            <w:r>
              <w:rPr>
                <w:rFonts w:hint="eastAsia" w:ascii="宋体" w:hAnsi="宋体" w:cs="宋体"/>
                <w:bCs/>
                <w:kern w:val="2"/>
                <w:sz w:val="30"/>
                <w:szCs w:val="30"/>
              </w:rPr>
              <w:t>6、以太网接口，能够对目标 IP，目标机号，本机机号设置。</w:t>
            </w:r>
          </w:p>
          <w:p w14:paraId="719EEF33">
            <w:pPr>
              <w:spacing w:line="400" w:lineRule="exact"/>
              <w:rPr>
                <w:rFonts w:ascii="宋体" w:hAnsi="宋体" w:cs="宋体"/>
                <w:bCs/>
                <w:kern w:val="2"/>
                <w:sz w:val="30"/>
                <w:szCs w:val="30"/>
              </w:rPr>
            </w:pPr>
            <w:r>
              <w:rPr>
                <w:rFonts w:hint="eastAsia" w:ascii="宋体" w:hAnsi="宋体" w:cs="宋体"/>
                <w:bCs/>
                <w:kern w:val="2"/>
                <w:sz w:val="30"/>
                <w:szCs w:val="30"/>
              </w:rPr>
              <w:t>7、工作温度 0℃～+50℃。</w:t>
            </w:r>
          </w:p>
          <w:p w14:paraId="794B7E18">
            <w:pPr>
              <w:spacing w:line="400" w:lineRule="exact"/>
              <w:rPr>
                <w:rFonts w:ascii="宋体" w:hAnsi="宋体" w:cs="宋体"/>
                <w:bCs/>
                <w:kern w:val="2"/>
                <w:sz w:val="30"/>
                <w:szCs w:val="30"/>
              </w:rPr>
            </w:pPr>
            <w:r>
              <w:rPr>
                <w:rFonts w:hint="eastAsia" w:ascii="宋体" w:hAnsi="宋体" w:cs="宋体"/>
                <w:bCs/>
                <w:kern w:val="2"/>
                <w:sz w:val="30"/>
                <w:szCs w:val="30"/>
              </w:rPr>
              <w:t>8、工作湿度 ≤95%RH。</w:t>
            </w:r>
          </w:p>
          <w:p w14:paraId="6031679C">
            <w:pPr>
              <w:spacing w:line="400" w:lineRule="exact"/>
              <w:rPr>
                <w:rFonts w:ascii="宋体" w:hAnsi="宋体" w:cs="宋体"/>
                <w:bCs/>
                <w:kern w:val="2"/>
                <w:sz w:val="30"/>
                <w:szCs w:val="30"/>
              </w:rPr>
            </w:pPr>
            <w:r>
              <w:rPr>
                <w:rFonts w:hint="eastAsia" w:ascii="宋体" w:hAnsi="宋体" w:cs="宋体"/>
                <w:bCs/>
                <w:kern w:val="2"/>
                <w:sz w:val="30"/>
                <w:szCs w:val="30"/>
              </w:rPr>
              <w:t>9、含数据转换模块及相关配件。</w:t>
            </w:r>
          </w:p>
          <w:p w14:paraId="6260C67A">
            <w:pPr>
              <w:spacing w:line="400" w:lineRule="exact"/>
              <w:rPr>
                <w:rFonts w:ascii="宋体" w:hAnsi="宋体" w:cs="宋体"/>
                <w:bCs/>
                <w:kern w:val="2"/>
                <w:sz w:val="30"/>
                <w:szCs w:val="30"/>
              </w:rPr>
            </w:pPr>
            <w:r>
              <w:rPr>
                <w:rFonts w:hint="eastAsia" w:ascii="宋体" w:hAnsi="宋体" w:cs="宋体"/>
                <w:bCs/>
                <w:kern w:val="2"/>
                <w:sz w:val="30"/>
                <w:szCs w:val="30"/>
              </w:rPr>
              <w:t>10、用户信息传输装置产品需符合GB26875.1-2011《城市消防远程监控系统第1部分：用户信息传输装置》要求。</w:t>
            </w:r>
          </w:p>
          <w:p w14:paraId="35AB2B5C">
            <w:pPr>
              <w:spacing w:line="400" w:lineRule="exact"/>
              <w:rPr>
                <w:rFonts w:ascii="宋体" w:hAnsi="宋体" w:cs="宋体"/>
                <w:bCs/>
                <w:kern w:val="2"/>
                <w:sz w:val="30"/>
                <w:szCs w:val="30"/>
              </w:rPr>
            </w:pPr>
            <w:r>
              <w:rPr>
                <w:rFonts w:hint="eastAsia" w:ascii="宋体" w:hAnsi="宋体" w:cs="宋体"/>
                <w:bCs/>
                <w:kern w:val="2"/>
                <w:sz w:val="30"/>
                <w:szCs w:val="30"/>
              </w:rPr>
              <w:t>11、投标人所投消防主机联网装置在主机与消防报警主机通讯延迟不大于1秒，主机与软件平台通讯延迟不大于1秒。</w:t>
            </w:r>
          </w:p>
        </w:tc>
        <w:tc>
          <w:tcPr>
            <w:tcW w:w="832" w:type="dxa"/>
            <w:vAlign w:val="center"/>
          </w:tcPr>
          <w:p w14:paraId="02AB37A0">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台</w:t>
            </w:r>
          </w:p>
        </w:tc>
        <w:tc>
          <w:tcPr>
            <w:tcW w:w="849" w:type="dxa"/>
            <w:vAlign w:val="center"/>
          </w:tcPr>
          <w:p w14:paraId="7D81A85F">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6</w:t>
            </w:r>
          </w:p>
        </w:tc>
      </w:tr>
      <w:tr w14:paraId="77B78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817" w:type="dxa"/>
            <w:vAlign w:val="center"/>
          </w:tcPr>
          <w:p w14:paraId="1C2E791F">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7</w:t>
            </w:r>
          </w:p>
        </w:tc>
        <w:tc>
          <w:tcPr>
            <w:tcW w:w="1376" w:type="dxa"/>
            <w:vAlign w:val="center"/>
          </w:tcPr>
          <w:p w14:paraId="3DE95E5F">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本地化智慧消防管理软件</w:t>
            </w:r>
          </w:p>
        </w:tc>
        <w:tc>
          <w:tcPr>
            <w:tcW w:w="6131" w:type="dxa"/>
            <w:vAlign w:val="center"/>
          </w:tcPr>
          <w:p w14:paraId="3CD6409F">
            <w:pPr>
              <w:spacing w:line="400" w:lineRule="exact"/>
              <w:rPr>
                <w:rFonts w:ascii="宋体" w:hAnsi="宋体" w:cs="宋体"/>
                <w:bCs/>
                <w:kern w:val="2"/>
                <w:sz w:val="30"/>
                <w:szCs w:val="30"/>
              </w:rPr>
            </w:pPr>
            <w:r>
              <w:rPr>
                <w:rFonts w:hint="eastAsia" w:ascii="宋体" w:hAnsi="宋体" w:cs="宋体"/>
                <w:bCs/>
                <w:kern w:val="2"/>
                <w:sz w:val="30"/>
                <w:szCs w:val="30"/>
              </w:rPr>
              <w:t>包含平台所需要的硬件环境：</w:t>
            </w:r>
          </w:p>
          <w:p w14:paraId="0279F300">
            <w:pPr>
              <w:spacing w:line="400" w:lineRule="exact"/>
              <w:rPr>
                <w:rFonts w:ascii="宋体" w:hAnsi="宋体" w:cs="宋体"/>
                <w:bCs/>
                <w:kern w:val="2"/>
                <w:sz w:val="30"/>
                <w:szCs w:val="30"/>
              </w:rPr>
            </w:pPr>
            <w:r>
              <w:rPr>
                <w:rFonts w:hint="eastAsia" w:ascii="宋体" w:hAnsi="宋体" w:cs="宋体"/>
                <w:bCs/>
                <w:kern w:val="2"/>
                <w:sz w:val="30"/>
                <w:szCs w:val="30"/>
              </w:rPr>
              <w:t>CPU：不低于2颗 C86架构HYGON 3350处理器，单处理器物理核心数≥8核，主频≥3.0 GHz。</w:t>
            </w:r>
          </w:p>
          <w:p w14:paraId="1B6BF54F">
            <w:pPr>
              <w:spacing w:line="400" w:lineRule="exact"/>
              <w:rPr>
                <w:rFonts w:ascii="宋体" w:hAnsi="宋体" w:cs="宋体"/>
                <w:bCs/>
                <w:kern w:val="2"/>
                <w:sz w:val="30"/>
                <w:szCs w:val="30"/>
              </w:rPr>
            </w:pPr>
            <w:r>
              <w:rPr>
                <w:rFonts w:hint="eastAsia" w:ascii="宋体" w:hAnsi="宋体" w:cs="宋体"/>
                <w:bCs/>
                <w:kern w:val="2"/>
                <w:sz w:val="30"/>
                <w:szCs w:val="30"/>
              </w:rPr>
              <w:t>内存：配置128G DDR4，8根内存插槽，最大可支持扩展至1TB。</w:t>
            </w:r>
          </w:p>
          <w:p w14:paraId="17AE94EC">
            <w:pPr>
              <w:spacing w:line="400" w:lineRule="exact"/>
              <w:rPr>
                <w:rFonts w:ascii="宋体" w:hAnsi="宋体" w:cs="宋体"/>
                <w:bCs/>
                <w:kern w:val="2"/>
                <w:sz w:val="30"/>
                <w:szCs w:val="30"/>
              </w:rPr>
            </w:pPr>
            <w:r>
              <w:rPr>
                <w:rFonts w:hint="eastAsia" w:ascii="宋体" w:hAnsi="宋体" w:cs="宋体"/>
                <w:bCs/>
                <w:kern w:val="2"/>
                <w:sz w:val="30"/>
                <w:szCs w:val="30"/>
              </w:rPr>
              <w:t>硬盘：2块600G 10K SAS HDD硬盘，或2*960G ssd +1 块3.84T SSD。</w:t>
            </w:r>
          </w:p>
          <w:p w14:paraId="1F93D536">
            <w:pPr>
              <w:spacing w:line="400" w:lineRule="exact"/>
              <w:rPr>
                <w:rFonts w:ascii="宋体" w:hAnsi="宋体" w:cs="宋体"/>
                <w:bCs/>
                <w:kern w:val="2"/>
                <w:sz w:val="30"/>
                <w:szCs w:val="30"/>
              </w:rPr>
            </w:pPr>
            <w:r>
              <w:rPr>
                <w:rFonts w:hint="eastAsia" w:ascii="宋体" w:hAnsi="宋体" w:cs="宋体"/>
                <w:bCs/>
                <w:kern w:val="2"/>
                <w:sz w:val="30"/>
                <w:szCs w:val="30"/>
              </w:rPr>
              <w:t>智慧消防综合管理平台，涵盖消防安全相关用水、火报、电气、烟雾、可燃气等对象的物联感知能力，提供包括消防联网、报警管理、状态监测、地图/平面图应用、统计报表、防火巡查、消防培训、图墙展示、消防AI（在离岗、场地占用、通道堵塞）、能力开放等服务。并通过APP给消防管理员、巡查员、值班保安等用户，提供消防报警查询与处理、隐患查询与处理、消防数据监测、消防业务巡查、消防防火检查、消防岗位自查、消防消控值班、消防扑救力量、消防制度职责、安全评估等功能。</w:t>
            </w:r>
          </w:p>
          <w:p w14:paraId="05674A4B">
            <w:pPr>
              <w:spacing w:line="400" w:lineRule="exact"/>
              <w:rPr>
                <w:rFonts w:ascii="宋体" w:hAnsi="宋体" w:cs="宋体"/>
                <w:bCs/>
                <w:kern w:val="2"/>
                <w:sz w:val="30"/>
                <w:szCs w:val="30"/>
              </w:rPr>
            </w:pPr>
            <w:r>
              <w:rPr>
                <w:rFonts w:hint="eastAsia" w:ascii="宋体" w:hAnsi="宋体" w:cs="宋体"/>
                <w:bCs/>
                <w:kern w:val="2"/>
                <w:sz w:val="30"/>
                <w:szCs w:val="30"/>
              </w:rPr>
              <w:t>1、平台应支持查看报警类型、报警等级、监测值、报警次数、所属设备等信息，并能根据资源在平面图或GIS地图上的位置，用红色闪烁标识报警点位；应支持形成报警日历，并能查看报警点位的历史报警记录；应支持通过联动视频预览、录像回放、抓图画面等方式对报警进行核实。</w:t>
            </w:r>
          </w:p>
          <w:p w14:paraId="6699D245">
            <w:pPr>
              <w:spacing w:line="400" w:lineRule="exact"/>
              <w:rPr>
                <w:rFonts w:ascii="宋体" w:hAnsi="宋体" w:cs="宋体"/>
                <w:bCs/>
                <w:kern w:val="2"/>
                <w:sz w:val="30"/>
                <w:szCs w:val="30"/>
              </w:rPr>
            </w:pPr>
            <w:r>
              <w:rPr>
                <w:rFonts w:hint="eastAsia" w:ascii="宋体" w:hAnsi="宋体" w:cs="宋体"/>
                <w:bCs/>
                <w:kern w:val="2"/>
                <w:sz w:val="30"/>
                <w:szCs w:val="30"/>
              </w:rPr>
              <w:t>2、平台应提供一站式的工作台，用于接收和处理多个系统的报警信息，其中应包括火灾报警系统、电气火灾监控系统、可燃气体监测系统、消防用水监控系统、视频图像预警系统以及充电桩监控系统；工作台应支持查看真实火警数量、当日报警数量、待处理报警数量、当日隐患数量、待处理隐患数量及被屏蔽传感器数量；工作台应支持深色与亮色模式之间的切换，以适应不同的适用场景。</w:t>
            </w:r>
          </w:p>
          <w:p w14:paraId="362495A8">
            <w:pPr>
              <w:spacing w:line="400" w:lineRule="exact"/>
              <w:rPr>
                <w:rFonts w:ascii="宋体" w:hAnsi="宋体" w:cs="宋体"/>
                <w:bCs/>
                <w:kern w:val="2"/>
                <w:sz w:val="30"/>
                <w:szCs w:val="30"/>
              </w:rPr>
            </w:pPr>
            <w:r>
              <w:rPr>
                <w:rFonts w:hint="eastAsia" w:ascii="宋体" w:hAnsi="宋体" w:cs="宋体"/>
                <w:bCs/>
                <w:kern w:val="2"/>
                <w:sz w:val="30"/>
                <w:szCs w:val="30"/>
              </w:rPr>
              <w:t>3、工作台应支持实时接收系统的报警事件，并支持通过电脑对报警信息的语音播报功能来提醒值守人员及时处理报警事件；在同区域发生多个报警事件时，工作台应支持疑似火警的判断。</w:t>
            </w:r>
          </w:p>
          <w:p w14:paraId="348E19C9">
            <w:pPr>
              <w:spacing w:line="400" w:lineRule="exact"/>
              <w:rPr>
                <w:rFonts w:ascii="宋体" w:hAnsi="宋体" w:cs="宋体"/>
                <w:bCs/>
                <w:kern w:val="2"/>
                <w:sz w:val="30"/>
                <w:szCs w:val="30"/>
              </w:rPr>
            </w:pPr>
            <w:r>
              <w:rPr>
                <w:rFonts w:hint="eastAsia" w:ascii="宋体" w:hAnsi="宋体" w:cs="宋体"/>
                <w:bCs/>
                <w:kern w:val="2"/>
                <w:sz w:val="30"/>
                <w:szCs w:val="30"/>
              </w:rPr>
              <w:t>4、平台应支持查看报警分析，支持查看未处理报警和真实火警的数量、今日报警、今日处理率、近一年报警、报警处理率；平台支持查看动态数据趋势，并支持按近一月、近半年、近1年查看报警趋势图；平台应支持通过动态数据趋势跳转至报警管理页面。</w:t>
            </w:r>
          </w:p>
          <w:p w14:paraId="4A7FFFFF">
            <w:pPr>
              <w:spacing w:line="400" w:lineRule="exact"/>
              <w:rPr>
                <w:rFonts w:ascii="宋体" w:hAnsi="宋体" w:cs="宋体"/>
                <w:bCs/>
                <w:kern w:val="2"/>
                <w:sz w:val="30"/>
                <w:szCs w:val="30"/>
              </w:rPr>
            </w:pPr>
            <w:r>
              <w:rPr>
                <w:rFonts w:hint="eastAsia" w:ascii="宋体" w:hAnsi="宋体" w:cs="宋体"/>
                <w:bCs/>
                <w:kern w:val="2"/>
                <w:sz w:val="30"/>
                <w:szCs w:val="30"/>
              </w:rPr>
              <w:t>5、平台应支持消防设备/传感器的上图，并支持在图上查看该设备/传感器的监测值；设备发生报警时，平台应支持将点位用红色闪烁进行提醒；设备故障时，平台应支持将点位图标变换成黄色进行提醒。</w:t>
            </w:r>
          </w:p>
          <w:p w14:paraId="2B8CBA85">
            <w:pPr>
              <w:spacing w:line="400" w:lineRule="exact"/>
              <w:rPr>
                <w:rFonts w:ascii="宋体" w:hAnsi="宋体" w:cs="宋体"/>
                <w:bCs/>
                <w:kern w:val="2"/>
                <w:sz w:val="30"/>
                <w:szCs w:val="30"/>
              </w:rPr>
            </w:pPr>
            <w:r>
              <w:rPr>
                <w:rFonts w:hint="eastAsia" w:ascii="宋体" w:hAnsi="宋体" w:cs="宋体"/>
                <w:bCs/>
                <w:kern w:val="2"/>
                <w:sz w:val="30"/>
                <w:szCs w:val="30"/>
              </w:rPr>
              <w:t>6、移动端应支持根据区域、设备类型、检测异常设备、系统、设备运行状态、设备其他状态进行设备的筛选；移动端应支持查看设备监测项和传感器监测项，支持查看具体监测值及对应阈值，并支持查看监测值历史趋势。</w:t>
            </w:r>
          </w:p>
        </w:tc>
        <w:tc>
          <w:tcPr>
            <w:tcW w:w="832" w:type="dxa"/>
            <w:vAlign w:val="center"/>
          </w:tcPr>
          <w:p w14:paraId="50DC54D6">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套</w:t>
            </w:r>
          </w:p>
        </w:tc>
        <w:tc>
          <w:tcPr>
            <w:tcW w:w="849" w:type="dxa"/>
            <w:vAlign w:val="center"/>
          </w:tcPr>
          <w:p w14:paraId="2FAF6B63">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1</w:t>
            </w:r>
          </w:p>
        </w:tc>
      </w:tr>
      <w:tr w14:paraId="004B9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817" w:type="dxa"/>
            <w:vAlign w:val="center"/>
          </w:tcPr>
          <w:p w14:paraId="55B7FFFC">
            <w:pPr>
              <w:spacing w:line="400" w:lineRule="exact"/>
              <w:jc w:val="center"/>
              <w:rPr>
                <w:rFonts w:ascii="宋体" w:hAnsi="宋体" w:cs="宋体"/>
                <w:bCs/>
                <w:color w:val="000000"/>
                <w:sz w:val="30"/>
                <w:szCs w:val="30"/>
              </w:rPr>
            </w:pPr>
            <w:r>
              <w:rPr>
                <w:rFonts w:ascii="宋体" w:hAnsi="宋体" w:cs="宋体"/>
                <w:bCs/>
                <w:color w:val="000000"/>
                <w:sz w:val="30"/>
                <w:szCs w:val="30"/>
              </w:rPr>
              <w:t>8</w:t>
            </w:r>
          </w:p>
        </w:tc>
        <w:tc>
          <w:tcPr>
            <w:tcW w:w="1376" w:type="dxa"/>
            <w:vAlign w:val="center"/>
          </w:tcPr>
          <w:p w14:paraId="0EE4463C">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六类网线</w:t>
            </w:r>
          </w:p>
        </w:tc>
        <w:tc>
          <w:tcPr>
            <w:tcW w:w="6131" w:type="dxa"/>
            <w:vAlign w:val="center"/>
          </w:tcPr>
          <w:p w14:paraId="66671D8C">
            <w:pPr>
              <w:spacing w:line="400" w:lineRule="exact"/>
              <w:rPr>
                <w:rFonts w:ascii="宋体" w:hAnsi="宋体" w:cs="宋体"/>
                <w:bCs/>
                <w:color w:val="FF0000"/>
                <w:sz w:val="30"/>
                <w:szCs w:val="30"/>
                <w:highlight w:val="none"/>
              </w:rPr>
            </w:pPr>
            <w:r>
              <w:rPr>
                <w:rFonts w:hint="eastAsia" w:ascii="宋体" w:hAnsi="宋体" w:cs="宋体"/>
                <w:bCs/>
                <w:color w:val="FF0000"/>
                <w:sz w:val="30"/>
                <w:szCs w:val="30"/>
                <w:highlight w:val="none"/>
              </w:rPr>
              <w:t>6类室内非屏蔽双绞线</w:t>
            </w:r>
          </w:p>
          <w:p w14:paraId="29C9455A">
            <w:pPr>
              <w:spacing w:line="400" w:lineRule="exact"/>
              <w:rPr>
                <w:rFonts w:ascii="宋体" w:hAnsi="宋体" w:cs="宋体"/>
                <w:bCs/>
                <w:color w:val="FF0000"/>
                <w:sz w:val="30"/>
                <w:szCs w:val="30"/>
                <w:highlight w:val="none"/>
              </w:rPr>
            </w:pPr>
            <w:r>
              <w:rPr>
                <w:rFonts w:hint="eastAsia" w:ascii="宋体" w:hAnsi="宋体" w:cs="宋体"/>
                <w:bCs/>
                <w:color w:val="FF0000"/>
                <w:sz w:val="30"/>
                <w:szCs w:val="30"/>
                <w:highlight w:val="none"/>
              </w:rPr>
              <w:t>标准装箱长度：305m。</w:t>
            </w:r>
          </w:p>
          <w:p w14:paraId="4C92BE48">
            <w:pPr>
              <w:spacing w:line="400" w:lineRule="exact"/>
              <w:rPr>
                <w:rFonts w:ascii="宋体" w:hAnsi="宋体" w:cs="宋体"/>
                <w:bCs/>
                <w:color w:val="FF0000"/>
                <w:sz w:val="30"/>
                <w:szCs w:val="30"/>
                <w:highlight w:val="none"/>
              </w:rPr>
            </w:pPr>
            <w:r>
              <w:rPr>
                <w:rFonts w:hint="eastAsia" w:ascii="宋体" w:hAnsi="宋体" w:cs="宋体"/>
                <w:bCs/>
                <w:color w:val="FF0000"/>
                <w:sz w:val="30"/>
                <w:szCs w:val="30"/>
                <w:highlight w:val="none"/>
              </w:rPr>
              <w:t>导体直径0</w:t>
            </w:r>
            <w:r>
              <w:rPr>
                <w:rFonts w:ascii="宋体" w:hAnsi="宋体" w:cs="宋体"/>
                <w:bCs/>
                <w:color w:val="FF0000"/>
                <w:sz w:val="30"/>
                <w:szCs w:val="30"/>
                <w:highlight w:val="none"/>
              </w:rPr>
              <w:t>.57</w:t>
            </w:r>
            <w:r>
              <w:rPr>
                <w:rFonts w:hint="eastAsia" w:ascii="宋体" w:hAnsi="宋体" w:cs="宋体"/>
                <w:bCs/>
                <w:color w:val="FF0000"/>
                <w:sz w:val="30"/>
                <w:szCs w:val="30"/>
                <w:highlight w:val="none"/>
              </w:rPr>
              <w:t>±0</w:t>
            </w:r>
            <w:r>
              <w:rPr>
                <w:rFonts w:ascii="宋体" w:hAnsi="宋体" w:cs="宋体"/>
                <w:bCs/>
                <w:color w:val="FF0000"/>
                <w:sz w:val="30"/>
                <w:szCs w:val="30"/>
                <w:highlight w:val="none"/>
              </w:rPr>
              <w:t>.02</w:t>
            </w:r>
            <w:r>
              <w:rPr>
                <w:rFonts w:hint="eastAsia" w:ascii="宋体" w:hAnsi="宋体" w:cs="宋体"/>
                <w:bCs/>
                <w:color w:val="FF0000"/>
                <w:sz w:val="30"/>
                <w:szCs w:val="30"/>
                <w:highlight w:val="none"/>
              </w:rPr>
              <w:t>mm。</w:t>
            </w:r>
          </w:p>
          <w:p w14:paraId="2976534E">
            <w:pPr>
              <w:spacing w:line="400" w:lineRule="exact"/>
              <w:rPr>
                <w:rFonts w:ascii="宋体" w:hAnsi="宋体" w:cs="宋体"/>
                <w:bCs/>
                <w:color w:val="FF0000"/>
                <w:sz w:val="30"/>
                <w:szCs w:val="30"/>
                <w:highlight w:val="none"/>
              </w:rPr>
            </w:pPr>
            <w:r>
              <w:rPr>
                <w:rFonts w:hint="eastAsia" w:ascii="宋体" w:hAnsi="宋体" w:cs="宋体"/>
                <w:bCs/>
                <w:color w:val="FF0000"/>
                <w:sz w:val="30"/>
                <w:szCs w:val="30"/>
                <w:highlight w:val="none"/>
              </w:rPr>
              <w:t>线缆结构：4对8芯双绞线,每对之间采用十字骨架隔离,每芯均有颜色区分,外皮印有厂商标识 及电缆编码，有撕裂绳。</w:t>
            </w:r>
          </w:p>
          <w:p w14:paraId="3B66A75C">
            <w:pPr>
              <w:spacing w:line="400" w:lineRule="exact"/>
              <w:rPr>
                <w:rFonts w:ascii="宋体" w:hAnsi="宋体" w:cs="宋体"/>
                <w:bCs/>
                <w:color w:val="FF0000"/>
                <w:sz w:val="30"/>
                <w:szCs w:val="30"/>
                <w:highlight w:val="none"/>
              </w:rPr>
            </w:pPr>
            <w:r>
              <w:rPr>
                <w:rFonts w:hint="eastAsia" w:ascii="宋体" w:hAnsi="宋体" w:cs="宋体"/>
                <w:bCs/>
                <w:color w:val="FF0000"/>
                <w:sz w:val="30"/>
                <w:szCs w:val="30"/>
                <w:highlight w:val="none"/>
              </w:rPr>
              <w:t>芯线材料：无氧铜。</w:t>
            </w:r>
          </w:p>
          <w:p w14:paraId="6C2F4DF5">
            <w:pPr>
              <w:spacing w:line="400" w:lineRule="exact"/>
              <w:rPr>
                <w:rFonts w:ascii="宋体" w:hAnsi="宋体" w:cs="宋体"/>
                <w:bCs/>
                <w:color w:val="FF0000"/>
                <w:sz w:val="30"/>
                <w:szCs w:val="30"/>
                <w:highlight w:val="none"/>
              </w:rPr>
            </w:pPr>
            <w:r>
              <w:rPr>
                <w:rFonts w:hint="eastAsia" w:ascii="宋体" w:hAnsi="宋体" w:cs="宋体"/>
                <w:bCs/>
                <w:color w:val="FF0000"/>
                <w:sz w:val="30"/>
                <w:szCs w:val="30"/>
                <w:highlight w:val="none"/>
              </w:rPr>
              <w:t>芯线绝缘材料：高密度聚乙烯。</w:t>
            </w:r>
          </w:p>
        </w:tc>
        <w:tc>
          <w:tcPr>
            <w:tcW w:w="832" w:type="dxa"/>
            <w:vAlign w:val="center"/>
          </w:tcPr>
          <w:p w14:paraId="6DCEB287">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米</w:t>
            </w:r>
          </w:p>
        </w:tc>
        <w:tc>
          <w:tcPr>
            <w:tcW w:w="849" w:type="dxa"/>
            <w:vAlign w:val="center"/>
          </w:tcPr>
          <w:p w14:paraId="2DA3CF11">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35000</w:t>
            </w:r>
          </w:p>
        </w:tc>
      </w:tr>
      <w:tr w14:paraId="22670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817" w:type="dxa"/>
            <w:vAlign w:val="center"/>
          </w:tcPr>
          <w:p w14:paraId="6F5C7E92">
            <w:pPr>
              <w:spacing w:line="400" w:lineRule="exact"/>
              <w:jc w:val="center"/>
              <w:rPr>
                <w:rFonts w:ascii="宋体" w:hAnsi="宋体" w:cs="宋体"/>
                <w:bCs/>
                <w:color w:val="000000"/>
                <w:sz w:val="30"/>
                <w:szCs w:val="30"/>
              </w:rPr>
            </w:pPr>
            <w:r>
              <w:rPr>
                <w:rFonts w:ascii="宋体" w:hAnsi="宋体" w:cs="宋体"/>
                <w:bCs/>
                <w:color w:val="000000"/>
                <w:sz w:val="30"/>
                <w:szCs w:val="30"/>
              </w:rPr>
              <w:t>9</w:t>
            </w:r>
          </w:p>
        </w:tc>
        <w:tc>
          <w:tcPr>
            <w:tcW w:w="1376" w:type="dxa"/>
            <w:vAlign w:val="center"/>
          </w:tcPr>
          <w:p w14:paraId="4A709BB4">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电源线</w:t>
            </w:r>
          </w:p>
        </w:tc>
        <w:tc>
          <w:tcPr>
            <w:tcW w:w="6131" w:type="dxa"/>
            <w:vAlign w:val="center"/>
          </w:tcPr>
          <w:p w14:paraId="5D122992">
            <w:pPr>
              <w:spacing w:line="400" w:lineRule="exact"/>
              <w:rPr>
                <w:rFonts w:ascii="宋体" w:hAnsi="宋体" w:cs="宋体"/>
                <w:bCs/>
                <w:color w:val="FF0000"/>
                <w:sz w:val="30"/>
                <w:szCs w:val="30"/>
                <w:highlight w:val="none"/>
              </w:rPr>
            </w:pPr>
            <w:r>
              <w:rPr>
                <w:rFonts w:hint="eastAsia" w:ascii="宋体" w:hAnsi="宋体" w:cs="宋体"/>
                <w:bCs/>
                <w:color w:val="FF0000"/>
                <w:sz w:val="30"/>
                <w:szCs w:val="30"/>
                <w:highlight w:val="none"/>
              </w:rPr>
              <w:t>2芯RVV电源线（1mm2）</w:t>
            </w:r>
          </w:p>
          <w:p w14:paraId="1CD1B66F">
            <w:pPr>
              <w:spacing w:line="400" w:lineRule="exact"/>
              <w:rPr>
                <w:rFonts w:ascii="宋体" w:hAnsi="宋体" w:cs="宋体"/>
                <w:bCs/>
                <w:color w:val="FF0000"/>
                <w:sz w:val="30"/>
                <w:szCs w:val="30"/>
                <w:highlight w:val="none"/>
              </w:rPr>
            </w:pPr>
            <w:r>
              <w:rPr>
                <w:rFonts w:hint="eastAsia" w:ascii="宋体" w:hAnsi="宋体" w:cs="宋体"/>
                <w:bCs/>
                <w:color w:val="FF0000"/>
                <w:sz w:val="30"/>
                <w:szCs w:val="30"/>
                <w:highlight w:val="none"/>
              </w:rPr>
              <w:t>无氧铜线芯，电阻低，导电性强，传输损耗低，发热小，更省电。</w:t>
            </w:r>
          </w:p>
          <w:p w14:paraId="3450857C">
            <w:pPr>
              <w:spacing w:line="400" w:lineRule="exact"/>
              <w:rPr>
                <w:rFonts w:ascii="宋体" w:hAnsi="宋体" w:cs="宋体"/>
                <w:bCs/>
                <w:color w:val="FF0000"/>
                <w:sz w:val="30"/>
                <w:szCs w:val="30"/>
                <w:highlight w:val="none"/>
              </w:rPr>
            </w:pPr>
            <w:r>
              <w:rPr>
                <w:rFonts w:hint="eastAsia" w:ascii="宋体" w:hAnsi="宋体" w:cs="宋体"/>
                <w:bCs/>
                <w:color w:val="FF0000"/>
                <w:sz w:val="30"/>
                <w:szCs w:val="30"/>
                <w:highlight w:val="none"/>
              </w:rPr>
              <w:t>环保绝缘、护被，耐磨耐拉伸，抗潮防冻，抵抗各种恶劣气候，可靠耐用。</w:t>
            </w:r>
          </w:p>
          <w:p w14:paraId="101DB2A0">
            <w:pPr>
              <w:spacing w:line="400" w:lineRule="exact"/>
              <w:rPr>
                <w:rFonts w:ascii="宋体" w:hAnsi="宋体" w:cs="宋体"/>
                <w:bCs/>
                <w:color w:val="FF0000"/>
                <w:sz w:val="30"/>
                <w:szCs w:val="30"/>
                <w:highlight w:val="none"/>
              </w:rPr>
            </w:pPr>
            <w:r>
              <w:rPr>
                <w:rFonts w:hint="eastAsia" w:ascii="宋体" w:hAnsi="宋体" w:cs="宋体"/>
                <w:bCs/>
                <w:color w:val="FF0000"/>
                <w:sz w:val="30"/>
                <w:szCs w:val="30"/>
                <w:highlight w:val="none"/>
              </w:rPr>
              <w:t>线芯同心度高，绝缘和护套厚度均匀，防止击穿，符合国家3C认证，全力保障用电安全。</w:t>
            </w:r>
          </w:p>
          <w:p w14:paraId="4E889675">
            <w:pPr>
              <w:spacing w:line="400" w:lineRule="exact"/>
              <w:rPr>
                <w:rFonts w:ascii="宋体" w:hAnsi="宋体" w:cs="宋体"/>
                <w:bCs/>
                <w:color w:val="FF0000"/>
                <w:sz w:val="30"/>
                <w:szCs w:val="30"/>
                <w:highlight w:val="none"/>
              </w:rPr>
            </w:pPr>
            <w:r>
              <w:rPr>
                <w:rFonts w:hint="eastAsia" w:ascii="宋体" w:hAnsi="宋体" w:cs="宋体"/>
                <w:bCs/>
                <w:color w:val="FF0000"/>
                <w:sz w:val="30"/>
                <w:szCs w:val="30"/>
                <w:highlight w:val="none"/>
              </w:rPr>
              <w:t>线芯绝缘颜色鲜艳，便于区分，便于施工识别。</w:t>
            </w:r>
          </w:p>
        </w:tc>
        <w:tc>
          <w:tcPr>
            <w:tcW w:w="832" w:type="dxa"/>
            <w:vAlign w:val="center"/>
          </w:tcPr>
          <w:p w14:paraId="6900DF24">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米</w:t>
            </w:r>
          </w:p>
        </w:tc>
        <w:tc>
          <w:tcPr>
            <w:tcW w:w="849" w:type="dxa"/>
            <w:vAlign w:val="center"/>
          </w:tcPr>
          <w:p w14:paraId="617D63B5">
            <w:pPr>
              <w:spacing w:line="400" w:lineRule="exact"/>
              <w:jc w:val="center"/>
              <w:rPr>
                <w:rFonts w:ascii="宋体" w:hAnsi="宋体" w:cs="宋体"/>
                <w:bCs/>
                <w:color w:val="000000"/>
                <w:sz w:val="30"/>
                <w:szCs w:val="30"/>
              </w:rPr>
            </w:pPr>
            <w:r>
              <w:rPr>
                <w:rFonts w:hint="eastAsia" w:ascii="宋体" w:hAnsi="宋体" w:cs="宋体"/>
                <w:bCs/>
                <w:color w:val="000000"/>
                <w:sz w:val="30"/>
                <w:szCs w:val="30"/>
              </w:rPr>
              <w:t>40000</w:t>
            </w:r>
          </w:p>
        </w:tc>
      </w:tr>
    </w:tbl>
    <w:p w14:paraId="72593FE7">
      <w:pPr>
        <w:numPr>
          <w:ilvl w:val="0"/>
          <w:numId w:val="0"/>
        </w:numPr>
        <w:spacing w:line="360" w:lineRule="auto"/>
        <w:rPr>
          <w:rFonts w:hint="eastAsia" w:ascii="宋体" w:hAnsi="宋体" w:cs="宋体"/>
          <w:b/>
          <w:bCs/>
          <w:kern w:val="2"/>
          <w:sz w:val="28"/>
          <w:szCs w:val="28"/>
        </w:rPr>
      </w:pPr>
      <w:r>
        <w:rPr>
          <w:rFonts w:hint="eastAsia" w:ascii="宋体" w:hAnsi="宋体" w:cs="宋体"/>
          <w:b/>
          <w:bCs/>
          <w:kern w:val="2"/>
          <w:sz w:val="28"/>
          <w:szCs w:val="28"/>
          <w:lang w:val="en-US" w:eastAsia="zh-CN"/>
        </w:rPr>
        <w:t>二、</w:t>
      </w:r>
      <w:r>
        <w:rPr>
          <w:rFonts w:hint="eastAsia" w:ascii="宋体" w:hAnsi="宋体" w:cs="宋体"/>
          <w:b/>
          <w:bCs/>
          <w:kern w:val="2"/>
          <w:sz w:val="28"/>
          <w:szCs w:val="28"/>
        </w:rPr>
        <w:t>其他内容不变。</w:t>
      </w:r>
    </w:p>
    <w:p w14:paraId="18B14B47">
      <w:pPr>
        <w:pStyle w:val="2"/>
        <w:jc w:val="right"/>
        <w:rPr>
          <w:rFonts w:ascii="宋体" w:hAnsi="宋体" w:eastAsia="宋体" w:cs="宋体"/>
          <w:color w:val="000000"/>
          <w:sz w:val="30"/>
        </w:rPr>
      </w:pPr>
      <w:r>
        <w:rPr>
          <w:rFonts w:ascii="宋体" w:hAnsi="宋体" w:eastAsia="宋体" w:cs="宋体"/>
          <w:color w:val="000000"/>
          <w:sz w:val="30"/>
        </w:rPr>
        <w:t>江苏中际招标代理有限公司</w:t>
      </w:r>
    </w:p>
    <w:p w14:paraId="4367B7C1">
      <w:pPr>
        <w:pStyle w:val="3"/>
        <w:jc w:val="right"/>
        <w:rPr>
          <w:rFonts w:hint="default" w:eastAsia="宋体"/>
          <w:lang w:val="en-US" w:eastAsia="zh-CN"/>
        </w:rPr>
      </w:pPr>
      <w:r>
        <w:rPr>
          <w:rFonts w:hint="eastAsia" w:ascii="宋体" w:eastAsia="宋体" w:cs="宋体"/>
          <w:color w:val="000000"/>
          <w:sz w:val="30"/>
          <w:lang w:val="en-US" w:eastAsia="zh-CN"/>
        </w:rPr>
        <w:t>2025年9月22</w:t>
      </w:r>
      <w:bookmarkStart w:id="0" w:name="_GoBack"/>
      <w:bookmarkEnd w:id="0"/>
      <w:r>
        <w:rPr>
          <w:rFonts w:hint="eastAsia" w:ascii="宋体" w:eastAsia="宋体" w:cs="宋体"/>
          <w:color w:val="000000"/>
          <w:sz w:val="30"/>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楷体">
    <w:altName w:val="宋体"/>
    <w:panose1 w:val="020B0503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65256"/>
    <w:rsid w:val="00B846AA"/>
    <w:rsid w:val="02031926"/>
    <w:rsid w:val="0219237F"/>
    <w:rsid w:val="03232710"/>
    <w:rsid w:val="03CE1BEB"/>
    <w:rsid w:val="07A711AE"/>
    <w:rsid w:val="0C8218C8"/>
    <w:rsid w:val="0D4633E2"/>
    <w:rsid w:val="0E3B0E1E"/>
    <w:rsid w:val="0FA027A9"/>
    <w:rsid w:val="11EC6CE8"/>
    <w:rsid w:val="1278117C"/>
    <w:rsid w:val="14933A05"/>
    <w:rsid w:val="193818B3"/>
    <w:rsid w:val="19804AFA"/>
    <w:rsid w:val="1B61011A"/>
    <w:rsid w:val="1B953EE3"/>
    <w:rsid w:val="1FBE172A"/>
    <w:rsid w:val="22804CA2"/>
    <w:rsid w:val="228D69A7"/>
    <w:rsid w:val="245737A0"/>
    <w:rsid w:val="24C72FAB"/>
    <w:rsid w:val="25CF65B4"/>
    <w:rsid w:val="294D5A62"/>
    <w:rsid w:val="2F2565DD"/>
    <w:rsid w:val="2F8863F0"/>
    <w:rsid w:val="376901F9"/>
    <w:rsid w:val="37DD1845"/>
    <w:rsid w:val="388D72E2"/>
    <w:rsid w:val="3A78161A"/>
    <w:rsid w:val="3B577D39"/>
    <w:rsid w:val="3CD36D4C"/>
    <w:rsid w:val="3F8D3CD5"/>
    <w:rsid w:val="43692641"/>
    <w:rsid w:val="438643B2"/>
    <w:rsid w:val="44267DA8"/>
    <w:rsid w:val="4512535C"/>
    <w:rsid w:val="48BC28C8"/>
    <w:rsid w:val="4BD9078D"/>
    <w:rsid w:val="4C1A1AE7"/>
    <w:rsid w:val="4EDF5575"/>
    <w:rsid w:val="50BC4AE5"/>
    <w:rsid w:val="50DB3BE9"/>
    <w:rsid w:val="5AAF64A2"/>
    <w:rsid w:val="612E25F8"/>
    <w:rsid w:val="61E74985"/>
    <w:rsid w:val="684B33F5"/>
    <w:rsid w:val="694621E7"/>
    <w:rsid w:val="69A058F8"/>
    <w:rsid w:val="6B364973"/>
    <w:rsid w:val="6DF9283F"/>
    <w:rsid w:val="711C0654"/>
    <w:rsid w:val="73987BFD"/>
    <w:rsid w:val="76322097"/>
    <w:rsid w:val="771E6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2">
    <w:name w:val="Default Paragraph Font"/>
    <w:semiHidden/>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一级条标题"/>
    <w:basedOn w:val="4"/>
    <w:next w:val="1"/>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4">
    <w:name w:val="章标题"/>
    <w:next w:val="5"/>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5">
    <w:name w:val="正文1"/>
    <w:basedOn w:val="6"/>
    <w:next w:val="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
    <w:name w:val="正文111"/>
    <w:next w:val="7"/>
    <w:qFormat/>
    <w:uiPriority w:val="0"/>
    <w:pPr>
      <w:widowControl w:val="0"/>
      <w:jc w:val="both"/>
    </w:pPr>
    <w:rPr>
      <w:rFonts w:hint="default" w:ascii="Times New Roman" w:hAnsi="Times New Roman" w:eastAsia="宋体" w:cs="Times New Roman"/>
      <w:sz w:val="21"/>
      <w:szCs w:val="24"/>
    </w:rPr>
  </w:style>
  <w:style w:type="paragraph" w:customStyle="1" w:styleId="7">
    <w:name w:val="目录 111"/>
    <w:next w:val="1"/>
    <w:qFormat/>
    <w:uiPriority w:val="0"/>
    <w:pPr>
      <w:widowControl w:val="0"/>
      <w:spacing w:after="160" w:line="278" w:lineRule="auto"/>
      <w:jc w:val="both"/>
    </w:pPr>
    <w:rPr>
      <w:rFonts w:ascii="Times New Roman" w:hAnsi="Times New Roman" w:eastAsia="宋体" w:cs="Times New Roman"/>
      <w:sz w:val="21"/>
      <w:szCs w:val="24"/>
      <w:lang w:val="en-US" w:eastAsia="zh-CN" w:bidi="ar-SA"/>
    </w:rPr>
  </w:style>
  <w:style w:type="paragraph" w:customStyle="1" w:styleId="8">
    <w:name w:val="目录 11"/>
    <w:basedOn w:val="9"/>
    <w:next w:val="5"/>
    <w:qFormat/>
    <w:uiPriority w:val="0"/>
    <w:pPr>
      <w:widowControl/>
      <w:spacing w:after="100" w:line="259" w:lineRule="auto"/>
      <w:jc w:val="left"/>
    </w:pPr>
    <w:rPr>
      <w:rFonts w:ascii="Calibri" w:hAnsi="Calibri" w:eastAsia="宋体"/>
      <w:sz w:val="22"/>
      <w:szCs w:val="22"/>
    </w:rPr>
  </w:style>
  <w:style w:type="paragraph" w:customStyle="1" w:styleId="9">
    <w:name w:val="正文11"/>
    <w:next w:val="1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0">
    <w:name w:val="正文首行缩进11"/>
    <w:basedOn w:val="11"/>
    <w:next w:val="21"/>
    <w:qFormat/>
    <w:uiPriority w:val="0"/>
    <w:pPr>
      <w:ind w:firstLine="420"/>
    </w:pPr>
    <w:rPr>
      <w:rFonts w:ascii="仿宋_GB2312" w:eastAsia="仿宋_GB2312"/>
      <w:sz w:val="30"/>
      <w:szCs w:val="30"/>
    </w:rPr>
  </w:style>
  <w:style w:type="paragraph" w:customStyle="1" w:styleId="11">
    <w:name w:val="正文文本1"/>
    <w:basedOn w:val="12"/>
    <w:next w:val="3"/>
    <w:qFormat/>
    <w:uiPriority w:val="99"/>
    <w:pPr>
      <w:spacing w:after="120"/>
    </w:pPr>
    <w:rPr>
      <w:rFonts w:ascii="Calibri" w:hAnsi="Calibri"/>
    </w:rPr>
  </w:style>
  <w:style w:type="paragraph" w:customStyle="1" w:styleId="12">
    <w:name w:val="正文13"/>
    <w:next w:val="1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3">
    <w:name w:val="正文首行缩进1"/>
    <w:basedOn w:val="14"/>
    <w:next w:val="16"/>
    <w:qFormat/>
    <w:uiPriority w:val="0"/>
    <w:pPr>
      <w:ind w:firstLine="420"/>
    </w:pPr>
    <w:rPr>
      <w:rFonts w:ascii="仿宋_GB2312" w:hAnsi="Times New Roman" w:eastAsia="仿宋_GB2312"/>
      <w:sz w:val="30"/>
      <w:szCs w:val="30"/>
    </w:rPr>
  </w:style>
  <w:style w:type="paragraph" w:customStyle="1" w:styleId="14">
    <w:name w:val="正文文本11"/>
    <w:basedOn w:val="15"/>
    <w:next w:val="9"/>
    <w:qFormat/>
    <w:uiPriority w:val="0"/>
    <w:pPr>
      <w:spacing w:line="300" w:lineRule="auto"/>
    </w:pPr>
    <w:rPr>
      <w:rFonts w:eastAsia="微软简楷体"/>
      <w:sz w:val="30"/>
    </w:rPr>
  </w:style>
  <w:style w:type="paragraph" w:customStyle="1" w:styleId="15">
    <w:name w:val="正文112"/>
    <w:next w:val="14"/>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6">
    <w:name w:val="正文首行缩进 21"/>
    <w:basedOn w:val="17"/>
    <w:next w:val="6"/>
    <w:qFormat/>
    <w:uiPriority w:val="0"/>
    <w:pPr>
      <w:spacing w:line="357" w:lineRule="atLeast"/>
      <w:ind w:firstLine="420"/>
    </w:pPr>
    <w:rPr>
      <w:color w:val="000000"/>
      <w:sz w:val="20"/>
      <w:szCs w:val="20"/>
    </w:rPr>
  </w:style>
  <w:style w:type="paragraph" w:customStyle="1" w:styleId="17">
    <w:name w:val="正文文本缩进1"/>
    <w:basedOn w:val="18"/>
    <w:next w:val="20"/>
    <w:qFormat/>
    <w:uiPriority w:val="0"/>
    <w:pPr>
      <w:spacing w:after="120"/>
      <w:ind w:left="420"/>
    </w:pPr>
    <w:rPr>
      <w:rFonts w:ascii="Calibri" w:hAnsi="Calibri"/>
    </w:rPr>
  </w:style>
  <w:style w:type="paragraph" w:customStyle="1" w:styleId="18">
    <w:name w:val="正文12"/>
    <w:next w:val="19"/>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19">
    <w:name w:val="正文文本111"/>
    <w:basedOn w:val="18"/>
    <w:next w:val="18"/>
    <w:qFormat/>
    <w:uiPriority w:val="0"/>
  </w:style>
  <w:style w:type="paragraph" w:customStyle="1" w:styleId="20">
    <w:name w:val="寄信人地址1"/>
    <w:basedOn w:val="9"/>
    <w:qFormat/>
    <w:uiPriority w:val="0"/>
    <w:rPr>
      <w:rFonts w:ascii="Arial" w:hAnsi="Arial"/>
    </w:rPr>
  </w:style>
  <w:style w:type="paragraph" w:customStyle="1" w:styleId="21">
    <w:name w:val="正文首行缩进 211"/>
    <w:basedOn w:val="22"/>
    <w:qFormat/>
    <w:uiPriority w:val="0"/>
    <w:pPr>
      <w:ind w:firstLine="420"/>
    </w:pPr>
    <w:rPr>
      <w:rFonts w:ascii="Times New Roman" w:hAnsi="Times New Roman"/>
    </w:rPr>
  </w:style>
  <w:style w:type="paragraph" w:customStyle="1" w:styleId="22">
    <w:name w:val="正文文本缩进11"/>
    <w:basedOn w:val="9"/>
    <w:next w:val="23"/>
    <w:qFormat/>
    <w:uiPriority w:val="0"/>
    <w:pPr>
      <w:spacing w:after="120"/>
      <w:ind w:left="420"/>
    </w:pPr>
    <w:rPr>
      <w:rFonts w:ascii="Calibri" w:hAnsi="Calibri"/>
    </w:rPr>
  </w:style>
  <w:style w:type="paragraph" w:customStyle="1" w:styleId="23">
    <w:name w:val="寄信人地址11"/>
    <w:basedOn w:val="9"/>
    <w:qFormat/>
    <w:uiPriority w:val="0"/>
    <w:rPr>
      <w:rFonts w:ascii="Arial" w:hAnsi="Arial"/>
    </w:rPr>
  </w:style>
  <w:style w:type="paragraph" w:styleId="24">
    <w:name w:val="Body Text Indent"/>
    <w:basedOn w:val="1"/>
    <w:next w:val="25"/>
    <w:qFormat/>
    <w:uiPriority w:val="99"/>
    <w:pPr>
      <w:spacing w:after="120"/>
      <w:ind w:left="420"/>
    </w:pPr>
  </w:style>
  <w:style w:type="paragraph" w:styleId="25">
    <w:name w:val="envelope return"/>
    <w:basedOn w:val="1"/>
    <w:qFormat/>
    <w:uiPriority w:val="0"/>
    <w:rPr>
      <w:rFonts w:ascii="Arial" w:hAnsi="Arial"/>
    </w:rPr>
  </w:style>
  <w:style w:type="paragraph" w:styleId="26">
    <w:name w:val="toc 1"/>
    <w:next w:val="1"/>
    <w:unhideWhenUsed/>
    <w:qFormat/>
    <w:uiPriority w:val="39"/>
    <w:pPr>
      <w:widowControl w:val="0"/>
      <w:spacing w:after="57" w:line="278" w:lineRule="auto"/>
      <w:jc w:val="both"/>
    </w:pPr>
    <w:rPr>
      <w:rFonts w:ascii="Times New Roman" w:hAnsi="Times New Roman" w:eastAsia="宋体" w:cs="Times New Roman"/>
      <w:sz w:val="21"/>
      <w:szCs w:val="24"/>
      <w:lang w:val="en-US" w:eastAsia="zh-CN" w:bidi="ar-SA"/>
    </w:rPr>
  </w:style>
  <w:style w:type="paragraph" w:styleId="27">
    <w:name w:val="Normal (Web)"/>
    <w:basedOn w:val="1"/>
    <w:qFormat/>
    <w:uiPriority w:val="0"/>
    <w:pPr>
      <w:spacing w:beforeAutospacing="1" w:afterAutospacing="1"/>
      <w:jc w:val="left"/>
    </w:pPr>
    <w:rPr>
      <w:rFonts w:cs="Times New Roman"/>
      <w:kern w:val="0"/>
      <w:sz w:val="24"/>
    </w:rPr>
  </w:style>
  <w:style w:type="paragraph" w:styleId="28">
    <w:name w:val="Body Text First Indent"/>
    <w:basedOn w:val="2"/>
    <w:next w:val="29"/>
    <w:qFormat/>
    <w:uiPriority w:val="0"/>
    <w:pPr>
      <w:spacing w:line="360" w:lineRule="auto"/>
      <w:ind w:firstLine="200"/>
    </w:pPr>
    <w:rPr>
      <w:rFonts w:ascii="仿宋_GB2312" w:eastAsia="仿宋_GB2312"/>
      <w:sz w:val="30"/>
      <w:szCs w:val="30"/>
    </w:rPr>
  </w:style>
  <w:style w:type="paragraph" w:styleId="29">
    <w:name w:val="Body Text First Indent 2"/>
    <w:basedOn w:val="24"/>
    <w:next w:val="1"/>
    <w:qFormat/>
    <w:uiPriority w:val="99"/>
    <w:pPr>
      <w:spacing w:after="0" w:line="360" w:lineRule="auto"/>
      <w:ind w:left="0" w:firstLine="420"/>
    </w:pPr>
    <w:rPr>
      <w:rFonts w:ascii="宋体" w:hAnsi="宋体"/>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rPr>
  </w:style>
  <w:style w:type="paragraph" w:customStyle="1" w:styleId="34">
    <w:name w:val="段"/>
    <w:basedOn w:val="1"/>
    <w:next w:val="1"/>
    <w:qFormat/>
    <w:uiPriority w:val="0"/>
    <w:pPr>
      <w:widowControl/>
      <w:ind w:firstLine="200"/>
    </w:pPr>
    <w:rPr>
      <w:rFonts w:hint="eastAsia" w:ascii="宋体"/>
      <w:szCs w:val="20"/>
    </w:rPr>
  </w:style>
  <w:style w:type="paragraph" w:customStyle="1" w:styleId="35">
    <w:name w:val="文本块11"/>
    <w:basedOn w:val="18"/>
    <w:unhideWhenUsed/>
    <w:qFormat/>
    <w:uiPriority w:val="6"/>
    <w:pPr>
      <w:spacing w:after="120"/>
      <w:ind w:left="1440" w:right="1440"/>
    </w:pPr>
  </w:style>
  <w:style w:type="paragraph" w:customStyle="1" w:styleId="36">
    <w:name w:val="脚注文本1"/>
    <w:basedOn w:val="5"/>
    <w:next w:val="37"/>
    <w:qFormat/>
    <w:uiPriority w:val="0"/>
    <w:pPr>
      <w:jc w:val="left"/>
    </w:pPr>
    <w:rPr>
      <w:rFonts w:ascii="宋体" w:eastAsia="Times New Roman"/>
      <w:sz w:val="18"/>
      <w:szCs w:val="18"/>
    </w:rPr>
  </w:style>
  <w:style w:type="paragraph" w:customStyle="1" w:styleId="37">
    <w:name w:val="索引 51"/>
    <w:basedOn w:val="5"/>
    <w:next w:val="5"/>
    <w:qFormat/>
    <w:uiPriority w:val="0"/>
    <w:pPr>
      <w:ind w:left="798"/>
      <w:jc w:val="left"/>
    </w:pPr>
    <w:rPr>
      <w:rFonts w:ascii="Calibri" w:hAnsi="Calibri"/>
    </w:rPr>
  </w:style>
  <w:style w:type="paragraph" w:customStyle="1" w:styleId="38">
    <w:name w:val="正文文本113"/>
    <w:next w:val="1"/>
    <w:qFormat/>
    <w:uiPriority w:val="0"/>
    <w:pPr>
      <w:widowControl w:val="0"/>
      <w:spacing w:after="120" w:line="278" w:lineRule="auto"/>
      <w:jc w:val="both"/>
    </w:pPr>
    <w:rPr>
      <w:rFonts w:ascii="Times New Roman" w:hAnsi="Times New Roman" w:eastAsia="宋体" w:cs="Times New Roman"/>
      <w:sz w:val="21"/>
      <w:szCs w:val="24"/>
      <w:lang w:val="en-US" w:eastAsia="zh-CN" w:bidi="ar-SA"/>
    </w:rPr>
  </w:style>
  <w:style w:type="paragraph" w:styleId="39">
    <w:name w:val="List Paragraph"/>
    <w:qFormat/>
    <w:uiPriority w:val="34"/>
    <w:pPr>
      <w:widowControl w:val="0"/>
      <w:spacing w:after="160" w:line="278" w:lineRule="auto"/>
      <w:ind w:left="720"/>
      <w:contextualSpacing/>
      <w:jc w:val="both"/>
    </w:pPr>
    <w:rPr>
      <w:rFonts w:ascii="Times New Roman" w:hAnsi="Times New Roman" w:eastAsia="宋体" w:cs="Times New Roman"/>
      <w:sz w:val="21"/>
      <w:szCs w:val="24"/>
      <w:lang w:val="en-US" w:eastAsia="zh-CN" w:bidi="ar-SA"/>
    </w:rPr>
  </w:style>
  <w:style w:type="paragraph" w:customStyle="1" w:styleId="40">
    <w:name w:val="普通(网站)11"/>
    <w:qFormat/>
    <w:uiPriority w:val="0"/>
    <w:pPr>
      <w:widowControl w:val="0"/>
      <w:spacing w:before="100" w:beforeAutospacing="1" w:after="100" w:afterAutospacing="1" w:line="278" w:lineRule="auto"/>
      <w:jc w:val="both"/>
    </w:pPr>
    <w:rPr>
      <w:rFonts w:ascii="宋体" w:hAnsi="宋体" w:eastAsia="宋体" w:cs="宋体"/>
      <w:sz w:val="24"/>
      <w:szCs w:val="24"/>
      <w:lang w:val="en-US" w:eastAsia="zh-CN" w:bidi="ar-SA"/>
    </w:rPr>
  </w:style>
  <w:style w:type="paragraph" w:customStyle="1" w:styleId="41">
    <w:name w:val="页眉1"/>
    <w:qFormat/>
    <w:uiPriority w:val="0"/>
    <w:pPr>
      <w:widowControl w:val="0"/>
      <w:pBdr>
        <w:bottom w:val="single" w:color="000000" w:sz="6" w:space="1"/>
      </w:pBdr>
      <w:tabs>
        <w:tab w:val="center" w:pos="4153"/>
        <w:tab w:val="right" w:pos="8306"/>
      </w:tabs>
      <w:spacing w:after="160" w:line="278" w:lineRule="auto"/>
      <w:jc w:val="center"/>
    </w:pPr>
    <w:rPr>
      <w:rFonts w:ascii="Times New Roman" w:hAnsi="Times New Roman" w:eastAsia="宋体" w:cs="Times New Roman"/>
      <w:sz w:val="18"/>
      <w:szCs w:val="18"/>
      <w:lang w:val="en-US" w:eastAsia="zh-CN" w:bidi="ar-SA"/>
    </w:rPr>
  </w:style>
  <w:style w:type="paragraph" w:customStyle="1" w:styleId="42">
    <w:name w:val="页脚1"/>
    <w:qFormat/>
    <w:uiPriority w:val="99"/>
    <w:pPr>
      <w:widowControl w:val="0"/>
      <w:tabs>
        <w:tab w:val="center" w:pos="4153"/>
        <w:tab w:val="right" w:pos="8306"/>
      </w:tabs>
      <w:spacing w:after="160" w:line="278" w:lineRule="auto"/>
      <w:jc w:val="left"/>
    </w:pPr>
    <w:rPr>
      <w:rFonts w:ascii="Times New Roman" w:hAnsi="Times New Roman" w:eastAsia="宋体" w:cs="Times New Roman"/>
      <w:sz w:val="18"/>
      <w:szCs w:val="18"/>
      <w:lang w:val="en-US" w:eastAsia="zh-CN" w:bidi="ar-SA"/>
    </w:rPr>
  </w:style>
  <w:style w:type="character" w:customStyle="1" w:styleId="43">
    <w:name w:val="页码1"/>
    <w:qFormat/>
    <w:uiPriority w:val="0"/>
  </w:style>
  <w:style w:type="paragraph" w:customStyle="1" w:styleId="44">
    <w:name w:val="UserStyle_0"/>
    <w:qFormat/>
    <w:uiPriority w:val="0"/>
    <w:rPr>
      <w:rFonts w:hint="default"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9</Pages>
  <Words>4900</Words>
  <Characters>5389</Characters>
  <Lines>0</Lines>
  <Paragraphs>0</Paragraphs>
  <TotalTime>2</TotalTime>
  <ScaleCrop>false</ScaleCrop>
  <LinksUpToDate>false</LinksUpToDate>
  <CharactersWithSpaces>5450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筱墨</cp:lastModifiedBy>
  <dcterms:modified xsi:type="dcterms:W3CDTF">2025-09-22T01:41:18Z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E5F4001DA9CF402096DFA154292C3A46</vt:lpwstr>
  </property>
  <property fmtid="{D5CDD505-2E9C-101B-9397-08002B2CF9AE}" pid="4" name="KSOTemplateDocerSaveRecord">
    <vt:lpwstr>eyJoZGlkIjoiNmIzMTk1NzQ2YzNkNWM4Y2Q3MjI4NzI3N2JjN2E2MjgiLCJ1c2VySWQiOiI4MzM4NDkzMDgifQ==</vt:lpwstr>
  </property>
</Properties>
</file>