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AFEC">
      <w:pPr>
        <w:spacing w:line="360" w:lineRule="auto"/>
        <w:ind w:firstLine="480" w:firstLineChars="200"/>
        <w:rPr>
          <w:rFonts w:ascii="宋体" w:hAnsi="宋体" w:eastAsia="宋体" w:cs="宋体"/>
          <w:color w:val="auto"/>
          <w:sz w:val="24"/>
          <w:szCs w:val="24"/>
        </w:rPr>
        <w:sectPr>
          <w:pgSz w:w="11906" w:h="16838"/>
          <w:pgMar w:top="1440" w:right="1440" w:bottom="1440" w:left="1800" w:header="851" w:footer="992" w:gutter="0"/>
          <w:cols w:space="425" w:num="1"/>
          <w:docGrid w:type="lines" w:linePitch="312" w:charSpace="0"/>
        </w:sectPr>
      </w:pPr>
      <w:r>
        <w:rPr>
          <w:rFonts w:hint="eastAsia" w:ascii="宋体" w:hAnsi="宋体" w:eastAsia="宋体" w:cs="宋体"/>
          <w:color w:val="auto"/>
          <w:kern w:val="0"/>
          <w:sz w:val="24"/>
          <w:szCs w:val="24"/>
        </w:rPr>
        <w:t>如有建议或意见，请以书面形式并加盖公章、注明联系人、联系方式，于2025年9月28日</w:t>
      </w:r>
      <w:r>
        <w:rPr>
          <w:rFonts w:hint="eastAsia" w:ascii="宋体" w:hAnsi="宋体" w:eastAsia="宋体" w:cs="宋体"/>
          <w:color w:val="auto"/>
          <w:kern w:val="0"/>
          <w:sz w:val="24"/>
          <w:szCs w:val="24"/>
          <w:lang w:eastAsia="zh-CN"/>
        </w:rPr>
        <w:t>17:00</w:t>
      </w:r>
      <w:r>
        <w:rPr>
          <w:rFonts w:hint="eastAsia" w:ascii="宋体" w:hAnsi="宋体" w:eastAsia="宋体" w:cs="宋体"/>
          <w:color w:val="auto"/>
          <w:kern w:val="0"/>
          <w:sz w:val="24"/>
          <w:szCs w:val="24"/>
        </w:rPr>
        <w:t>之前送至我单位，逾期不受理（如邮寄，</w:t>
      </w:r>
      <w:r>
        <w:rPr>
          <w:rFonts w:hint="eastAsia" w:ascii="宋体" w:hAnsi="宋体" w:eastAsia="宋体" w:cs="宋体"/>
          <w:color w:val="auto"/>
          <w:kern w:val="0"/>
          <w:sz w:val="24"/>
          <w:szCs w:val="24"/>
          <w:lang w:eastAsia="zh-CN"/>
        </w:rPr>
        <w:t>2025年</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28</w:t>
      </w:r>
      <w:r>
        <w:rPr>
          <w:rFonts w:hint="eastAsia" w:ascii="宋体" w:hAnsi="宋体" w:eastAsia="宋体" w:cs="宋体"/>
          <w:color w:val="auto"/>
          <w:kern w:val="0"/>
          <w:sz w:val="24"/>
          <w:szCs w:val="24"/>
          <w:lang w:eastAsia="zh-CN"/>
        </w:rPr>
        <w:t>日17:00</w:t>
      </w:r>
      <w:r>
        <w:rPr>
          <w:rFonts w:hint="eastAsia" w:ascii="宋体" w:hAnsi="宋体" w:eastAsia="宋体" w:cs="宋体"/>
          <w:color w:val="auto"/>
          <w:kern w:val="0"/>
          <w:sz w:val="24"/>
          <w:szCs w:val="24"/>
        </w:rPr>
        <w:t>之后到达本公司的邮件将不再受理）。</w:t>
      </w:r>
    </w:p>
    <w:p w14:paraId="2D63BBB3">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采购需求</w:t>
      </w:r>
      <w:bookmarkStart w:id="0" w:name="_Toc447188665"/>
      <w:bookmarkStart w:id="1" w:name="_Toc447265500"/>
      <w:bookmarkStart w:id="2" w:name="_Toc447265214"/>
    </w:p>
    <w:bookmarkEnd w:id="0"/>
    <w:bookmarkEnd w:id="1"/>
    <w:bookmarkEnd w:id="2"/>
    <w:p w14:paraId="245A2B6B">
      <w:pPr>
        <w:pStyle w:val="40"/>
        <w:spacing w:before="0" w:beforeAutospacing="0" w:after="0" w:afterAutospacing="0" w:line="360" w:lineRule="auto"/>
        <w:ind w:firstLine="482"/>
        <w:outlineLvl w:val="2"/>
        <w:rPr>
          <w:rStyle w:val="41"/>
          <w:rFonts w:ascii="宋体" w:hAnsi="宋体" w:cs="宋体"/>
          <w:b/>
          <w:bCs/>
          <w:color w:val="auto"/>
          <w:sz w:val="24"/>
        </w:rPr>
      </w:pPr>
      <w:r>
        <w:rPr>
          <w:rStyle w:val="41"/>
          <w:rFonts w:hint="eastAsia" w:ascii="宋体" w:hAnsi="宋体" w:cs="宋体"/>
          <w:b/>
          <w:bCs/>
          <w:color w:val="auto"/>
          <w:sz w:val="24"/>
        </w:rPr>
        <w:t>一、说明</w:t>
      </w:r>
    </w:p>
    <w:p w14:paraId="096D391C">
      <w:pPr>
        <w:pStyle w:val="40"/>
        <w:spacing w:before="0" w:beforeAutospacing="0" w:after="0" w:afterAutospacing="0" w:line="360" w:lineRule="auto"/>
        <w:ind w:firstLine="480"/>
        <w:outlineLvl w:val="2"/>
        <w:rPr>
          <w:rStyle w:val="41"/>
          <w:rFonts w:ascii="宋体" w:hAnsi="宋体" w:cs="宋体"/>
          <w:color w:val="auto"/>
          <w:sz w:val="24"/>
        </w:rPr>
      </w:pPr>
      <w:r>
        <w:rPr>
          <w:rStyle w:val="41"/>
          <w:rFonts w:hint="eastAsia" w:ascii="宋体" w:hAnsi="宋体" w:cs="宋体"/>
          <w:color w:val="auto"/>
          <w:sz w:val="24"/>
        </w:rPr>
        <w:t>（一）采购人：徐州市铜山区自然资源和规划局</w:t>
      </w:r>
    </w:p>
    <w:p w14:paraId="2BDC541B">
      <w:pPr>
        <w:pStyle w:val="40"/>
        <w:spacing w:before="0" w:beforeAutospacing="0" w:after="0" w:afterAutospacing="0" w:line="360" w:lineRule="auto"/>
        <w:ind w:firstLine="480"/>
        <w:outlineLvl w:val="2"/>
        <w:rPr>
          <w:rStyle w:val="41"/>
          <w:rFonts w:ascii="宋体" w:hAnsi="宋体" w:cs="宋体"/>
          <w:color w:val="auto"/>
          <w:sz w:val="24"/>
        </w:rPr>
      </w:pPr>
      <w:r>
        <w:rPr>
          <w:rStyle w:val="41"/>
          <w:rFonts w:hint="eastAsia" w:ascii="宋体" w:hAnsi="宋体" w:cs="宋体"/>
          <w:color w:val="auto"/>
          <w:sz w:val="24"/>
        </w:rPr>
        <w:t>（二）项目名称：徐州市铜山区2025年度地籍图编制项目</w:t>
      </w:r>
    </w:p>
    <w:p w14:paraId="35CB1778">
      <w:pPr>
        <w:pStyle w:val="40"/>
        <w:spacing w:before="0" w:beforeAutospacing="0" w:after="0" w:afterAutospacing="0" w:line="360" w:lineRule="auto"/>
        <w:ind w:firstLine="480"/>
        <w:outlineLvl w:val="2"/>
        <w:rPr>
          <w:rStyle w:val="41"/>
          <w:rFonts w:hint="eastAsia" w:ascii="宋体" w:hAnsi="宋体" w:eastAsia="宋体" w:cs="宋体"/>
          <w:color w:val="auto"/>
          <w:sz w:val="24"/>
          <w:lang w:eastAsia="zh-CN"/>
        </w:rPr>
      </w:pPr>
      <w:r>
        <w:rPr>
          <w:rStyle w:val="41"/>
          <w:rFonts w:hint="eastAsia" w:ascii="宋体" w:hAnsi="宋体" w:cs="宋体"/>
          <w:color w:val="auto"/>
          <w:sz w:val="24"/>
        </w:rPr>
        <w:t>（三）</w:t>
      </w:r>
      <w:r>
        <w:rPr>
          <w:rStyle w:val="41"/>
          <w:rFonts w:hint="eastAsia" w:cs="宋体"/>
          <w:color w:val="auto"/>
          <w:sz w:val="24"/>
        </w:rPr>
        <w:t>项目</w:t>
      </w:r>
      <w:r>
        <w:rPr>
          <w:rStyle w:val="41"/>
          <w:rFonts w:hint="eastAsia" w:ascii="宋体" w:hAnsi="宋体" w:cs="宋体"/>
          <w:color w:val="auto"/>
          <w:sz w:val="24"/>
        </w:rPr>
        <w:t>预算</w:t>
      </w:r>
      <w:r>
        <w:rPr>
          <w:rStyle w:val="41"/>
          <w:rFonts w:hint="eastAsia" w:cs="宋体"/>
          <w:color w:val="auto"/>
          <w:sz w:val="24"/>
          <w:lang w:eastAsia="zh-CN"/>
        </w:rPr>
        <w:t>：</w:t>
      </w:r>
      <w:r>
        <w:rPr>
          <w:rStyle w:val="41"/>
          <w:rFonts w:hint="eastAsia" w:ascii="宋体" w:hAnsi="宋体" w:cs="宋体"/>
          <w:b/>
          <w:bCs/>
          <w:color w:val="auto"/>
          <w:sz w:val="24"/>
        </w:rPr>
        <w:t>本项目不接受超过</w:t>
      </w:r>
      <w:r>
        <w:rPr>
          <w:rStyle w:val="41"/>
          <w:rFonts w:hint="eastAsia" w:cs="宋体"/>
          <w:b/>
          <w:bCs/>
          <w:color w:val="auto"/>
          <w:sz w:val="24"/>
          <w:lang w:val="en-US" w:eastAsia="zh-CN"/>
        </w:rPr>
        <w:t>160</w:t>
      </w:r>
      <w:r>
        <w:rPr>
          <w:rStyle w:val="41"/>
          <w:rFonts w:hint="eastAsia" w:ascii="宋体" w:hAnsi="宋体" w:cs="宋体"/>
          <w:b/>
          <w:bCs/>
          <w:color w:val="auto"/>
          <w:sz w:val="24"/>
        </w:rPr>
        <w:t>万元（采购项目预算金额）的报价。</w:t>
      </w:r>
      <w:r>
        <w:rPr>
          <w:rStyle w:val="41"/>
          <w:rFonts w:hint="eastAsia" w:ascii="宋体" w:hAnsi="宋体" w:cs="宋体"/>
          <w:color w:val="auto"/>
          <w:sz w:val="24"/>
        </w:rPr>
        <w:t>报价包括但不限于材料费、税金、设备、运费、人员服务等全部费用。采购人不再支付报价以外的任何费用</w:t>
      </w:r>
      <w:r>
        <w:rPr>
          <w:rStyle w:val="41"/>
          <w:rFonts w:hint="eastAsia" w:cs="宋体"/>
          <w:color w:val="auto"/>
          <w:sz w:val="24"/>
          <w:lang w:eastAsia="zh-CN"/>
        </w:rPr>
        <w:t>。</w:t>
      </w:r>
    </w:p>
    <w:p w14:paraId="6BAA287D">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w:t>
      </w:r>
      <w:r>
        <w:rPr>
          <w:rStyle w:val="41"/>
          <w:rFonts w:hint="eastAsia" w:ascii="宋体" w:hAnsi="宋体" w:cs="宋体"/>
          <w:color w:val="auto"/>
          <w:sz w:val="24"/>
          <w:lang w:val="en-US" w:eastAsia="zh-CN"/>
        </w:rPr>
        <w:t>四</w:t>
      </w:r>
      <w:r>
        <w:rPr>
          <w:rStyle w:val="41"/>
          <w:rFonts w:hint="eastAsia" w:ascii="宋体" w:hAnsi="宋体" w:cs="宋体"/>
          <w:color w:val="auto"/>
          <w:sz w:val="24"/>
        </w:rPr>
        <w:t>）合同服务期限：自合同签订之日起至2026年12</w:t>
      </w:r>
      <w:bookmarkStart w:id="6" w:name="_GoBack"/>
      <w:bookmarkEnd w:id="6"/>
      <w:r>
        <w:rPr>
          <w:rStyle w:val="41"/>
          <w:rFonts w:hint="eastAsia" w:ascii="宋体" w:hAnsi="宋体" w:cs="宋体"/>
          <w:color w:val="auto"/>
          <w:sz w:val="24"/>
        </w:rPr>
        <w:t>月底。</w:t>
      </w:r>
    </w:p>
    <w:p w14:paraId="4B28F4F1">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cs="宋体"/>
          <w:color w:val="auto"/>
          <w:sz w:val="24"/>
          <w:lang w:eastAsia="zh-CN"/>
        </w:rPr>
        <w:t>（</w:t>
      </w:r>
      <w:r>
        <w:rPr>
          <w:rStyle w:val="41"/>
          <w:rFonts w:hint="eastAsia" w:cs="宋体"/>
          <w:color w:val="auto"/>
          <w:sz w:val="24"/>
          <w:lang w:val="en-US" w:eastAsia="zh-CN"/>
        </w:rPr>
        <w:t>五</w:t>
      </w:r>
      <w:r>
        <w:rPr>
          <w:rStyle w:val="41"/>
          <w:rFonts w:hint="eastAsia" w:cs="宋体"/>
          <w:color w:val="auto"/>
          <w:sz w:val="24"/>
          <w:lang w:eastAsia="zh-CN"/>
        </w:rPr>
        <w:t>）</w:t>
      </w:r>
      <w:r>
        <w:rPr>
          <w:rStyle w:val="41"/>
          <w:rFonts w:hint="eastAsia" w:ascii="宋体" w:hAnsi="宋体" w:cs="宋体"/>
          <w:color w:val="auto"/>
          <w:sz w:val="24"/>
        </w:rPr>
        <w:t>服务地点：采购人指定地点</w:t>
      </w:r>
    </w:p>
    <w:p w14:paraId="3660324F">
      <w:pPr>
        <w:pStyle w:val="40"/>
        <w:spacing w:before="0" w:beforeAutospacing="0" w:after="0" w:afterAutospacing="0" w:line="360" w:lineRule="auto"/>
        <w:ind w:firstLine="482"/>
        <w:outlineLvl w:val="2"/>
        <w:rPr>
          <w:rStyle w:val="41"/>
          <w:rFonts w:hint="eastAsia" w:ascii="宋体" w:hAnsi="宋体" w:cs="宋体"/>
          <w:b/>
          <w:bCs/>
          <w:color w:val="auto"/>
          <w:sz w:val="24"/>
        </w:rPr>
      </w:pPr>
      <w:r>
        <w:rPr>
          <w:rStyle w:val="41"/>
          <w:rFonts w:hint="eastAsia" w:ascii="宋体" w:hAnsi="宋体" w:cs="宋体"/>
          <w:b/>
          <w:bCs/>
          <w:color w:val="auto"/>
          <w:sz w:val="24"/>
        </w:rPr>
        <w:t>二、项目概况</w:t>
      </w:r>
    </w:p>
    <w:p w14:paraId="2376C27D">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根据《自然资源部办公厅关于加快编制地籍图的通知》（自然资办函〔2024〕1481号）、《江苏省自然资源厅关于印发关于深化开展地籍调查和地籍图编制工作的实施方案》（苏自然资函〔2024〕868号）以及《江苏省自然资源厅办公室关于转发关于加快地籍成果入库汇交工作的函的通知》等文件要求，2025年10月底前，完成宅基地、集体建设用地及自然资源地籍数据的汇交工作，按照部、省、市时间节点要求，基本建成统一标准的地籍数据库，实现与登记数据库同步更新；完成农村宅基地和集体建设用地地籍图全覆盖，数据成果入库上图并汇交到省厅。</w:t>
      </w:r>
    </w:p>
    <w:p w14:paraId="1E0FFB52">
      <w:pPr>
        <w:pStyle w:val="40"/>
        <w:spacing w:before="0" w:beforeAutospacing="0" w:after="0" w:afterAutospacing="0" w:line="360" w:lineRule="auto"/>
        <w:ind w:firstLine="482"/>
        <w:outlineLvl w:val="2"/>
        <w:rPr>
          <w:rStyle w:val="41"/>
          <w:rFonts w:hint="eastAsia" w:ascii="宋体" w:hAnsi="宋体" w:cs="宋体"/>
          <w:b/>
          <w:bCs/>
          <w:color w:val="auto"/>
          <w:sz w:val="24"/>
        </w:rPr>
      </w:pPr>
      <w:r>
        <w:rPr>
          <w:rStyle w:val="41"/>
          <w:rFonts w:hint="eastAsia" w:ascii="宋体" w:hAnsi="宋体" w:cs="宋体"/>
          <w:b/>
          <w:bCs/>
          <w:color w:val="auto"/>
          <w:sz w:val="24"/>
        </w:rPr>
        <w:t>三、服务内容</w:t>
      </w:r>
    </w:p>
    <w:p w14:paraId="66293E52">
      <w:pPr>
        <w:pStyle w:val="40"/>
        <w:spacing w:before="0" w:beforeAutospacing="0" w:after="0" w:afterAutospacing="0" w:line="360" w:lineRule="auto"/>
        <w:ind w:firstLine="480"/>
        <w:outlineLvl w:val="2"/>
        <w:rPr>
          <w:rStyle w:val="41"/>
          <w:rFonts w:hint="eastAsia" w:ascii="宋体" w:hAnsi="宋体" w:cs="宋体"/>
          <w:color w:val="auto"/>
          <w:sz w:val="24"/>
        </w:rPr>
      </w:pPr>
      <w:bookmarkStart w:id="3" w:name="OLE_LINK3"/>
      <w:r>
        <w:rPr>
          <w:rStyle w:val="41"/>
          <w:rFonts w:hint="eastAsia" w:ascii="宋体" w:hAnsi="宋体" w:cs="宋体"/>
          <w:color w:val="auto"/>
          <w:sz w:val="24"/>
        </w:rPr>
        <w:t>1.地籍数据成果采集、分析</w:t>
      </w:r>
    </w:p>
    <w:p w14:paraId="5748BF35">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按照国家、省相关标准规范，对徐州市铜山区地籍图编制所需数据成果进行收集、分析，并对数据进行标准化处理，构建工作底图。需收集的地籍数据成果包括：（1）集体部分地籍数据成果：集体土地所有权确权登记成果、宅基地房地一体调查登记成果、集体建设用地数据成果；（2）国有部分地籍数据成果：土地征收数据、国有建设用地使用权数据；（3）行政区、地籍区、地籍子区；（4）自然幢；（5）自然资源业务审批结果数据（规、审、批、供、用、补、查等）；（6）最新影像数据；（7）自然资源地籍调查数据。</w:t>
      </w:r>
    </w:p>
    <w:p w14:paraId="1CDC31EB">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2.地籍数据成果整理</w:t>
      </w:r>
    </w:p>
    <w:p w14:paraId="4673B9CB">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（1）集体建设用地、宅基地数据整理</w:t>
      </w:r>
    </w:p>
    <w:p w14:paraId="60AB8E24">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基于农村房地一体地籍调查成果、农村房地一体登记成果、现有不动产权籍调查库，与铜山区不动产登记数据关联分析，对集体建设用地使用权、宅基地使用权数据，开展图形数据和登记属性的关联，形成已调查已登记数据、已调查未登记数据，标记已登记缺图形数据。</w:t>
      </w:r>
    </w:p>
    <w:p w14:paraId="3078DC69">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（2）已完成地籍调查的自然资源地籍数据成果整理</w:t>
      </w:r>
    </w:p>
    <w:p w14:paraId="27AC801D">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 xml:space="preserve">提取自然资源登记单元、权属分区、自然状况分区、公共管制分区等矢量数据以及全民所有自然资源权利主体及单元信息表、调查记事表、调查成果核实表、成果审核表等属性数据，开展自然资源地籍数据图形及属性检查。 </w:t>
      </w:r>
    </w:p>
    <w:p w14:paraId="1FBB9574">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3.补充完善宗地图形数据</w:t>
      </w:r>
    </w:p>
    <w:p w14:paraId="7A615077">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以集体土地所有权为工作底图，辅以最新的高分辨率正射影像（地面分辨率应优于0.5m），叠加行政区划、地籍区和地籍子区界线等成果，制作勾绘工作底图。</w:t>
      </w:r>
    </w:p>
    <w:p w14:paraId="0258D075">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在工作底图上，以宗地为单位勾绘农村宅基地、集体建设用地。勾绘宅基地范围时，以宗地为单位，对存在围墙等独立院落、明显独立使用范围的，按院落、明显独立使用范围勾绘形成宗地；对难以按独立使用范围勾绘形成宗地的，按建筑占地范围勾绘形成宗地。对于勾绘宅基地、集体建设用地工作中遇到的与各类权属界线交叉重叠、位置偏移等问题标注。</w:t>
      </w:r>
    </w:p>
    <w:p w14:paraId="2441C949">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对勾绘成果编制不动产单元代码以单独图层纳入数据库管理。</w:t>
      </w:r>
    </w:p>
    <w:p w14:paraId="0AD3B284">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4.地籍数据标准化建库</w:t>
      </w:r>
    </w:p>
    <w:p w14:paraId="767436E2">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（1）数据标准化建库。基于现有铜山区不动产权籍数据库，按照《地籍数据库 第1部分不动产》规范要求，对数据库结构、字段值域、字典标准、要素代码、数据分层进行规范化、标准化，建设符合部、省要求的地籍数据库。</w:t>
      </w:r>
    </w:p>
    <w:p w14:paraId="636A807F">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2）数据入库。将整理完成的各类数据成果按照铜山区地籍数据库标准要求进行数据入库：1）将地籍区、地籍子区、行政区等基础地理信息要素加载到地籍数据库中；2）将完成整理的集体建设用地、宅基地地籍调查成果按照调查层、勾绘层导入地籍数据库中。</w:t>
      </w:r>
    </w:p>
    <w:p w14:paraId="07D086D8">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5.地籍数据汇交</w:t>
      </w:r>
    </w:p>
    <w:p w14:paraId="65D1C5DD">
      <w:pPr>
        <w:pStyle w:val="40"/>
        <w:spacing w:before="0" w:beforeAutospacing="0" w:after="0" w:afterAutospacing="0" w:line="360" w:lineRule="auto"/>
        <w:ind w:firstLine="480"/>
        <w:outlineLvl w:val="2"/>
        <w:rPr>
          <w:rStyle w:val="41"/>
          <w:rFonts w:hint="eastAsia" w:ascii="宋体" w:hAnsi="宋体" w:cs="宋体"/>
          <w:color w:val="auto"/>
          <w:sz w:val="24"/>
        </w:rPr>
      </w:pPr>
      <w:bookmarkStart w:id="4" w:name="_Hlk207636949"/>
      <w:r>
        <w:rPr>
          <w:rStyle w:val="41"/>
          <w:rFonts w:hint="eastAsia" w:ascii="宋体" w:hAnsi="宋体" w:cs="宋体"/>
          <w:color w:val="auto"/>
          <w:sz w:val="24"/>
        </w:rPr>
        <w:t>（1）按照部、省关于集体部分地籍数据库成果的汇交要求，2025年10月底前将集体建设用地、宅基地</w:t>
      </w:r>
      <w:bookmarkStart w:id="5" w:name="_Hlk207379383"/>
      <w:r>
        <w:rPr>
          <w:rStyle w:val="41"/>
          <w:rFonts w:hint="eastAsia" w:ascii="宋体" w:hAnsi="宋体" w:cs="宋体"/>
          <w:color w:val="auto"/>
          <w:sz w:val="24"/>
        </w:rPr>
        <w:t>地籍数据成果</w:t>
      </w:r>
      <w:bookmarkEnd w:id="5"/>
      <w:r>
        <w:rPr>
          <w:rStyle w:val="41"/>
          <w:rFonts w:hint="eastAsia" w:ascii="宋体" w:hAnsi="宋体" w:cs="宋体"/>
          <w:color w:val="auto"/>
          <w:sz w:val="24"/>
        </w:rPr>
        <w:t>按照《地籍数据汇交要求（试行）》要求，制作数据汇交包，逐级汇交到市、省，并根据各级检查意见进行修改完善，直至通过省级检查。</w:t>
      </w:r>
    </w:p>
    <w:p w14:paraId="1982993F">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（2）按照部、省、市时间节点要求，基本建成统一标准的地籍数据库，实现与登记数据库同步更新；完成农村宅基地和集体建设用地地籍图全覆盖，数据成果入库上图并汇交到省厅。</w:t>
      </w:r>
    </w:p>
    <w:bookmarkEnd w:id="4"/>
    <w:p w14:paraId="423DCB58">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6.地籍图编制</w:t>
      </w:r>
    </w:p>
    <w:p w14:paraId="57AED76B">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在完成地籍数据标准化建设基础上，依据《地籍调查规程》《地籍图编制技术规范（试行）》等规定，依托铜山区建设的地籍数据库，编制电子地籍图。</w:t>
      </w:r>
    </w:p>
    <w:bookmarkEnd w:id="3"/>
    <w:p w14:paraId="698B05A6">
      <w:pPr>
        <w:pStyle w:val="40"/>
        <w:spacing w:before="0" w:beforeAutospacing="0" w:after="0" w:afterAutospacing="0" w:line="360" w:lineRule="auto"/>
        <w:ind w:firstLine="482"/>
        <w:outlineLvl w:val="2"/>
        <w:rPr>
          <w:rStyle w:val="41"/>
          <w:rFonts w:hint="eastAsia" w:ascii="宋体" w:hAnsi="宋体" w:cs="宋体"/>
          <w:b/>
          <w:bCs/>
          <w:color w:val="auto"/>
          <w:sz w:val="24"/>
        </w:rPr>
      </w:pPr>
      <w:r>
        <w:rPr>
          <w:rStyle w:val="41"/>
          <w:rFonts w:hint="eastAsia" w:ascii="宋体" w:hAnsi="宋体" w:cs="宋体"/>
          <w:b/>
          <w:bCs/>
          <w:color w:val="auto"/>
          <w:sz w:val="24"/>
        </w:rPr>
        <w:t>四、技术要求</w:t>
      </w:r>
    </w:p>
    <w:p w14:paraId="1564B315">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为保证本项目建设的科学性、规范性和实用性，技术设计需要严格遵照国家局的相关指导性控制文件以及国家和行业颁布的相关技术标准和规范：</w:t>
      </w:r>
    </w:p>
    <w:tbl>
      <w:tblPr>
        <w:tblStyle w:val="25"/>
        <w:tblW w:w="54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5382"/>
        <w:gridCol w:w="3212"/>
      </w:tblGrid>
      <w:tr w14:paraId="4766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blHeader/>
          <w:jc w:val="center"/>
        </w:trPr>
        <w:tc>
          <w:tcPr>
            <w:tcW w:w="744" w:type="dxa"/>
            <w:shd w:val="clear" w:color="auto" w:fill="D9D9D9"/>
            <w:vAlign w:val="center"/>
          </w:tcPr>
          <w:p w14:paraId="5336F7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bCs/>
                <w:color w:val="000000"/>
                <w:sz w:val="24"/>
                <w:szCs w:val="24"/>
              </w:rPr>
            </w:pPr>
            <w:r>
              <w:rPr>
                <w:rFonts w:hint="eastAsia" w:ascii="宋体" w:hAnsi="宋体" w:eastAsia="宋体"/>
                <w:bCs/>
                <w:color w:val="000000"/>
                <w:sz w:val="24"/>
                <w:szCs w:val="24"/>
              </w:rPr>
              <w:t>序号</w:t>
            </w:r>
          </w:p>
        </w:tc>
        <w:tc>
          <w:tcPr>
            <w:tcW w:w="5383" w:type="dxa"/>
            <w:shd w:val="clear" w:color="auto" w:fill="D9D9D9"/>
            <w:vAlign w:val="center"/>
          </w:tcPr>
          <w:p w14:paraId="7EB595A5">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宋体" w:hAnsi="宋体" w:eastAsia="宋体"/>
                <w:bCs/>
                <w:color w:val="000000"/>
                <w:sz w:val="24"/>
                <w:szCs w:val="24"/>
              </w:rPr>
            </w:pPr>
            <w:r>
              <w:rPr>
                <w:rFonts w:hint="eastAsia" w:ascii="宋体" w:hAnsi="宋体" w:eastAsia="宋体"/>
                <w:bCs/>
                <w:color w:val="000000"/>
                <w:sz w:val="24"/>
                <w:szCs w:val="24"/>
              </w:rPr>
              <w:t>标    准    名    称</w:t>
            </w:r>
          </w:p>
        </w:tc>
        <w:tc>
          <w:tcPr>
            <w:tcW w:w="3212" w:type="dxa"/>
            <w:shd w:val="clear" w:color="auto" w:fill="D9D9D9"/>
            <w:vAlign w:val="center"/>
          </w:tcPr>
          <w:p w14:paraId="173AD766">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宋体" w:hAnsi="宋体" w:eastAsia="宋体"/>
                <w:bCs/>
                <w:color w:val="000000"/>
                <w:sz w:val="24"/>
                <w:szCs w:val="24"/>
              </w:rPr>
            </w:pPr>
            <w:r>
              <w:rPr>
                <w:rFonts w:hint="eastAsia" w:ascii="宋体" w:hAnsi="宋体" w:eastAsia="宋体"/>
                <w:bCs/>
                <w:color w:val="000000"/>
                <w:sz w:val="24"/>
                <w:szCs w:val="24"/>
              </w:rPr>
              <w:t>标准版本号</w:t>
            </w:r>
          </w:p>
        </w:tc>
      </w:tr>
      <w:tr w14:paraId="5295C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36B21F43">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w:t>
            </w:r>
          </w:p>
        </w:tc>
        <w:tc>
          <w:tcPr>
            <w:tcW w:w="5383" w:type="dxa"/>
            <w:vAlign w:val="center"/>
          </w:tcPr>
          <w:p w14:paraId="6A662B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地籍调查规程</w:t>
            </w:r>
          </w:p>
        </w:tc>
        <w:tc>
          <w:tcPr>
            <w:tcW w:w="3212" w:type="dxa"/>
            <w:vAlign w:val="center"/>
          </w:tcPr>
          <w:p w14:paraId="6C8F5A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42547-2023</w:t>
            </w:r>
          </w:p>
        </w:tc>
      </w:tr>
      <w:tr w14:paraId="160B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57323A1E">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2</w:t>
            </w:r>
          </w:p>
        </w:tc>
        <w:tc>
          <w:tcPr>
            <w:tcW w:w="5383" w:type="dxa"/>
            <w:tcBorders>
              <w:top w:val="single" w:color="000000" w:sz="4" w:space="0"/>
              <w:left w:val="single" w:color="000000" w:sz="4" w:space="0"/>
              <w:bottom w:val="single" w:color="000000" w:sz="4" w:space="0"/>
              <w:right w:val="single" w:color="000000" w:sz="4" w:space="0"/>
            </w:tcBorders>
            <w:vAlign w:val="center"/>
          </w:tcPr>
          <w:p w14:paraId="3CEC6C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土地利用现状分类</w:t>
            </w:r>
          </w:p>
        </w:tc>
        <w:tc>
          <w:tcPr>
            <w:tcW w:w="3212" w:type="dxa"/>
            <w:tcBorders>
              <w:top w:val="single" w:color="000000" w:sz="4" w:space="0"/>
              <w:left w:val="single" w:color="000000" w:sz="4" w:space="0"/>
              <w:bottom w:val="single" w:color="000000" w:sz="4" w:space="0"/>
              <w:right w:val="single" w:color="000000" w:sz="4" w:space="0"/>
            </w:tcBorders>
            <w:vAlign w:val="center"/>
          </w:tcPr>
          <w:p w14:paraId="550403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21010-2017</w:t>
            </w:r>
          </w:p>
        </w:tc>
      </w:tr>
      <w:tr w14:paraId="5E87C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55388D8C">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3</w:t>
            </w:r>
          </w:p>
        </w:tc>
        <w:tc>
          <w:tcPr>
            <w:tcW w:w="5383" w:type="dxa"/>
            <w:tcBorders>
              <w:top w:val="single" w:color="000000" w:sz="4" w:space="0"/>
              <w:left w:val="single" w:color="000000" w:sz="4" w:space="0"/>
              <w:bottom w:val="single" w:color="000000" w:sz="4" w:space="0"/>
              <w:right w:val="single" w:color="000000" w:sz="4" w:space="0"/>
            </w:tcBorders>
            <w:vAlign w:val="center"/>
          </w:tcPr>
          <w:p w14:paraId="759B28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不动产单元设定与代码编制规则</w:t>
            </w:r>
          </w:p>
        </w:tc>
        <w:tc>
          <w:tcPr>
            <w:tcW w:w="3212" w:type="dxa"/>
            <w:tcBorders>
              <w:top w:val="single" w:color="000000" w:sz="4" w:space="0"/>
              <w:left w:val="single" w:color="000000" w:sz="4" w:space="0"/>
              <w:bottom w:val="single" w:color="000000" w:sz="4" w:space="0"/>
              <w:right w:val="single" w:color="000000" w:sz="4" w:space="0"/>
            </w:tcBorders>
            <w:vAlign w:val="center"/>
          </w:tcPr>
          <w:p w14:paraId="5C770F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37346-2019</w:t>
            </w:r>
          </w:p>
        </w:tc>
      </w:tr>
      <w:tr w14:paraId="7BFB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1A11512B">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4</w:t>
            </w:r>
          </w:p>
        </w:tc>
        <w:tc>
          <w:tcPr>
            <w:tcW w:w="5383" w:type="dxa"/>
            <w:tcBorders>
              <w:top w:val="single" w:color="000000" w:sz="4" w:space="0"/>
              <w:left w:val="single" w:color="000000" w:sz="4" w:space="0"/>
              <w:bottom w:val="single" w:color="000000" w:sz="4" w:space="0"/>
              <w:right w:val="single" w:color="000000" w:sz="4" w:space="0"/>
            </w:tcBorders>
            <w:vAlign w:val="center"/>
          </w:tcPr>
          <w:p w14:paraId="2563A0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中华人民共和国行政区划代码</w:t>
            </w:r>
          </w:p>
        </w:tc>
        <w:tc>
          <w:tcPr>
            <w:tcW w:w="3212" w:type="dxa"/>
            <w:tcBorders>
              <w:top w:val="single" w:color="000000" w:sz="4" w:space="0"/>
              <w:left w:val="single" w:color="000000" w:sz="4" w:space="0"/>
              <w:bottom w:val="single" w:color="000000" w:sz="4" w:space="0"/>
              <w:right w:val="single" w:color="000000" w:sz="4" w:space="0"/>
            </w:tcBorders>
            <w:vAlign w:val="center"/>
          </w:tcPr>
          <w:p w14:paraId="7A21C1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2260-2007</w:t>
            </w:r>
          </w:p>
        </w:tc>
      </w:tr>
      <w:tr w14:paraId="2FDF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7EE3A64F">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5</w:t>
            </w:r>
          </w:p>
        </w:tc>
        <w:tc>
          <w:tcPr>
            <w:tcW w:w="5383" w:type="dxa"/>
            <w:tcBorders>
              <w:top w:val="single" w:color="000000" w:sz="4" w:space="0"/>
              <w:left w:val="single" w:color="000000" w:sz="4" w:space="0"/>
              <w:bottom w:val="single" w:color="000000" w:sz="4" w:space="0"/>
              <w:right w:val="single" w:color="000000" w:sz="4" w:space="0"/>
            </w:tcBorders>
            <w:vAlign w:val="center"/>
          </w:tcPr>
          <w:p w14:paraId="7E7017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信息分类和编码的基本原则与方法</w:t>
            </w:r>
          </w:p>
        </w:tc>
        <w:tc>
          <w:tcPr>
            <w:tcW w:w="3212" w:type="dxa"/>
            <w:tcBorders>
              <w:top w:val="single" w:color="000000" w:sz="4" w:space="0"/>
              <w:left w:val="single" w:color="000000" w:sz="4" w:space="0"/>
              <w:bottom w:val="single" w:color="000000" w:sz="4" w:space="0"/>
              <w:right w:val="single" w:color="000000" w:sz="4" w:space="0"/>
            </w:tcBorders>
            <w:vAlign w:val="center"/>
          </w:tcPr>
          <w:p w14:paraId="2D339B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7027-2002</w:t>
            </w:r>
          </w:p>
        </w:tc>
      </w:tr>
      <w:tr w14:paraId="3AE2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39071091">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6</w:t>
            </w:r>
          </w:p>
        </w:tc>
        <w:tc>
          <w:tcPr>
            <w:tcW w:w="5383" w:type="dxa"/>
            <w:tcBorders>
              <w:top w:val="single" w:color="000000" w:sz="4" w:space="0"/>
              <w:left w:val="single" w:color="000000" w:sz="4" w:space="0"/>
              <w:bottom w:val="single" w:color="000000" w:sz="4" w:space="0"/>
              <w:right w:val="single" w:color="000000" w:sz="4" w:space="0"/>
            </w:tcBorders>
            <w:vAlign w:val="center"/>
          </w:tcPr>
          <w:p w14:paraId="5F134E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信息安全技术 政府部门信息安全管理基本要求</w:t>
            </w:r>
          </w:p>
        </w:tc>
        <w:tc>
          <w:tcPr>
            <w:tcW w:w="3212" w:type="dxa"/>
            <w:tcBorders>
              <w:top w:val="single" w:color="000000" w:sz="4" w:space="0"/>
              <w:left w:val="single" w:color="000000" w:sz="4" w:space="0"/>
              <w:bottom w:val="single" w:color="000000" w:sz="4" w:space="0"/>
              <w:right w:val="single" w:color="000000" w:sz="4" w:space="0"/>
            </w:tcBorders>
            <w:vAlign w:val="center"/>
          </w:tcPr>
          <w:p w14:paraId="02B6D3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29245-2012</w:t>
            </w:r>
          </w:p>
        </w:tc>
      </w:tr>
      <w:tr w14:paraId="0393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173D3692">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7</w:t>
            </w:r>
          </w:p>
        </w:tc>
        <w:tc>
          <w:tcPr>
            <w:tcW w:w="5383" w:type="dxa"/>
            <w:tcBorders>
              <w:top w:val="single" w:color="000000" w:sz="4" w:space="0"/>
              <w:left w:val="single" w:color="000000" w:sz="4" w:space="0"/>
              <w:bottom w:val="single" w:color="000000" w:sz="4" w:space="0"/>
              <w:right w:val="single" w:color="000000" w:sz="4" w:space="0"/>
            </w:tcBorders>
            <w:vAlign w:val="center"/>
          </w:tcPr>
          <w:p w14:paraId="22633A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国家基本比例尺地图图式 第1部分：1∶500 1∶1000  1∶2000地形图图式</w:t>
            </w:r>
          </w:p>
        </w:tc>
        <w:tc>
          <w:tcPr>
            <w:tcW w:w="3212" w:type="dxa"/>
            <w:tcBorders>
              <w:top w:val="single" w:color="000000" w:sz="4" w:space="0"/>
              <w:left w:val="single" w:color="000000" w:sz="4" w:space="0"/>
              <w:bottom w:val="single" w:color="000000" w:sz="4" w:space="0"/>
              <w:right w:val="single" w:color="000000" w:sz="4" w:space="0"/>
            </w:tcBorders>
            <w:vAlign w:val="center"/>
          </w:tcPr>
          <w:p w14:paraId="53DA95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20257.1-2017</w:t>
            </w:r>
          </w:p>
        </w:tc>
      </w:tr>
      <w:tr w14:paraId="634B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490FBF17">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8</w:t>
            </w:r>
          </w:p>
        </w:tc>
        <w:tc>
          <w:tcPr>
            <w:tcW w:w="5383" w:type="dxa"/>
            <w:tcBorders>
              <w:top w:val="single" w:color="000000" w:sz="4" w:space="0"/>
              <w:left w:val="single" w:color="000000" w:sz="4" w:space="0"/>
              <w:bottom w:val="single" w:color="000000" w:sz="4" w:space="0"/>
              <w:right w:val="single" w:color="000000" w:sz="4" w:space="0"/>
            </w:tcBorders>
            <w:vAlign w:val="center"/>
          </w:tcPr>
          <w:p w14:paraId="7C22B9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测绘成果质量检查与验收</w:t>
            </w:r>
          </w:p>
        </w:tc>
        <w:tc>
          <w:tcPr>
            <w:tcW w:w="3212" w:type="dxa"/>
            <w:tcBorders>
              <w:top w:val="single" w:color="000000" w:sz="4" w:space="0"/>
              <w:left w:val="single" w:color="000000" w:sz="4" w:space="0"/>
              <w:bottom w:val="single" w:color="000000" w:sz="4" w:space="0"/>
              <w:right w:val="single" w:color="000000" w:sz="4" w:space="0"/>
            </w:tcBorders>
            <w:vAlign w:val="center"/>
          </w:tcPr>
          <w:p w14:paraId="5B2631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GB/T 24356-2023</w:t>
            </w:r>
          </w:p>
        </w:tc>
      </w:tr>
      <w:tr w14:paraId="4EF17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5098426A">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9</w:t>
            </w:r>
          </w:p>
        </w:tc>
        <w:tc>
          <w:tcPr>
            <w:tcW w:w="5383" w:type="dxa"/>
            <w:tcBorders>
              <w:top w:val="single" w:color="000000" w:sz="4" w:space="0"/>
              <w:left w:val="single" w:color="000000" w:sz="4" w:space="0"/>
              <w:bottom w:val="single" w:color="000000" w:sz="4" w:space="0"/>
              <w:right w:val="single" w:color="000000" w:sz="4" w:space="0"/>
            </w:tcBorders>
            <w:vAlign w:val="center"/>
          </w:tcPr>
          <w:p w14:paraId="7C38C2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不动产登记数据库标准</w:t>
            </w:r>
          </w:p>
        </w:tc>
        <w:tc>
          <w:tcPr>
            <w:tcW w:w="3212" w:type="dxa"/>
            <w:tcBorders>
              <w:top w:val="single" w:color="000000" w:sz="4" w:space="0"/>
              <w:left w:val="single" w:color="000000" w:sz="4" w:space="0"/>
              <w:bottom w:val="single" w:color="000000" w:sz="4" w:space="0"/>
              <w:right w:val="single" w:color="000000" w:sz="4" w:space="0"/>
            </w:tcBorders>
            <w:vAlign w:val="center"/>
          </w:tcPr>
          <w:p w14:paraId="2889F1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TD/T 1066-2021</w:t>
            </w:r>
          </w:p>
        </w:tc>
      </w:tr>
      <w:tr w14:paraId="6CE3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1F641430">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10</w:t>
            </w:r>
          </w:p>
        </w:tc>
        <w:tc>
          <w:tcPr>
            <w:tcW w:w="5383" w:type="dxa"/>
            <w:tcBorders>
              <w:top w:val="single" w:color="000000" w:sz="4" w:space="0"/>
              <w:left w:val="single" w:color="000000" w:sz="4" w:space="0"/>
              <w:bottom w:val="single" w:color="000000" w:sz="4" w:space="0"/>
              <w:right w:val="single" w:color="000000" w:sz="4" w:space="0"/>
            </w:tcBorders>
            <w:vAlign w:val="center"/>
          </w:tcPr>
          <w:p w14:paraId="5D6746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不动产登记数据整合建库技术规范</w:t>
            </w:r>
          </w:p>
        </w:tc>
        <w:tc>
          <w:tcPr>
            <w:tcW w:w="3212" w:type="dxa"/>
            <w:tcBorders>
              <w:top w:val="single" w:color="000000" w:sz="4" w:space="0"/>
              <w:left w:val="single" w:color="000000" w:sz="4" w:space="0"/>
              <w:bottom w:val="single" w:color="000000" w:sz="4" w:space="0"/>
              <w:right w:val="single" w:color="000000" w:sz="4" w:space="0"/>
            </w:tcBorders>
            <w:vAlign w:val="center"/>
          </w:tcPr>
          <w:p w14:paraId="5DFA78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TD/T 1067-2021</w:t>
            </w:r>
          </w:p>
        </w:tc>
      </w:tr>
      <w:tr w14:paraId="33E2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7848073F">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11</w:t>
            </w:r>
          </w:p>
        </w:tc>
        <w:tc>
          <w:tcPr>
            <w:tcW w:w="5383" w:type="dxa"/>
            <w:tcBorders>
              <w:top w:val="single" w:color="000000" w:sz="4" w:space="0"/>
              <w:left w:val="single" w:color="000000" w:sz="4" w:space="0"/>
              <w:bottom w:val="single" w:color="000000" w:sz="4" w:space="0"/>
              <w:right w:val="single" w:color="000000" w:sz="4" w:space="0"/>
            </w:tcBorders>
            <w:vAlign w:val="center"/>
          </w:tcPr>
          <w:p w14:paraId="7E4AF5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地籍数据库 第1部分：不动产</w:t>
            </w:r>
          </w:p>
        </w:tc>
        <w:tc>
          <w:tcPr>
            <w:tcW w:w="3212" w:type="dxa"/>
            <w:tcBorders>
              <w:top w:val="single" w:color="000000" w:sz="4" w:space="0"/>
              <w:left w:val="single" w:color="000000" w:sz="4" w:space="0"/>
              <w:bottom w:val="single" w:color="000000" w:sz="4" w:space="0"/>
              <w:right w:val="single" w:color="000000" w:sz="4" w:space="0"/>
            </w:tcBorders>
            <w:vAlign w:val="center"/>
          </w:tcPr>
          <w:p w14:paraId="1CC45A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TD/T 1015.1-2024</w:t>
            </w:r>
          </w:p>
        </w:tc>
      </w:tr>
      <w:tr w14:paraId="26236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16CA18C8">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12</w:t>
            </w:r>
          </w:p>
        </w:tc>
        <w:tc>
          <w:tcPr>
            <w:tcW w:w="5383" w:type="dxa"/>
            <w:vAlign w:val="center"/>
          </w:tcPr>
          <w:p w14:paraId="62256D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国土空间用途管制数据规范</w:t>
            </w:r>
          </w:p>
        </w:tc>
        <w:tc>
          <w:tcPr>
            <w:tcW w:w="3212" w:type="dxa"/>
            <w:vAlign w:val="center"/>
          </w:tcPr>
          <w:p w14:paraId="50E96D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ascii="宋体" w:hAnsi="宋体" w:eastAsia="宋体"/>
                <w:bCs/>
                <w:color w:val="000000"/>
                <w:sz w:val="24"/>
                <w:szCs w:val="24"/>
              </w:rPr>
              <w:t>TD/T 1084-2023</w:t>
            </w:r>
          </w:p>
        </w:tc>
      </w:tr>
      <w:tr w14:paraId="54B6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36B839D0">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13</w:t>
            </w:r>
          </w:p>
        </w:tc>
        <w:tc>
          <w:tcPr>
            <w:tcW w:w="5383" w:type="dxa"/>
            <w:vAlign w:val="center"/>
          </w:tcPr>
          <w:p w14:paraId="548EBC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地籍图编制技术规范</w:t>
            </w:r>
          </w:p>
        </w:tc>
        <w:tc>
          <w:tcPr>
            <w:tcW w:w="3212" w:type="dxa"/>
            <w:vAlign w:val="center"/>
          </w:tcPr>
          <w:p w14:paraId="02F38E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试行</w:t>
            </w:r>
          </w:p>
        </w:tc>
      </w:tr>
      <w:tr w14:paraId="67EC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659EFE82">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14</w:t>
            </w:r>
          </w:p>
        </w:tc>
        <w:tc>
          <w:tcPr>
            <w:tcW w:w="5383" w:type="dxa"/>
            <w:vAlign w:val="center"/>
          </w:tcPr>
          <w:p w14:paraId="1F969F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地籍数据汇交要求</w:t>
            </w:r>
          </w:p>
        </w:tc>
        <w:tc>
          <w:tcPr>
            <w:tcW w:w="3212" w:type="dxa"/>
            <w:vAlign w:val="center"/>
          </w:tcPr>
          <w:p w14:paraId="706B85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试行</w:t>
            </w:r>
          </w:p>
        </w:tc>
      </w:tr>
      <w:tr w14:paraId="2998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744466A3">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15</w:t>
            </w:r>
          </w:p>
        </w:tc>
        <w:tc>
          <w:tcPr>
            <w:tcW w:w="5383" w:type="dxa"/>
            <w:vAlign w:val="center"/>
          </w:tcPr>
          <w:p w14:paraId="7F2272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自然资源部关于进一步做好地籍调查工作的通知</w:t>
            </w:r>
          </w:p>
        </w:tc>
        <w:tc>
          <w:tcPr>
            <w:tcW w:w="3212" w:type="dxa"/>
            <w:vAlign w:val="center"/>
          </w:tcPr>
          <w:p w14:paraId="6789B9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自然资发〔2023〕195号</w:t>
            </w:r>
          </w:p>
        </w:tc>
      </w:tr>
      <w:tr w14:paraId="67AD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4CF407CF">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16</w:t>
            </w:r>
          </w:p>
        </w:tc>
        <w:tc>
          <w:tcPr>
            <w:tcW w:w="5383" w:type="dxa"/>
            <w:vAlign w:val="center"/>
          </w:tcPr>
          <w:p w14:paraId="48DC5C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自然资源部办公厅关于加快编制地籍图的通知</w:t>
            </w:r>
          </w:p>
        </w:tc>
        <w:tc>
          <w:tcPr>
            <w:tcW w:w="3212" w:type="dxa"/>
            <w:vAlign w:val="center"/>
          </w:tcPr>
          <w:p w14:paraId="48DD2A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自然资办函〔2024〕1481号</w:t>
            </w:r>
          </w:p>
        </w:tc>
      </w:tr>
      <w:tr w14:paraId="5A45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088159B5">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17</w:t>
            </w:r>
          </w:p>
        </w:tc>
        <w:tc>
          <w:tcPr>
            <w:tcW w:w="5383" w:type="dxa"/>
            <w:vAlign w:val="center"/>
          </w:tcPr>
          <w:p w14:paraId="655B27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关于深化开展地籍调查和地籍图编制工作的实施方案的通知</w:t>
            </w:r>
          </w:p>
        </w:tc>
        <w:tc>
          <w:tcPr>
            <w:tcW w:w="3212" w:type="dxa"/>
            <w:vAlign w:val="center"/>
          </w:tcPr>
          <w:p w14:paraId="74FAF2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苏自然资函〔2024〕868号</w:t>
            </w:r>
          </w:p>
        </w:tc>
      </w:tr>
      <w:tr w14:paraId="553A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46D7B9FD">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18</w:t>
            </w:r>
          </w:p>
        </w:tc>
        <w:tc>
          <w:tcPr>
            <w:tcW w:w="5383" w:type="dxa"/>
            <w:vAlign w:val="center"/>
          </w:tcPr>
          <w:p w14:paraId="5D06FC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关于加快地籍成果入库汇交工作的函</w:t>
            </w:r>
          </w:p>
        </w:tc>
        <w:tc>
          <w:tcPr>
            <w:tcW w:w="3212" w:type="dxa"/>
            <w:vAlign w:val="center"/>
          </w:tcPr>
          <w:p w14:paraId="701448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自然资登记函〔2025〕32号</w:t>
            </w:r>
          </w:p>
        </w:tc>
      </w:tr>
      <w:tr w14:paraId="2C7F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44" w:type="dxa"/>
            <w:vAlign w:val="center"/>
          </w:tcPr>
          <w:p w14:paraId="481A11B1">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19</w:t>
            </w:r>
          </w:p>
        </w:tc>
        <w:tc>
          <w:tcPr>
            <w:tcW w:w="5383" w:type="dxa"/>
            <w:vAlign w:val="center"/>
          </w:tcPr>
          <w:p w14:paraId="2B258B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自然资源部办公厅关于印发《地籍数据库建设工作方案》的通知</w:t>
            </w:r>
          </w:p>
        </w:tc>
        <w:tc>
          <w:tcPr>
            <w:tcW w:w="3212" w:type="dxa"/>
            <w:vAlign w:val="center"/>
          </w:tcPr>
          <w:p w14:paraId="5A5C92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bCs/>
                <w:color w:val="000000"/>
                <w:sz w:val="24"/>
                <w:szCs w:val="24"/>
              </w:rPr>
            </w:pPr>
            <w:r>
              <w:rPr>
                <w:rFonts w:hint="eastAsia" w:ascii="宋体" w:hAnsi="宋体" w:eastAsia="宋体"/>
                <w:bCs/>
                <w:color w:val="000000"/>
                <w:sz w:val="24"/>
                <w:szCs w:val="24"/>
              </w:rPr>
              <w:t>自然资办函〔2025〕1010号</w:t>
            </w:r>
          </w:p>
        </w:tc>
      </w:tr>
    </w:tbl>
    <w:p w14:paraId="3665483C">
      <w:pPr>
        <w:pStyle w:val="40"/>
        <w:spacing w:before="0" w:beforeAutospacing="0" w:after="0" w:afterAutospacing="0" w:line="360" w:lineRule="auto"/>
        <w:ind w:firstLine="482"/>
        <w:outlineLvl w:val="2"/>
        <w:rPr>
          <w:rStyle w:val="41"/>
          <w:rFonts w:hint="eastAsia" w:ascii="宋体" w:hAnsi="宋体" w:cs="宋体"/>
          <w:b/>
          <w:bCs/>
          <w:color w:val="auto"/>
          <w:sz w:val="24"/>
        </w:rPr>
      </w:pPr>
      <w:r>
        <w:rPr>
          <w:rStyle w:val="41"/>
          <w:rFonts w:hint="eastAsia" w:ascii="宋体" w:hAnsi="宋体" w:cs="宋体"/>
          <w:b/>
          <w:bCs/>
          <w:color w:val="auto"/>
          <w:sz w:val="24"/>
        </w:rPr>
        <w:t>五、项目成果要求</w:t>
      </w:r>
    </w:p>
    <w:p w14:paraId="6690FCDD">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成果包括数据库成果、文字成果。</w:t>
      </w:r>
    </w:p>
    <w:p w14:paraId="634186AB">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（1）不动产地籍数据库成果。包括宅基地、建设用地等地籍调查成果。</w:t>
      </w:r>
    </w:p>
    <w:p w14:paraId="63D84CE6">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（2）自然资源地籍数据库成果。包括已开展自然资源地籍调查的数据库。</w:t>
      </w:r>
    </w:p>
    <w:p w14:paraId="7C0AFA47">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（3）文字成果。工作总结、技术方案、技术总结等文字成果。</w:t>
      </w:r>
    </w:p>
    <w:p w14:paraId="7A56A784">
      <w:pPr>
        <w:pStyle w:val="40"/>
        <w:spacing w:before="0" w:beforeAutospacing="0" w:after="0" w:afterAutospacing="0" w:line="360" w:lineRule="auto"/>
        <w:ind w:firstLine="482"/>
        <w:outlineLvl w:val="2"/>
        <w:rPr>
          <w:rStyle w:val="41"/>
          <w:rFonts w:hint="eastAsia" w:ascii="宋体" w:hAnsi="宋体" w:cs="宋体"/>
          <w:b/>
          <w:bCs/>
          <w:color w:val="auto"/>
          <w:sz w:val="24"/>
        </w:rPr>
      </w:pPr>
      <w:r>
        <w:rPr>
          <w:rStyle w:val="41"/>
          <w:rFonts w:hint="eastAsia" w:ascii="宋体" w:hAnsi="宋体" w:cs="宋体"/>
          <w:b/>
          <w:bCs/>
          <w:color w:val="auto"/>
          <w:sz w:val="24"/>
        </w:rPr>
        <w:t>六、安全保密要求</w:t>
      </w:r>
    </w:p>
    <w:p w14:paraId="69656930">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1.项目实施必须符合国家、江苏省、徐州市和徐州市铜山区自然资源和规划局系统安全相关管理规定，遵守数据资料保密要求。此约定不因项目的结束而终止，一直有效。</w:t>
      </w:r>
    </w:p>
    <w:p w14:paraId="7281488D">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2.项目实施单位必须有完善的保密规定。</w:t>
      </w:r>
    </w:p>
    <w:p w14:paraId="16FEE459">
      <w:pPr>
        <w:pStyle w:val="40"/>
        <w:spacing w:before="0" w:beforeAutospacing="0" w:after="0" w:afterAutospacing="0" w:line="360" w:lineRule="auto"/>
        <w:ind w:firstLine="480"/>
        <w:outlineLvl w:val="2"/>
        <w:rPr>
          <w:rStyle w:val="41"/>
          <w:rFonts w:hint="eastAsia" w:ascii="宋体" w:hAnsi="宋体" w:cs="宋体"/>
          <w:color w:val="auto"/>
          <w:sz w:val="24"/>
        </w:rPr>
      </w:pPr>
      <w:r>
        <w:rPr>
          <w:rStyle w:val="41"/>
          <w:rFonts w:hint="eastAsia" w:ascii="宋体" w:hAnsi="宋体" w:cs="宋体"/>
          <w:color w:val="auto"/>
          <w:sz w:val="24"/>
        </w:rPr>
        <w:t>3.项目验收时，实施单位提交成果数据后应承诺销毁所有过程数据和最终成果，不得用于其他项目。</w:t>
      </w:r>
    </w:p>
    <w:p w14:paraId="26F5751C">
      <w:pPr>
        <w:pStyle w:val="18"/>
        <w:keepNext w:val="0"/>
        <w:keepLines w:val="0"/>
        <w:pageBreakBefore w:val="0"/>
        <w:spacing w:after="0" w:line="360" w:lineRule="auto"/>
        <w:ind w:firstLine="48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GY1ZWY1MmM3YWM2YWI0NmRlNzJhNTBjZWE2YWEifQ=="/>
  </w:docVars>
  <w:rsids>
    <w:rsidRoot w:val="007D35A7"/>
    <w:rsid w:val="00021AE3"/>
    <w:rsid w:val="000D0D09"/>
    <w:rsid w:val="001268DD"/>
    <w:rsid w:val="00276132"/>
    <w:rsid w:val="00286AF3"/>
    <w:rsid w:val="0032150F"/>
    <w:rsid w:val="003F3E85"/>
    <w:rsid w:val="00417450"/>
    <w:rsid w:val="00484BB5"/>
    <w:rsid w:val="004A2B9A"/>
    <w:rsid w:val="004D5D16"/>
    <w:rsid w:val="005137AF"/>
    <w:rsid w:val="00540074"/>
    <w:rsid w:val="005C104E"/>
    <w:rsid w:val="006338A6"/>
    <w:rsid w:val="006D4551"/>
    <w:rsid w:val="007961B3"/>
    <w:rsid w:val="007B024F"/>
    <w:rsid w:val="007C3769"/>
    <w:rsid w:val="007D35A7"/>
    <w:rsid w:val="00906973"/>
    <w:rsid w:val="009150BE"/>
    <w:rsid w:val="0093102C"/>
    <w:rsid w:val="009A0109"/>
    <w:rsid w:val="00A507E6"/>
    <w:rsid w:val="00C65725"/>
    <w:rsid w:val="00C70013"/>
    <w:rsid w:val="00CB5BB8"/>
    <w:rsid w:val="00CD0A61"/>
    <w:rsid w:val="00D45CC6"/>
    <w:rsid w:val="00E531ED"/>
    <w:rsid w:val="00F46DA2"/>
    <w:rsid w:val="00FF38D9"/>
    <w:rsid w:val="02606868"/>
    <w:rsid w:val="03215077"/>
    <w:rsid w:val="043518E1"/>
    <w:rsid w:val="06870E54"/>
    <w:rsid w:val="074F3A07"/>
    <w:rsid w:val="0894283E"/>
    <w:rsid w:val="09402D18"/>
    <w:rsid w:val="0CBB23EF"/>
    <w:rsid w:val="0CEC668A"/>
    <w:rsid w:val="14FF6F40"/>
    <w:rsid w:val="164314D6"/>
    <w:rsid w:val="171E67BF"/>
    <w:rsid w:val="18623649"/>
    <w:rsid w:val="190F5A3F"/>
    <w:rsid w:val="1AFB7EA7"/>
    <w:rsid w:val="1E8A7F80"/>
    <w:rsid w:val="28A91051"/>
    <w:rsid w:val="29554A6F"/>
    <w:rsid w:val="2CAA592C"/>
    <w:rsid w:val="2FF63E88"/>
    <w:rsid w:val="35967AF0"/>
    <w:rsid w:val="38A65C3C"/>
    <w:rsid w:val="397821AD"/>
    <w:rsid w:val="398B49CF"/>
    <w:rsid w:val="3AB04FCE"/>
    <w:rsid w:val="3D395113"/>
    <w:rsid w:val="3E197F21"/>
    <w:rsid w:val="3E2536E7"/>
    <w:rsid w:val="40FD6117"/>
    <w:rsid w:val="48C84AD9"/>
    <w:rsid w:val="49295C5E"/>
    <w:rsid w:val="498B05FA"/>
    <w:rsid w:val="4A153938"/>
    <w:rsid w:val="4A4B143B"/>
    <w:rsid w:val="4B887E97"/>
    <w:rsid w:val="4BB81C73"/>
    <w:rsid w:val="4EA03290"/>
    <w:rsid w:val="52C6791F"/>
    <w:rsid w:val="5615361D"/>
    <w:rsid w:val="58600F29"/>
    <w:rsid w:val="5BE447A3"/>
    <w:rsid w:val="5FFA1245"/>
    <w:rsid w:val="62F41A72"/>
    <w:rsid w:val="64681B5B"/>
    <w:rsid w:val="663A538E"/>
    <w:rsid w:val="68D242AA"/>
    <w:rsid w:val="69F435F3"/>
    <w:rsid w:val="6DA569E2"/>
    <w:rsid w:val="6EE41FF0"/>
    <w:rsid w:val="750143BF"/>
    <w:rsid w:val="789D3A3C"/>
    <w:rsid w:val="7E4E71BC"/>
    <w:rsid w:val="7F25286F"/>
    <w:rsid w:val="7F30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spacing w:before="10" w:beforeLines="10" w:after="10" w:afterLines="10" w:line="416" w:lineRule="atLeast"/>
      <w:outlineLvl w:val="1"/>
    </w:pPr>
    <w:rPr>
      <w:rFonts w:ascii="Cambria" w:hAnsi="Cambria" w:eastAsia="宋体"/>
      <w:b/>
      <w:bCs/>
      <w:szCs w:val="32"/>
    </w:rPr>
  </w:style>
  <w:style w:type="paragraph" w:styleId="5">
    <w:name w:val="heading 3"/>
    <w:basedOn w:val="1"/>
    <w:next w:val="1"/>
    <w:qFormat/>
    <w:uiPriority w:val="0"/>
    <w:pPr>
      <w:keepNext/>
      <w:keepLines/>
      <w:spacing w:before="260" w:beforeAutospacing="0" w:after="260" w:afterAutospacing="0" w:line="413" w:lineRule="auto"/>
      <w:outlineLvl w:val="2"/>
    </w:pPr>
    <w:rPr>
      <w:b/>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脚注文本11"/>
    <w:basedOn w:val="1"/>
    <w:next w:val="3"/>
    <w:unhideWhenUsed/>
    <w:qFormat/>
    <w:uiPriority w:val="0"/>
    <w:pPr>
      <w:spacing w:after="40"/>
    </w:pPr>
    <w:rPr>
      <w:sz w:val="18"/>
    </w:rPr>
  </w:style>
  <w:style w:type="paragraph" w:customStyle="1" w:styleId="3">
    <w:name w:val="索引 511"/>
    <w:basedOn w:val="1"/>
    <w:next w:val="1"/>
    <w:qFormat/>
    <w:uiPriority w:val="0"/>
    <w:pPr>
      <w:ind w:left="798"/>
      <w:jc w:val="left"/>
    </w:pPr>
    <w:rPr>
      <w:rFonts w:ascii="Calibri" w:hAnsi="Calibri"/>
    </w:rPr>
  </w:style>
  <w:style w:type="paragraph" w:styleId="7">
    <w:name w:val="Normal Indent"/>
    <w:basedOn w:val="1"/>
    <w:next w:val="1"/>
    <w:qFormat/>
    <w:uiPriority w:val="0"/>
    <w:pPr>
      <w:ind w:firstLine="420"/>
    </w:pPr>
    <w:rPr>
      <w:rFonts w:ascii="Times New Roman" w:hAnsi="Times New Roman" w:eastAsia="宋体" w:cs="Times New Roman"/>
    </w:rPr>
  </w:style>
  <w:style w:type="paragraph" w:styleId="8">
    <w:name w:val="Document Map"/>
    <w:basedOn w:val="1"/>
    <w:link w:val="34"/>
    <w:qFormat/>
    <w:uiPriority w:val="0"/>
    <w:rPr>
      <w:rFonts w:ascii="宋体" w:eastAsia="宋体"/>
      <w:sz w:val="18"/>
      <w:szCs w:val="18"/>
    </w:rPr>
  </w:style>
  <w:style w:type="paragraph" w:styleId="9">
    <w:name w:val="Body Text"/>
    <w:basedOn w:val="1"/>
    <w:next w:val="10"/>
    <w:autoRedefine/>
    <w:qFormat/>
    <w:uiPriority w:val="99"/>
    <w:pPr>
      <w:spacing w:after="120"/>
    </w:pPr>
    <w:rPr>
      <w:rFonts w:ascii="Calibri" w:eastAsia="宋体"/>
      <w:kern w:val="0"/>
    </w:rPr>
  </w:style>
  <w:style w:type="paragraph" w:customStyle="1" w:styleId="10">
    <w:name w:val="一级条标题"/>
    <w:basedOn w:val="11"/>
    <w:next w:val="12"/>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2">
    <w:name w:val="段"/>
    <w:basedOn w:val="13"/>
    <w:next w:val="1"/>
    <w:autoRedefine/>
    <w:qFormat/>
    <w:uiPriority w:val="0"/>
    <w:pPr>
      <w:widowControl/>
      <w:autoSpaceDE w:val="0"/>
      <w:autoSpaceDN w:val="0"/>
      <w:ind w:firstLine="200" w:firstLineChars="200"/>
    </w:pPr>
    <w:rPr>
      <w:rFonts w:hint="eastAsia" w:ascii="宋体"/>
      <w:kern w:val="0"/>
      <w:szCs w:val="20"/>
    </w:rPr>
  </w:style>
  <w:style w:type="paragraph" w:customStyle="1" w:styleId="13">
    <w:name w:val="正文11"/>
    <w:next w:val="14"/>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目录 11"/>
    <w:basedOn w:val="15"/>
    <w:next w:val="13"/>
    <w:qFormat/>
    <w:uiPriority w:val="0"/>
  </w:style>
  <w:style w:type="paragraph" w:customStyle="1" w:styleId="15">
    <w:name w:val="正文12"/>
    <w:next w:val="16"/>
    <w:autoRedefine/>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6">
    <w:name w:val="目录 111"/>
    <w:basedOn w:val="17"/>
    <w:next w:val="15"/>
    <w:qFormat/>
    <w:uiPriority w:val="0"/>
    <w:pPr>
      <w:widowControl/>
      <w:spacing w:after="100" w:line="259" w:lineRule="auto"/>
      <w:jc w:val="left"/>
    </w:pPr>
    <w:rPr>
      <w:rFonts w:ascii="Calibri" w:hAnsi="Calibri"/>
      <w:sz w:val="22"/>
      <w:szCs w:val="22"/>
    </w:rPr>
  </w:style>
  <w:style w:type="paragraph" w:customStyle="1" w:styleId="17">
    <w:name w:val="正文111"/>
    <w:next w:val="16"/>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18">
    <w:name w:val="Body Text Indent"/>
    <w:basedOn w:val="1"/>
    <w:next w:val="19"/>
    <w:autoRedefine/>
    <w:qFormat/>
    <w:uiPriority w:val="0"/>
    <w:pPr>
      <w:spacing w:after="120"/>
      <w:ind w:left="420"/>
    </w:pPr>
  </w:style>
  <w:style w:type="paragraph" w:styleId="19">
    <w:name w:val="envelope return"/>
    <w:basedOn w:val="1"/>
    <w:autoRedefine/>
    <w:qFormat/>
    <w:uiPriority w:val="0"/>
    <w:rPr>
      <w:rFonts w:ascii="Arial" w:hAnsi="Arial"/>
    </w:rPr>
  </w:style>
  <w:style w:type="paragraph" w:styleId="20">
    <w:name w:val="footer"/>
    <w:basedOn w:val="1"/>
    <w:link w:val="36"/>
    <w:qFormat/>
    <w:uiPriority w:val="0"/>
    <w:pPr>
      <w:tabs>
        <w:tab w:val="center" w:pos="4153"/>
        <w:tab w:val="right" w:pos="8306"/>
      </w:tabs>
      <w:snapToGrid w:val="0"/>
      <w:jc w:val="left"/>
    </w:pPr>
    <w:rPr>
      <w:sz w:val="18"/>
      <w:szCs w:val="18"/>
    </w:rPr>
  </w:style>
  <w:style w:type="paragraph" w:styleId="21">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after="57"/>
    </w:pPr>
  </w:style>
  <w:style w:type="paragraph" w:styleId="23">
    <w:name w:val="Body Text First Indent"/>
    <w:basedOn w:val="9"/>
    <w:next w:val="24"/>
    <w:autoRedefine/>
    <w:qFormat/>
    <w:uiPriority w:val="0"/>
    <w:pPr>
      <w:spacing w:line="360" w:lineRule="auto"/>
      <w:ind w:firstLine="200" w:firstLineChars="200"/>
    </w:pPr>
    <w:rPr>
      <w:rFonts w:ascii="仿宋_GB2312" w:eastAsia="仿宋_GB2312"/>
      <w:sz w:val="30"/>
      <w:szCs w:val="30"/>
    </w:rPr>
  </w:style>
  <w:style w:type="paragraph" w:styleId="24">
    <w:name w:val="Body Text First Indent 2"/>
    <w:basedOn w:val="18"/>
    <w:next w:val="1"/>
    <w:qFormat/>
    <w:uiPriority w:val="0"/>
    <w:pPr>
      <w:spacing w:after="0" w:line="360" w:lineRule="auto"/>
      <w:ind w:left="0" w:firstLine="420"/>
    </w:pPr>
    <w:rPr>
      <w:rFonts w:ascii="宋体" w:hAnsi="宋体"/>
    </w:rPr>
  </w:style>
  <w:style w:type="paragraph" w:customStyle="1" w:styleId="27">
    <w:name w:val="引文目录1"/>
    <w:basedOn w:val="1"/>
    <w:next w:val="1"/>
    <w:qFormat/>
    <w:uiPriority w:val="0"/>
    <w:pPr>
      <w:widowControl w:val="0"/>
      <w:ind w:left="420"/>
      <w:jc w:val="both"/>
    </w:pPr>
    <w:rPr>
      <w:rFonts w:ascii="Calibri" w:hAnsi="Calibri" w:eastAsia="宋体" w:cs="Times New Roman"/>
      <w:sz w:val="21"/>
      <w:szCs w:val="22"/>
      <w:lang w:val="en-US" w:eastAsia="zh-CN" w:bidi="ar-SA"/>
    </w:rPr>
  </w:style>
  <w:style w:type="paragraph" w:customStyle="1" w:styleId="28">
    <w:name w:val="文本块1"/>
    <w:basedOn w:val="15"/>
    <w:autoRedefine/>
    <w:qFormat/>
    <w:uiPriority w:val="0"/>
    <w:pPr>
      <w:spacing w:after="120"/>
      <w:ind w:left="1440" w:right="1440"/>
    </w:pPr>
  </w:style>
  <w:style w:type="paragraph" w:customStyle="1" w:styleId="29">
    <w:name w:val="脚注文本1"/>
    <w:basedOn w:val="30"/>
    <w:next w:val="31"/>
    <w:autoRedefine/>
    <w:qFormat/>
    <w:uiPriority w:val="0"/>
    <w:pPr>
      <w:jc w:val="left"/>
    </w:pPr>
    <w:rPr>
      <w:rFonts w:ascii="宋体" w:eastAsia="Times New Roman"/>
      <w:sz w:val="18"/>
      <w:szCs w:val="18"/>
    </w:rPr>
  </w:style>
  <w:style w:type="paragraph" w:customStyle="1" w:styleId="30">
    <w:name w:val="正文1"/>
    <w:basedOn w:val="17"/>
    <w:next w:val="29"/>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
    <w:name w:val="索引 51"/>
    <w:basedOn w:val="30"/>
    <w:next w:val="13"/>
    <w:autoRedefine/>
    <w:qFormat/>
    <w:uiPriority w:val="0"/>
    <w:pPr>
      <w:ind w:left="798"/>
      <w:jc w:val="left"/>
    </w:pPr>
    <w:rPr>
      <w:rFonts w:ascii="Calibri" w:hAnsi="Calibri"/>
    </w:rPr>
  </w:style>
  <w:style w:type="paragraph" w:customStyle="1" w:styleId="32">
    <w:name w:val="正文文本缩进1"/>
    <w:basedOn w:val="13"/>
    <w:next w:val="33"/>
    <w:autoRedefine/>
    <w:qFormat/>
    <w:uiPriority w:val="0"/>
    <w:pPr>
      <w:spacing w:after="120"/>
      <w:ind w:left="420"/>
    </w:pPr>
  </w:style>
  <w:style w:type="paragraph" w:customStyle="1" w:styleId="33">
    <w:name w:val="寄信人地址1"/>
    <w:basedOn w:val="17"/>
    <w:autoRedefine/>
    <w:qFormat/>
    <w:uiPriority w:val="0"/>
    <w:rPr>
      <w:rFonts w:ascii="Arial" w:hAnsi="Arial"/>
    </w:rPr>
  </w:style>
  <w:style w:type="character" w:customStyle="1" w:styleId="34">
    <w:name w:val="文档结构图 字符"/>
    <w:basedOn w:val="26"/>
    <w:link w:val="8"/>
    <w:qFormat/>
    <w:uiPriority w:val="0"/>
    <w:rPr>
      <w:rFonts w:ascii="宋体" w:eastAsia="宋体"/>
      <w:kern w:val="2"/>
      <w:sz w:val="18"/>
      <w:szCs w:val="18"/>
    </w:rPr>
  </w:style>
  <w:style w:type="character" w:customStyle="1" w:styleId="35">
    <w:name w:val="页眉 字符"/>
    <w:basedOn w:val="26"/>
    <w:link w:val="21"/>
    <w:qFormat/>
    <w:uiPriority w:val="0"/>
    <w:rPr>
      <w:kern w:val="2"/>
      <w:sz w:val="18"/>
      <w:szCs w:val="18"/>
    </w:rPr>
  </w:style>
  <w:style w:type="character" w:customStyle="1" w:styleId="36">
    <w:name w:val="页脚 字符"/>
    <w:basedOn w:val="26"/>
    <w:link w:val="20"/>
    <w:autoRedefine/>
    <w:qFormat/>
    <w:uiPriority w:val="0"/>
    <w:rPr>
      <w:kern w:val="2"/>
      <w:sz w:val="18"/>
      <w:szCs w:val="18"/>
    </w:rPr>
  </w:style>
  <w:style w:type="paragraph" w:styleId="37">
    <w:name w:val="List Paragraph"/>
    <w:basedOn w:val="1"/>
    <w:autoRedefine/>
    <w:qFormat/>
    <w:uiPriority w:val="34"/>
    <w:pPr>
      <w:ind w:firstLine="420"/>
    </w:pPr>
  </w:style>
  <w:style w:type="paragraph" w:customStyle="1" w:styleId="38">
    <w:name w:val="正文格式"/>
    <w:basedOn w:val="1"/>
    <w:qFormat/>
    <w:uiPriority w:val="0"/>
    <w:pPr>
      <w:spacing w:before="190" w:after="190" w:line="360" w:lineRule="auto"/>
      <w:ind w:firstLine="480"/>
    </w:pPr>
    <w:rPr>
      <w:rFonts w:ascii="宋体" w:hAnsi="宋体" w:eastAsia="宋体"/>
      <w:sz w:val="24"/>
      <w:lang w:val="en-GB"/>
    </w:rPr>
  </w:style>
  <w:style w:type="paragraph" w:customStyle="1" w:styleId="39">
    <w:name w:val="正文首行缩进2字符"/>
    <w:basedOn w:val="1"/>
    <w:autoRedefine/>
    <w:qFormat/>
    <w:uiPriority w:val="0"/>
    <w:pPr>
      <w:widowControl/>
      <w:adjustRightInd w:val="0"/>
      <w:snapToGrid w:val="0"/>
    </w:pPr>
    <w:rPr>
      <w:sz w:val="24"/>
      <w:szCs w:val="21"/>
    </w:rPr>
  </w:style>
  <w:style w:type="paragraph" w:customStyle="1" w:styleId="40">
    <w:name w:val="HtmlNormal"/>
    <w:basedOn w:val="1"/>
    <w:qFormat/>
    <w:uiPriority w:val="0"/>
    <w:pPr>
      <w:spacing w:before="100" w:beforeAutospacing="1" w:after="100" w:afterAutospacing="1"/>
      <w:jc w:val="left"/>
    </w:pPr>
    <w:rPr>
      <w:rFonts w:ascii="宋体" w:hAnsi="宋体"/>
      <w:sz w:val="24"/>
    </w:rPr>
  </w:style>
  <w:style w:type="character" w:customStyle="1" w:styleId="41">
    <w:name w:val="NormalCharacter"/>
    <w:semiHidden/>
    <w:qFormat/>
    <w:uiPriority w:val="0"/>
    <w:rPr>
      <w:rFonts w:hint="default"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3091</Words>
  <Characters>3438</Characters>
  <Lines>8</Lines>
  <Paragraphs>2</Paragraphs>
  <TotalTime>0</TotalTime>
  <ScaleCrop>false</ScaleCrop>
  <LinksUpToDate>false</LinksUpToDate>
  <CharactersWithSpaces>3468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2021-07-26T02:20:00Z</dcterms:created>
  <dc:creator>Administrator</dc:creator>
  <cp:lastModifiedBy>JINBOBOYa_</cp:lastModifiedBy>
  <cp:lastPrinted>2024-07-12T06:33:00Z</cp:lastPrinted>
  <dcterms:modified xsi:type="dcterms:W3CDTF">2025-09-18T01:13:46Z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9906C15920F7404B906EE190C894D27B_13</vt:lpwstr>
  </property>
  <property fmtid="{D5CDD505-2E9C-101B-9397-08002B2CF9AE}" pid="4" name="KSOTemplateDocerSaveRecord">
    <vt:lpwstr>eyJoZGlkIjoiOWY4NGY1ZWY1MmM3YWM2YWI0NmRlNzJhNTBjZWE2YWEiLCJ1c2VySWQiOiIyMTE4Nzg4NTgifQ==</vt:lpwstr>
  </property>
</Properties>
</file>