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如有建议或意见，请以书面形式并加盖公章、注明联系人、联系方式，于202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9</w:t>
      </w:r>
      <w:r>
        <w:rPr>
          <w:rFonts w:hint="eastAsia" w:ascii="宋体" w:hAnsi="宋体" w:eastAsia="宋体"/>
          <w:b/>
          <w:bCs/>
          <w:sz w:val="24"/>
          <w:szCs w:val="24"/>
        </w:rPr>
        <w:t>月</w:t>
      </w:r>
      <w:r>
        <w:rPr>
          <w:rFonts w:hint="eastAsia" w:ascii="宋体" w:hAnsi="宋体"/>
          <w:b/>
          <w:bCs/>
          <w:sz w:val="24"/>
          <w:szCs w:val="24"/>
          <w:lang w:val="en-US" w:eastAsia="zh-CN"/>
        </w:rPr>
        <w:t>25</w:t>
      </w:r>
      <w:r>
        <w:rPr>
          <w:rFonts w:hint="eastAsia" w:ascii="宋体" w:hAnsi="宋体" w:eastAsia="宋体"/>
          <w:b/>
          <w:bCs/>
          <w:sz w:val="24"/>
          <w:szCs w:val="24"/>
        </w:rPr>
        <w:t>日17:00之前送至代理机构处，逾期不受理（如邮寄，202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9</w:t>
      </w:r>
      <w:r>
        <w:rPr>
          <w:rFonts w:hint="eastAsia" w:ascii="宋体" w:hAnsi="宋体" w:eastAsia="宋体"/>
          <w:b/>
          <w:bCs/>
          <w:sz w:val="24"/>
          <w:szCs w:val="24"/>
        </w:rPr>
        <w:t>月</w:t>
      </w:r>
      <w:r>
        <w:rPr>
          <w:rFonts w:hint="eastAsia" w:ascii="宋体" w:hAnsi="宋体"/>
          <w:b/>
          <w:bCs/>
          <w:sz w:val="24"/>
          <w:szCs w:val="24"/>
          <w:lang w:val="en-US" w:eastAsia="zh-CN"/>
        </w:rPr>
        <w:t>25</w:t>
      </w:r>
      <w:r>
        <w:rPr>
          <w:rFonts w:hint="eastAsia" w:ascii="宋体" w:hAnsi="宋体" w:eastAsia="宋体"/>
          <w:b/>
          <w:bCs/>
          <w:sz w:val="24"/>
          <w:szCs w:val="24"/>
        </w:rPr>
        <w:t>日17:00之后到达本公司的邮件将不再受理。）</w:t>
      </w:r>
    </w:p>
    <w:p>
      <w:pPr>
        <w:rPr>
          <w:rFonts w:hint="eastAsia" w:ascii="方正小标宋_GBK" w:hAnsi="方正小标宋_GBK" w:eastAsia="方正小标宋_GBK" w:cs="方正小标宋_GBK"/>
          <w:b/>
          <w:color w:val="auto"/>
          <w:sz w:val="42"/>
          <w:szCs w:val="42"/>
          <w:highlight w:val="none"/>
          <w:lang w:val="en-US" w:eastAsia="zh-CN"/>
        </w:rPr>
      </w:pPr>
      <w:r>
        <w:rPr>
          <w:rFonts w:hint="eastAsia" w:ascii="方正小标宋_GBK" w:hAnsi="方正小标宋_GBK" w:eastAsia="方正小标宋_GBK" w:cs="方正小标宋_GBK"/>
          <w:b/>
          <w:color w:val="auto"/>
          <w:sz w:val="42"/>
          <w:szCs w:val="42"/>
          <w:highlight w:val="none"/>
          <w:lang w:val="en-US" w:eastAsia="zh-CN"/>
        </w:rPr>
        <w:br w:type="page"/>
      </w:r>
      <w:bookmarkStart w:id="0" w:name="_GoBack"/>
      <w:bookmarkEnd w:id="0"/>
    </w:p>
    <w:p>
      <w:pPr>
        <w:spacing w:before="120" w:after="120" w:line="400" w:lineRule="exact"/>
        <w:jc w:val="center"/>
        <w:rPr>
          <w:rFonts w:hint="eastAsia" w:ascii="方正小标宋_GBK" w:hAnsi="方正小标宋_GBK" w:eastAsia="方正小标宋_GBK" w:cs="方正小标宋_GBK"/>
          <w:b/>
          <w:color w:val="auto"/>
          <w:sz w:val="42"/>
          <w:szCs w:val="42"/>
          <w:highlight w:val="none"/>
          <w:lang w:val="en-US" w:eastAsia="zh-CN"/>
        </w:rPr>
      </w:pPr>
      <w:r>
        <w:rPr>
          <w:rFonts w:hint="eastAsia" w:ascii="方正小标宋_GBK" w:hAnsi="方正小标宋_GBK" w:eastAsia="方正小标宋_GBK" w:cs="方正小标宋_GBK"/>
          <w:b/>
          <w:color w:val="auto"/>
          <w:sz w:val="42"/>
          <w:szCs w:val="42"/>
          <w:highlight w:val="none"/>
          <w:lang w:val="en-US" w:eastAsia="zh-CN"/>
        </w:rPr>
        <w:t>采购需求</w:t>
      </w:r>
    </w:p>
    <w:p>
      <w:pPr>
        <w:spacing w:line="520" w:lineRule="exact"/>
        <w:ind w:firstLine="560"/>
        <w:jc w:val="left"/>
        <w:rPr>
          <w:rFonts w:hint="eastAsia" w:ascii="方正黑体_GBK" w:hAnsi="方正黑体_GBK" w:eastAsia="方正黑体_GBK" w:cs="方正黑体_GBK"/>
          <w:b/>
          <w:bCs/>
          <w:color w:val="auto"/>
          <w:sz w:val="34"/>
          <w:szCs w:val="34"/>
          <w:highlight w:val="white"/>
          <w:lang w:val="en-US" w:eastAsia="zh-CN"/>
        </w:rPr>
      </w:pPr>
      <w:r>
        <w:rPr>
          <w:rFonts w:hint="eastAsia" w:ascii="方正黑体_GBK" w:hAnsi="方正黑体_GBK" w:eastAsia="方正黑体_GBK" w:cs="方正黑体_GBK"/>
          <w:b/>
          <w:bCs/>
          <w:color w:val="auto"/>
          <w:sz w:val="34"/>
          <w:szCs w:val="34"/>
          <w:highlight w:val="white"/>
          <w:lang w:val="en-US" w:eastAsia="zh-CN"/>
        </w:rPr>
        <w:t>一、本项目采购预算金额如下</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本项目不接受超过1250万元人民币的投标报价；服务期限为3年。</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总报价包括人工费、资料费、服装、清扫工具、耗材、相关税金、合理利润以及投标人认为完成本项目所需要的其他费用等。招标人不再支付报价以外的任何费用。</w:t>
      </w:r>
    </w:p>
    <w:p>
      <w:pPr>
        <w:spacing w:line="520" w:lineRule="exact"/>
        <w:ind w:firstLine="560"/>
        <w:jc w:val="left"/>
        <w:rPr>
          <w:rFonts w:hint="eastAsia" w:ascii="方正黑体_GBK" w:hAnsi="方正黑体_GBK" w:eastAsia="方正黑体_GBK" w:cs="方正黑体_GBK"/>
          <w:b/>
          <w:bCs/>
          <w:color w:val="auto"/>
          <w:sz w:val="34"/>
          <w:szCs w:val="34"/>
          <w:highlight w:val="white"/>
          <w:lang w:val="en-US" w:eastAsia="zh-CN"/>
        </w:rPr>
      </w:pPr>
      <w:r>
        <w:rPr>
          <w:rFonts w:hint="eastAsia" w:ascii="方正黑体_GBK" w:hAnsi="方正黑体_GBK" w:eastAsia="方正黑体_GBK" w:cs="方正黑体_GBK"/>
          <w:b/>
          <w:bCs/>
          <w:color w:val="auto"/>
          <w:sz w:val="34"/>
          <w:szCs w:val="34"/>
          <w:highlight w:val="white"/>
          <w:lang w:val="en-US" w:eastAsia="zh-CN"/>
        </w:rPr>
        <w:t>二、项目概况</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沛县河口镇环卫保洁市场化服务项目，结合我镇实际情况，构建全区域日常保洁包含主副镇区保洁、18个行政村81个自然村全域村庄保洁、全域95个公厕保洁、镇域内沛敬路、五河路、徐丰路、龙河路、沛敬路至张庄路共5条重点道路保洁；全域垃圾收转运体系，中转站运行，垃圾收集运输和垃圾分类设施管护运营等市场化运行体系。</w:t>
      </w:r>
    </w:p>
    <w:p>
      <w:pPr>
        <w:spacing w:line="520" w:lineRule="exact"/>
        <w:ind w:firstLine="560"/>
        <w:jc w:val="left"/>
        <w:rPr>
          <w:rFonts w:hint="eastAsia" w:ascii="方正黑体_GBK" w:hAnsi="方正黑体_GBK" w:eastAsia="方正黑体_GBK" w:cs="方正黑体_GBK"/>
          <w:b/>
          <w:bCs/>
          <w:color w:val="auto"/>
          <w:sz w:val="34"/>
          <w:szCs w:val="34"/>
          <w:highlight w:val="white"/>
          <w:lang w:val="en-US" w:eastAsia="zh-CN"/>
        </w:rPr>
      </w:pPr>
      <w:r>
        <w:rPr>
          <w:rFonts w:hint="eastAsia" w:ascii="方正黑体_GBK" w:hAnsi="方正黑体_GBK" w:eastAsia="方正黑体_GBK" w:cs="方正黑体_GBK"/>
          <w:b/>
          <w:bCs/>
          <w:color w:val="auto"/>
          <w:sz w:val="34"/>
          <w:szCs w:val="34"/>
          <w:highlight w:val="white"/>
          <w:lang w:val="en-US" w:eastAsia="zh-CN"/>
        </w:rPr>
        <w:t>三、项目实施范围</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河口镇全辖区范围</w:t>
      </w:r>
    </w:p>
    <w:p>
      <w:pPr>
        <w:spacing w:line="520" w:lineRule="exact"/>
        <w:ind w:firstLine="560"/>
        <w:jc w:val="left"/>
        <w:rPr>
          <w:rFonts w:hint="eastAsia" w:ascii="方正黑体_GBK" w:hAnsi="方正黑体_GBK" w:eastAsia="方正黑体_GBK" w:cs="方正黑体_GBK"/>
          <w:b/>
          <w:bCs/>
          <w:color w:val="auto"/>
          <w:sz w:val="34"/>
          <w:szCs w:val="34"/>
          <w:highlight w:val="white"/>
          <w:lang w:val="en-US" w:eastAsia="zh-CN"/>
        </w:rPr>
      </w:pPr>
      <w:r>
        <w:rPr>
          <w:rFonts w:hint="eastAsia" w:ascii="方正黑体_GBK" w:hAnsi="方正黑体_GBK" w:eastAsia="方正黑体_GBK" w:cs="方正黑体_GBK"/>
          <w:b/>
          <w:bCs/>
          <w:color w:val="auto"/>
          <w:sz w:val="34"/>
          <w:szCs w:val="34"/>
          <w:highlight w:val="white"/>
          <w:lang w:val="en-US" w:eastAsia="zh-CN"/>
        </w:rPr>
        <w:t>四、项目实施内容</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构建全区域日常保洁包含主副镇区保洁、18个行政村81个自然村全域村庄保洁、全域95个公厕保洁、镇域内沛敬路、五河路、徐丰路、龙河路、沛敬路至张庄路共5条重点道路保洁；全域垃圾收转运体系，中转站运行，垃圾收集运输和垃圾分类设施管护运营等市场化运行体系。</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rPr>
        <w:t>1、</w:t>
      </w:r>
      <w:r>
        <w:rPr>
          <w:rFonts w:hint="eastAsia" w:ascii="方正楷体_GBK" w:hAnsi="方正楷体_GBK" w:eastAsia="方正楷体_GBK" w:cs="方正楷体_GBK"/>
          <w:color w:val="auto"/>
          <w:sz w:val="34"/>
          <w:szCs w:val="34"/>
          <w:highlight w:val="white"/>
          <w:lang w:val="en-US" w:eastAsia="zh-CN"/>
        </w:rPr>
        <w:t>作业范围</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（一）河口镇区、孟庄副镇区的保洁</w:t>
      </w:r>
    </w:p>
    <w:p>
      <w:pPr>
        <w:spacing w:line="520" w:lineRule="exact"/>
        <w:ind w:firstLine="560"/>
        <w:jc w:val="left"/>
        <w:rPr>
          <w:rFonts w:hint="eastAsia" w:ascii="方正仿宋_GBK" w:hAnsi="方正仿宋_GBK" w:eastAsia="方正仿宋_GBK" w:cs="方正仿宋_GBK"/>
          <w:color w:val="auto"/>
          <w:sz w:val="34"/>
          <w:szCs w:val="34"/>
          <w:highlight w:val="white"/>
          <w:lang w:eastAsia="zh-CN"/>
        </w:rPr>
      </w:pPr>
      <w:r>
        <w:rPr>
          <w:rFonts w:hint="eastAsia" w:ascii="方正仿宋_GBK" w:hAnsi="方正仿宋_GBK" w:eastAsia="方正仿宋_GBK" w:cs="方正仿宋_GBK"/>
          <w:color w:val="auto"/>
          <w:sz w:val="34"/>
          <w:szCs w:val="34"/>
          <w:highlight w:val="white"/>
          <w:lang w:val="en-US" w:eastAsia="zh-CN"/>
        </w:rPr>
        <w:t>主副</w:t>
      </w:r>
      <w:r>
        <w:rPr>
          <w:rFonts w:hint="eastAsia" w:ascii="方正仿宋_GBK" w:hAnsi="方正仿宋_GBK" w:eastAsia="方正仿宋_GBK" w:cs="方正仿宋_GBK"/>
          <w:color w:val="auto"/>
          <w:sz w:val="34"/>
          <w:szCs w:val="34"/>
          <w:highlight w:val="white"/>
        </w:rPr>
        <w:t>镇区的主次道路、背街小巷、绿化带、河塘沟渠等公共区域</w:t>
      </w:r>
      <w:r>
        <w:rPr>
          <w:rFonts w:hint="eastAsia" w:ascii="方正仿宋_GBK" w:hAnsi="方正仿宋_GBK" w:eastAsia="方正仿宋_GBK" w:cs="方正仿宋_GBK"/>
          <w:color w:val="auto"/>
          <w:sz w:val="34"/>
          <w:szCs w:val="34"/>
          <w:highlight w:val="white"/>
          <w:lang w:eastAsia="zh-CN"/>
        </w:rPr>
        <w:t>（</w:t>
      </w:r>
      <w:r>
        <w:rPr>
          <w:rFonts w:hint="eastAsia" w:ascii="方正仿宋_GBK" w:hAnsi="方正仿宋_GBK" w:eastAsia="方正仿宋_GBK" w:cs="方正仿宋_GBK"/>
          <w:color w:val="auto"/>
          <w:sz w:val="34"/>
          <w:szCs w:val="34"/>
          <w:highlight w:val="white"/>
          <w:lang w:val="en-US" w:eastAsia="zh-CN"/>
        </w:rPr>
        <w:t>以责任图划定界限为准</w:t>
      </w:r>
      <w:r>
        <w:rPr>
          <w:rFonts w:hint="eastAsia" w:ascii="方正仿宋_GBK" w:hAnsi="方正仿宋_GBK" w:eastAsia="方正仿宋_GBK" w:cs="方正仿宋_GBK"/>
          <w:color w:val="auto"/>
          <w:sz w:val="34"/>
          <w:szCs w:val="34"/>
          <w:highlight w:val="white"/>
          <w:lang w:eastAsia="zh-CN"/>
        </w:rPr>
        <w:t>）</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河口镇区：</w:t>
      </w:r>
      <w:r>
        <w:rPr>
          <w:rFonts w:hint="eastAsia" w:ascii="方正仿宋_GBK" w:hAnsi="方正仿宋_GBK" w:eastAsia="方正仿宋_GBK" w:cs="方正仿宋_GBK"/>
          <w:color w:val="auto"/>
          <w:sz w:val="34"/>
          <w:szCs w:val="34"/>
          <w:highlight w:val="white"/>
          <w:lang w:val="en-US" w:eastAsia="zh-CN"/>
        </w:rPr>
        <w:t>兴河路、民惠路、丰河路、民安路、振河路、盛河路、民强路、润河路、民庆路、苏北商贸城、阳光小区、供销小区和金友御园小区（烂尾）围墙北侧与河口村城乡结合部和镇区游园等公共区域。</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孟庄副镇区：</w:t>
      </w:r>
      <w:r>
        <w:rPr>
          <w:rFonts w:hint="eastAsia" w:ascii="方正仿宋_GBK" w:hAnsi="方正仿宋_GBK" w:eastAsia="方正仿宋_GBK" w:cs="方正仿宋_GBK"/>
          <w:color w:val="auto"/>
          <w:sz w:val="34"/>
          <w:szCs w:val="34"/>
          <w:highlight w:val="white"/>
          <w:lang w:val="en-US" w:eastAsia="zh-CN"/>
        </w:rPr>
        <w:t>文卫路、创富路、中心街、孟庄新村、家家乐小区和孟庄游园等公共区域。</w:t>
      </w:r>
    </w:p>
    <w:p>
      <w:pPr>
        <w:spacing w:line="520" w:lineRule="exact"/>
        <w:ind w:firstLine="560"/>
        <w:jc w:val="left"/>
        <w:rPr>
          <w:rFonts w:hint="eastAsia" w:ascii="方正仿宋_GBK" w:hAnsi="方正仿宋_GBK" w:eastAsia="方正仿宋_GBK" w:cs="方正仿宋_GBK"/>
          <w:color w:val="auto"/>
          <w:sz w:val="34"/>
          <w:szCs w:val="34"/>
          <w:highlight w:val="white"/>
        </w:rPr>
      </w:pPr>
      <w:r>
        <w:rPr>
          <w:rFonts w:hint="eastAsia" w:ascii="方正仿宋_GBK" w:hAnsi="方正仿宋_GBK" w:eastAsia="方正仿宋_GBK" w:cs="方正仿宋_GBK"/>
          <w:color w:val="auto"/>
          <w:sz w:val="34"/>
          <w:szCs w:val="34"/>
          <w:highlight w:val="white"/>
        </w:rPr>
        <w:t>保洁作业采取人工清扫和机械化保洁相结合的方式。每天早上7点前完成道路普扫后，转入正常巡回保洁,巡回保洁时间内，不得出现断档期。镇区主次街道机扫每天至少2遍，最低气温高于零摄氏度的天气，洒水每天不低于</w:t>
      </w:r>
      <w:r>
        <w:rPr>
          <w:rFonts w:hint="eastAsia" w:ascii="方正仿宋_GBK" w:hAnsi="方正仿宋_GBK" w:eastAsia="方正仿宋_GBK" w:cs="方正仿宋_GBK"/>
          <w:color w:val="auto"/>
          <w:sz w:val="34"/>
          <w:szCs w:val="34"/>
          <w:highlight w:val="white"/>
          <w:lang w:val="en-US" w:eastAsia="zh-CN"/>
        </w:rPr>
        <w:t>3</w:t>
      </w:r>
      <w:r>
        <w:rPr>
          <w:rFonts w:hint="eastAsia" w:ascii="方正仿宋_GBK" w:hAnsi="方正仿宋_GBK" w:eastAsia="方正仿宋_GBK" w:cs="方正仿宋_GBK"/>
          <w:color w:val="auto"/>
          <w:sz w:val="34"/>
          <w:szCs w:val="34"/>
          <w:highlight w:val="white"/>
        </w:rPr>
        <w:t>遍。镇区主次道路两侧及背街小巷、绿化带内实行巡回保洁，垃圾、纸质野广告及时清理，确保干净整洁。实行单班制作业，作业时间为夏季上午6:00-11:00，下午2:30—6:30；冬季上午6:30-11:30，下午1:30—5:30。作业时间内保洁人员统一着标志服，保洁工具齐全。</w:t>
      </w:r>
    </w:p>
    <w:p>
      <w:pPr>
        <w:spacing w:line="520" w:lineRule="exact"/>
        <w:ind w:firstLine="560"/>
        <w:jc w:val="left"/>
        <w:rPr>
          <w:rFonts w:hint="default"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（二）18个行政村81个自然村垃圾清运及保洁</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主副镇区以自然村为单位，根据实际需求设置不同数量的垃圾分类亭和垃圾收集暂存点，</w:t>
      </w:r>
      <w:r>
        <w:rPr>
          <w:rFonts w:hint="eastAsia" w:ascii="方正仿宋_GBK" w:hAnsi="方正仿宋_GBK" w:eastAsia="方正仿宋_GBK" w:cs="方正仿宋_GBK"/>
          <w:color w:val="auto"/>
          <w:sz w:val="34"/>
          <w:szCs w:val="34"/>
          <w:highlight w:val="white"/>
          <w:lang w:eastAsia="zh-CN"/>
        </w:rPr>
        <w:t>市场化公司负责</w:t>
      </w:r>
      <w:r>
        <w:rPr>
          <w:rFonts w:hint="eastAsia" w:ascii="方正仿宋_GBK" w:hAnsi="方正仿宋_GBK" w:eastAsia="方正仿宋_GBK" w:cs="方正仿宋_GBK"/>
          <w:color w:val="auto"/>
          <w:sz w:val="34"/>
          <w:szCs w:val="34"/>
          <w:highlight w:val="white"/>
          <w:lang w:val="en-US" w:eastAsia="zh-CN"/>
        </w:rPr>
        <w:t>垃圾转运，做到</w:t>
      </w:r>
      <w:r>
        <w:rPr>
          <w:rFonts w:hint="eastAsia" w:ascii="方正仿宋_GBK" w:hAnsi="方正仿宋_GBK" w:eastAsia="方正仿宋_GBK" w:cs="方正仿宋_GBK"/>
          <w:color w:val="auto"/>
          <w:sz w:val="34"/>
          <w:szCs w:val="34"/>
          <w:highlight w:val="white"/>
        </w:rPr>
        <w:t>垃圾日产日清</w:t>
      </w:r>
      <w:r>
        <w:rPr>
          <w:rFonts w:hint="eastAsia" w:ascii="方正仿宋_GBK" w:hAnsi="方正仿宋_GBK" w:eastAsia="方正仿宋_GBK" w:cs="方正仿宋_GBK"/>
          <w:color w:val="auto"/>
          <w:sz w:val="34"/>
          <w:szCs w:val="34"/>
          <w:highlight w:val="white"/>
          <w:lang w:val="en-US" w:eastAsia="zh-CN"/>
        </w:rPr>
        <w:t>。村民分类投放的生活垃圾严格按照“不同垃圾、不同车辆、不同去向”的原则，实施分类转运，将其他垃圾和厨余垃圾送至垃圾分类中转房后，其他垃圾用压缩车转运至镇垃圾中转站，经再次压缩后送至县垃圾焚烧发电厂。厨余垃圾由保洁员使用厨余垃圾收运车送至附近村庄厌氧发酵池或阳光堆肥房。有害垃圾送至镇有害垃圾归集点，可回收物送至镇大件垃圾和可回收物分拣中心。确定好3辆垃圾车的转运时间、区域和路线及时给镇报备。</w:t>
      </w:r>
    </w:p>
    <w:p>
      <w:pPr>
        <w:pStyle w:val="4"/>
        <w:ind w:firstLine="680" w:firstLineChars="200"/>
        <w:rPr>
          <w:rFonts w:hint="default" w:ascii="方正仿宋_GBK" w:hAnsi="方正仿宋_GBK" w:eastAsia="方正仿宋_GBK" w:cs="方正仿宋_GBK"/>
          <w:color w:val="auto"/>
          <w:sz w:val="34"/>
          <w:szCs w:val="34"/>
          <w:highlight w:val="white"/>
          <w:u w:val="none"/>
          <w:lang w:val="en-US" w:eastAsia="zh-CN" w:bidi="ar-SA"/>
        </w:rPr>
      </w:pPr>
      <w:r>
        <w:rPr>
          <w:rFonts w:hint="eastAsia" w:ascii="方正仿宋_GBK" w:hAnsi="方正仿宋_GBK" w:eastAsia="方正仿宋_GBK" w:cs="方正仿宋_GBK"/>
          <w:color w:val="auto"/>
          <w:sz w:val="34"/>
          <w:szCs w:val="34"/>
          <w:highlight w:val="white"/>
          <w:u w:val="none"/>
          <w:lang w:val="en-US" w:eastAsia="zh-CN" w:bidi="ar-SA"/>
        </w:rPr>
        <w:t>村庄内保洁采取上门搜集户垃圾，村庄道路采取普扫和巡回保洁的方式，每周道路普扫至少2遍,巡回保洁不得出现断档期。村庄内干净、整洁、有序，道路、坑塘、沟渠、房前屋后等区域做到无垃圾，无乱贴乱画。</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（三）公厕管理</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全镇共计95座公厕，其中主副镇区6座，村庄89座。</w:t>
      </w:r>
      <w:r>
        <w:rPr>
          <w:rFonts w:hint="eastAsia" w:ascii="方正仿宋_GBK" w:hAnsi="方正仿宋_GBK" w:eastAsia="方正仿宋_GBK" w:cs="方正仿宋_GBK"/>
          <w:color w:val="auto"/>
          <w:sz w:val="34"/>
          <w:szCs w:val="34"/>
          <w:highlight w:val="white"/>
        </w:rPr>
        <w:t>实现全天候开放，全时段保洁。做到定时消杀、无异味，每周至少1次消毒除臭，夏秋季节和疫情期间，应增加消毒次数；地面清洁、无积水、无纸屑烟头等杂物，每天上下午各应打扫、冲刷不少于2次，清理废弃物收集容器不少于1次，人流量大的公厕应增加清理频次；墙面、天花板、门窗、洗手盆、隔板整洁，无乱涂乱画、无污迹、无积灰、无蜘蛛网，每天清理不少于1次；小便池、大便槽（蹲坑）保持整洁，无蝇蛆孳生、无堵塞、满溢等现象，无明显生锈、尿垢、粪迹、垃圾，管道畅通，每天上下午各应打扫、冲刷不少于2次，蚊蝇孳生季节应定时喷洒灭蚊蝇药物；公厕周边环境干净整洁，每天保洁不少于1次，化粪池应及时抽取，杜绝粪污满溢。</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（四）重点道路保洁</w:t>
      </w:r>
    </w:p>
    <w:p>
      <w:pPr>
        <w:spacing w:line="520" w:lineRule="exact"/>
        <w:ind w:firstLine="560"/>
        <w:jc w:val="left"/>
        <w:rPr>
          <w:rFonts w:hint="eastAsia" w:ascii="方正仿宋_GBK" w:hAnsi="方正仿宋_GBK" w:eastAsia="方正仿宋_GBK" w:cs="方正仿宋_GBK"/>
          <w:color w:val="auto"/>
          <w:sz w:val="34"/>
          <w:szCs w:val="34"/>
          <w:highlight w:val="white"/>
        </w:rPr>
      </w:pPr>
      <w:r>
        <w:rPr>
          <w:rFonts w:hint="eastAsia" w:ascii="方正仿宋_GBK" w:hAnsi="方正仿宋_GBK" w:eastAsia="方正仿宋_GBK" w:cs="方正仿宋_GBK"/>
          <w:color w:val="auto"/>
          <w:sz w:val="34"/>
          <w:szCs w:val="34"/>
          <w:highlight w:val="white"/>
          <w:lang w:val="en-US" w:eastAsia="zh-CN"/>
        </w:rPr>
        <w:t>沛敬路、五河路、徐丰路、龙河路、沛敬路至张庄共5条道路的生活垃圾及生产垃圾保洁，</w:t>
      </w:r>
      <w:r>
        <w:rPr>
          <w:rFonts w:hint="eastAsia" w:ascii="方正仿宋_GBK" w:hAnsi="方正仿宋_GBK" w:eastAsia="方正仿宋_GBK" w:cs="方正仿宋_GBK"/>
          <w:color w:val="auto"/>
          <w:sz w:val="34"/>
          <w:szCs w:val="34"/>
          <w:highlight w:val="white"/>
        </w:rPr>
        <w:t>采取机械化清扫和人工保洁的方式，机扫每周至少1遍，道路及路边沟日常保洁到位</w:t>
      </w:r>
      <w:r>
        <w:rPr>
          <w:rFonts w:hint="eastAsia" w:ascii="方正仿宋_GBK" w:hAnsi="方正仿宋_GBK" w:eastAsia="方正仿宋_GBK" w:cs="方正仿宋_GBK"/>
          <w:color w:val="auto"/>
          <w:sz w:val="34"/>
          <w:szCs w:val="34"/>
          <w:highlight w:val="white"/>
          <w:lang w:val="en-US" w:eastAsia="zh-CN"/>
        </w:rPr>
        <w:t>和积存垃圾的清运</w:t>
      </w:r>
      <w:r>
        <w:rPr>
          <w:rFonts w:hint="eastAsia" w:ascii="方正仿宋_GBK" w:hAnsi="方正仿宋_GBK" w:eastAsia="方正仿宋_GBK" w:cs="方正仿宋_GBK"/>
          <w:color w:val="auto"/>
          <w:sz w:val="34"/>
          <w:szCs w:val="34"/>
          <w:highlight w:val="white"/>
        </w:rPr>
        <w:t>。</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（五）垃圾分类工作厌氧发酵池的管理</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负责吴河村新庄、河申村黄洼、孟三楼村、张李庄梁庄共4座厌氧发酵池的维护管理。负责日常保洁，厨余垃圾的收集处理工作，日常工作记录上报等工作。</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（六）主要河道岸坡保洁</w:t>
      </w:r>
    </w:p>
    <w:p>
      <w:pPr>
        <w:spacing w:line="520" w:lineRule="exact"/>
        <w:ind w:firstLine="560"/>
        <w:jc w:val="left"/>
        <w:rPr>
          <w:rFonts w:hint="eastAsia" w:ascii="方正仿宋_GBK" w:hAnsi="方正仿宋_GBK" w:eastAsia="方正仿宋_GBK" w:cs="方正仿宋_GBK"/>
          <w:color w:val="auto"/>
          <w:sz w:val="34"/>
          <w:szCs w:val="34"/>
          <w:highlight w:val="white"/>
        </w:rPr>
      </w:pPr>
      <w:r>
        <w:rPr>
          <w:rFonts w:hint="eastAsia" w:ascii="方正仿宋_GBK" w:hAnsi="方正仿宋_GBK" w:eastAsia="方正仿宋_GBK" w:cs="方正仿宋_GBK"/>
          <w:color w:val="auto"/>
          <w:sz w:val="34"/>
          <w:szCs w:val="34"/>
          <w:highlight w:val="white"/>
          <w:lang w:val="en-US" w:eastAsia="zh-CN"/>
        </w:rPr>
        <w:t>负责沛敬大沟、徐丰公路沟、龙河公路沟、五河路公路沟两侧岸坡及沛敬大沟和崔孟河的交界处向东西延伸300米两侧岸坡生活垃圾及生产垃圾保洁及清运</w:t>
      </w:r>
      <w:r>
        <w:rPr>
          <w:rFonts w:hint="eastAsia" w:ascii="方正仿宋_GBK" w:hAnsi="方正仿宋_GBK" w:eastAsia="方正仿宋_GBK" w:cs="方正仿宋_GBK"/>
          <w:color w:val="auto"/>
          <w:sz w:val="34"/>
          <w:szCs w:val="34"/>
          <w:highlight w:val="white"/>
        </w:rPr>
        <w:t>。</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rPr>
        <w:t>（</w:t>
      </w:r>
      <w:r>
        <w:rPr>
          <w:rFonts w:hint="eastAsia" w:ascii="方正仿宋_GBK" w:hAnsi="方正仿宋_GBK" w:eastAsia="方正仿宋_GBK" w:cs="方正仿宋_GBK"/>
          <w:b/>
          <w:bCs/>
          <w:color w:val="auto"/>
          <w:sz w:val="34"/>
          <w:szCs w:val="34"/>
          <w:highlight w:val="white"/>
          <w:lang w:val="en-US" w:eastAsia="zh-CN"/>
        </w:rPr>
        <w:t>七</w:t>
      </w:r>
      <w:r>
        <w:rPr>
          <w:rFonts w:hint="eastAsia" w:ascii="方正仿宋_GBK" w:hAnsi="方正仿宋_GBK" w:eastAsia="方正仿宋_GBK" w:cs="方正仿宋_GBK"/>
          <w:b/>
          <w:bCs/>
          <w:color w:val="auto"/>
          <w:sz w:val="34"/>
          <w:szCs w:val="34"/>
          <w:highlight w:val="white"/>
        </w:rPr>
        <w:t>）村庄公共区域及周边</w:t>
      </w:r>
      <w:r>
        <w:rPr>
          <w:rFonts w:hint="eastAsia" w:ascii="方正仿宋_GBK" w:hAnsi="方正仿宋_GBK" w:eastAsia="方正仿宋_GBK" w:cs="方正仿宋_GBK"/>
          <w:b/>
          <w:bCs/>
          <w:color w:val="auto"/>
          <w:sz w:val="34"/>
          <w:szCs w:val="34"/>
          <w:highlight w:val="white"/>
          <w:lang w:val="en-US" w:eastAsia="zh-CN"/>
        </w:rPr>
        <w:t>保洁</w:t>
      </w:r>
    </w:p>
    <w:p>
      <w:pPr>
        <w:spacing w:line="520" w:lineRule="exact"/>
        <w:ind w:firstLine="560"/>
        <w:jc w:val="left"/>
        <w:rPr>
          <w:rFonts w:hint="eastAsia" w:ascii="方正仿宋_GBK" w:hAnsi="方正仿宋_GBK" w:eastAsia="方正仿宋_GBK" w:cs="方正仿宋_GBK"/>
          <w:color w:val="auto"/>
          <w:sz w:val="34"/>
          <w:szCs w:val="34"/>
          <w:highlight w:val="white"/>
        </w:rPr>
      </w:pPr>
      <w:r>
        <w:rPr>
          <w:rFonts w:hint="eastAsia" w:ascii="方正仿宋_GBK" w:hAnsi="方正仿宋_GBK" w:eastAsia="方正仿宋_GBK" w:cs="方正仿宋_GBK"/>
          <w:color w:val="auto"/>
          <w:sz w:val="34"/>
          <w:szCs w:val="34"/>
          <w:highlight w:val="white"/>
        </w:rPr>
        <w:t>采取村庄道路普扫和巡回保洁的方式，每周道路普扫至少2遍,巡回保洁不得出现断档期。村庄内干净、整洁、有序，道路、坑塘、沟渠、房前屋后等区域做到无垃圾，无乱贴乱画。实行单班制作业，作业时间为夏季上午7:00-11:00，下午2:30—6:30；冬季上午7:30-11:30，下午1:30—5:30。作业时间内保洁人员统一着标志服，保洁工具齐全。</w:t>
      </w:r>
      <w:r>
        <w:rPr>
          <w:rFonts w:hint="eastAsia" w:ascii="方正仿宋_GBK" w:hAnsi="方正仿宋_GBK" w:eastAsia="方正仿宋_GBK" w:cs="方正仿宋_GBK"/>
          <w:color w:val="auto"/>
          <w:sz w:val="34"/>
          <w:szCs w:val="34"/>
          <w:highlight w:val="white"/>
          <w:lang w:val="en-US" w:eastAsia="zh-CN"/>
        </w:rPr>
        <w:t>村庄内坑塘</w:t>
      </w:r>
      <w:r>
        <w:rPr>
          <w:rFonts w:hint="eastAsia" w:ascii="方正仿宋_GBK" w:hAnsi="方正仿宋_GBK" w:eastAsia="方正仿宋_GBK" w:cs="方正仿宋_GBK"/>
          <w:color w:val="auto"/>
          <w:sz w:val="34"/>
          <w:szCs w:val="34"/>
          <w:highlight w:val="white"/>
        </w:rPr>
        <w:t>水面、岸坡无垃圾杂物</w:t>
      </w:r>
      <w:r>
        <w:rPr>
          <w:rFonts w:hint="eastAsia" w:ascii="方正仿宋_GBK" w:hAnsi="方正仿宋_GBK" w:eastAsia="方正仿宋_GBK" w:cs="方正仿宋_GBK"/>
          <w:color w:val="auto"/>
          <w:sz w:val="34"/>
          <w:szCs w:val="34"/>
          <w:highlight w:val="white"/>
          <w:lang w:val="en-US" w:eastAsia="zh-CN"/>
        </w:rPr>
        <w:t>，</w:t>
      </w:r>
      <w:r>
        <w:rPr>
          <w:rFonts w:hint="eastAsia" w:ascii="方正仿宋_GBK" w:hAnsi="方正仿宋_GBK" w:eastAsia="方正仿宋_GBK" w:cs="方正仿宋_GBK"/>
          <w:color w:val="auto"/>
          <w:sz w:val="34"/>
          <w:szCs w:val="34"/>
          <w:highlight w:val="white"/>
        </w:rPr>
        <w:t>定期巡回管养到位。</w:t>
      </w:r>
    </w:p>
    <w:p>
      <w:pPr>
        <w:spacing w:line="520" w:lineRule="exact"/>
        <w:ind w:firstLine="560"/>
        <w:jc w:val="left"/>
        <w:rPr>
          <w:rFonts w:hint="eastAsia" w:ascii="方正楷体_GBK" w:hAnsi="方正楷体_GBK" w:eastAsia="方正楷体_GBK" w:cs="方正楷体_GBK"/>
          <w:color w:val="auto"/>
          <w:sz w:val="34"/>
          <w:szCs w:val="34"/>
          <w:highlight w:val="white"/>
          <w:u w:val="none"/>
        </w:rPr>
      </w:pPr>
      <w:r>
        <w:rPr>
          <w:rFonts w:hint="eastAsia" w:ascii="方正楷体_GBK" w:hAnsi="方正楷体_GBK" w:eastAsia="方正楷体_GBK" w:cs="方正楷体_GBK"/>
          <w:color w:val="auto"/>
          <w:sz w:val="34"/>
          <w:szCs w:val="34"/>
          <w:highlight w:val="white"/>
          <w:u w:val="none"/>
          <w:lang w:val="en-US" w:eastAsia="zh-CN"/>
        </w:rPr>
        <w:t>2</w:t>
      </w:r>
      <w:r>
        <w:rPr>
          <w:rFonts w:hint="eastAsia" w:ascii="方正楷体_GBK" w:hAnsi="方正楷体_GBK" w:eastAsia="方正楷体_GBK" w:cs="方正楷体_GBK"/>
          <w:color w:val="auto"/>
          <w:sz w:val="34"/>
          <w:szCs w:val="34"/>
          <w:highlight w:val="white"/>
          <w:u w:val="none"/>
        </w:rPr>
        <w:t>、具体作业项目、作业量详见附件。</w:t>
      </w:r>
    </w:p>
    <w:p>
      <w:pPr>
        <w:spacing w:line="520" w:lineRule="exact"/>
        <w:ind w:firstLine="560"/>
        <w:jc w:val="left"/>
        <w:rPr>
          <w:rFonts w:hint="eastAsia" w:ascii="方正仿宋_GBK" w:hAnsi="方正仿宋_GBK" w:eastAsia="方正仿宋_GBK" w:cs="方正仿宋_GBK"/>
          <w:color w:val="auto"/>
          <w:sz w:val="34"/>
          <w:szCs w:val="34"/>
          <w:highlight w:val="white"/>
        </w:rPr>
      </w:pPr>
      <w:r>
        <w:rPr>
          <w:rFonts w:hint="eastAsia" w:ascii="方正仿宋_GBK" w:hAnsi="方正仿宋_GBK" w:eastAsia="方正仿宋_GBK" w:cs="方正仿宋_GBK"/>
          <w:b/>
          <w:bCs/>
          <w:color w:val="auto"/>
          <w:sz w:val="34"/>
          <w:szCs w:val="34"/>
          <w:highlight w:val="white"/>
          <w:lang w:eastAsia="zh-CN"/>
        </w:rPr>
        <w:t>（</w:t>
      </w:r>
      <w:r>
        <w:rPr>
          <w:rFonts w:hint="eastAsia" w:ascii="方正仿宋_GBK" w:hAnsi="方正仿宋_GBK" w:eastAsia="方正仿宋_GBK" w:cs="方正仿宋_GBK"/>
          <w:b/>
          <w:bCs/>
          <w:color w:val="auto"/>
          <w:sz w:val="34"/>
          <w:szCs w:val="34"/>
          <w:highlight w:val="white"/>
          <w:lang w:val="en-US" w:eastAsia="zh-CN"/>
        </w:rPr>
        <w:t>八</w:t>
      </w:r>
      <w:r>
        <w:rPr>
          <w:rFonts w:hint="eastAsia" w:ascii="方正仿宋_GBK" w:hAnsi="方正仿宋_GBK" w:eastAsia="方正仿宋_GBK" w:cs="方正仿宋_GBK"/>
          <w:b/>
          <w:bCs/>
          <w:color w:val="auto"/>
          <w:sz w:val="34"/>
          <w:szCs w:val="34"/>
          <w:highlight w:val="white"/>
          <w:lang w:eastAsia="zh-CN"/>
        </w:rPr>
        <w:t>）</w:t>
      </w:r>
      <w:r>
        <w:rPr>
          <w:rFonts w:hint="eastAsia" w:ascii="方正仿宋_GBK" w:hAnsi="方正仿宋_GBK" w:eastAsia="方正仿宋_GBK" w:cs="方正仿宋_GBK"/>
          <w:b/>
          <w:bCs/>
          <w:color w:val="auto"/>
          <w:sz w:val="34"/>
          <w:szCs w:val="34"/>
          <w:highlight w:val="white"/>
        </w:rPr>
        <w:t xml:space="preserve"> 作业规范、标准及要求：</w:t>
      </w:r>
      <w:r>
        <w:rPr>
          <w:rFonts w:hint="eastAsia" w:ascii="方正仿宋_GBK" w:hAnsi="方正仿宋_GBK" w:eastAsia="方正仿宋_GBK" w:cs="方正仿宋_GBK"/>
          <w:color w:val="auto"/>
          <w:sz w:val="34"/>
          <w:szCs w:val="34"/>
          <w:highlight w:val="white"/>
        </w:rPr>
        <w:t>作业规范符合但不限于《 江苏省城市环境卫生作业服务质量标准》，《城市道路环卫机械化作业质量标准》、等现行有关法律法规、规章和规范性文件。服务质量和要求详见《徐州市城市环境卫生检查考核实施细则（试行）》。</w:t>
      </w:r>
    </w:p>
    <w:tbl>
      <w:tblPr>
        <w:tblStyle w:val="25"/>
        <w:tblW w:w="846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9"/>
        <w:gridCol w:w="2061"/>
        <w:gridCol w:w="1215"/>
        <w:gridCol w:w="2892"/>
        <w:gridCol w:w="1149"/>
      </w:tblGrid>
      <w:tr>
        <w:tblPrEx>
          <w:shd w:val="clear" w:color="auto" w:fill="auto"/>
          <w:tblLayout w:type="fixed"/>
          <w:tblCellMar>
            <w:top w:w="0" w:type="dxa"/>
            <w:left w:w="108" w:type="dxa"/>
            <w:bottom w:w="0" w:type="dxa"/>
            <w:right w:w="108" w:type="dxa"/>
          </w:tblCellMar>
        </w:tblPrEx>
        <w:trPr>
          <w:trHeight w:val="620" w:hRule="atLeast"/>
        </w:trPr>
        <w:tc>
          <w:tcPr>
            <w:tcW w:w="846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6"/>
                <w:szCs w:val="36"/>
                <w:u w:val="none"/>
              </w:rPr>
            </w:pPr>
            <w:r>
              <w:rPr>
                <w:rFonts w:hint="eastAsia" w:ascii="方正仿宋_GBK" w:hAnsi="方正仿宋_GBK" w:eastAsia="方正仿宋_GBK" w:cs="方正仿宋_GBK"/>
                <w:b/>
                <w:bCs/>
                <w:i w:val="0"/>
                <w:iCs w:val="0"/>
                <w:color w:val="000000"/>
                <w:kern w:val="0"/>
                <w:sz w:val="34"/>
                <w:szCs w:val="34"/>
                <w:u w:val="none"/>
                <w:lang w:val="en-US" w:eastAsia="zh-CN" w:bidi="ar"/>
              </w:rPr>
              <w:t>河口公厕明细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序号</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行政村名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岗位</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自然村名</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孟庄街道</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游园公厕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206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河口街道</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医院旁</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w:t>
            </w:r>
          </w:p>
        </w:tc>
        <w:tc>
          <w:tcPr>
            <w:tcW w:w="20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菜市场</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w:t>
            </w:r>
          </w:p>
        </w:tc>
        <w:tc>
          <w:tcPr>
            <w:tcW w:w="20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民主小区</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w:t>
            </w:r>
          </w:p>
        </w:tc>
        <w:tc>
          <w:tcPr>
            <w:tcW w:w="20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邮局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w:t>
            </w:r>
          </w:p>
        </w:tc>
        <w:tc>
          <w:tcPr>
            <w:tcW w:w="20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党委院内公厕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河口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西丁楼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申庄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河口村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秦庄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申前庄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黄庄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黄庄村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罗元</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腾楼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吴河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吕庄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小赵庄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东陈庙</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西陈庙</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前吴河</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后吴河</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李集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李集</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焦庄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大队前公厕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赵胡楼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东丁楼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封皇庄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封皇村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大队部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义和村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w:t>
            </w:r>
          </w:p>
        </w:tc>
        <w:tc>
          <w:tcPr>
            <w:tcW w:w="206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河申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田楼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w:t>
            </w:r>
          </w:p>
        </w:tc>
        <w:tc>
          <w:tcPr>
            <w:tcW w:w="20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黄洼村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w:t>
            </w:r>
          </w:p>
        </w:tc>
        <w:tc>
          <w:tcPr>
            <w:tcW w:w="20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河申村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w:t>
            </w:r>
          </w:p>
        </w:tc>
        <w:tc>
          <w:tcPr>
            <w:tcW w:w="20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大张庄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w:t>
            </w:r>
          </w:p>
        </w:tc>
        <w:tc>
          <w:tcPr>
            <w:tcW w:w="20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小张庄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田堤口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田堤口</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丁安子</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43</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王庙</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44</w:t>
            </w:r>
          </w:p>
        </w:tc>
        <w:tc>
          <w:tcPr>
            <w:tcW w:w="2061"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燕湾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秦楼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45</w:t>
            </w:r>
          </w:p>
        </w:tc>
        <w:tc>
          <w:tcPr>
            <w:tcW w:w="206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常庄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46</w:t>
            </w:r>
          </w:p>
        </w:tc>
        <w:tc>
          <w:tcPr>
            <w:tcW w:w="206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燕湾北</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47</w:t>
            </w:r>
          </w:p>
        </w:tc>
        <w:tc>
          <w:tcPr>
            <w:tcW w:w="206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燕湾南</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48</w:t>
            </w:r>
          </w:p>
        </w:tc>
        <w:tc>
          <w:tcPr>
            <w:tcW w:w="206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孟集</w:t>
            </w:r>
          </w:p>
        </w:tc>
        <w:tc>
          <w:tcPr>
            <w:tcW w:w="12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孟集</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49</w:t>
            </w:r>
          </w:p>
        </w:tc>
        <w:tc>
          <w:tcPr>
            <w:tcW w:w="20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三坐楼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袁圩子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袁圩子</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51</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吕楼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52</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53</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房庙</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54</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半楼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55</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丁溜村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前丁溜</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56</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后丁溜</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57</w:t>
            </w:r>
          </w:p>
        </w:tc>
        <w:tc>
          <w:tcPr>
            <w:tcW w:w="2061" w:type="dxa"/>
            <w:vMerge w:val="restart"/>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盖庄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58</w:t>
            </w:r>
          </w:p>
        </w:tc>
        <w:tc>
          <w:tcPr>
            <w:tcW w:w="206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岳庄公厕</w:t>
            </w:r>
          </w:p>
        </w:tc>
        <w:tc>
          <w:tcPr>
            <w:tcW w:w="1149" w:type="dxa"/>
            <w:tcBorders>
              <w:top w:val="nil"/>
              <w:left w:val="nil"/>
              <w:bottom w:val="nil"/>
              <w:right w:val="nil"/>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59</w:t>
            </w:r>
          </w:p>
        </w:tc>
        <w:tc>
          <w:tcPr>
            <w:tcW w:w="206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前张集</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60</w:t>
            </w:r>
          </w:p>
        </w:tc>
        <w:tc>
          <w:tcPr>
            <w:tcW w:w="206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后张集</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61</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孟三楼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孟三楼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62</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封楼北</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63</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封楼西</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64</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孟楼西</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65</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66</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高场</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67</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孟楼东</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68</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桑寺</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69</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封楼东</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70</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共和大队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共和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71</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崔堤口</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72</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油坊</w:t>
            </w:r>
          </w:p>
        </w:tc>
        <w:tc>
          <w:tcPr>
            <w:tcW w:w="1149" w:type="dxa"/>
            <w:tcBorders>
              <w:top w:val="nil"/>
              <w:left w:val="nil"/>
              <w:bottom w:val="nil"/>
              <w:right w:val="nil"/>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73</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大队部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74</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后吕楼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75</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张李庄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张李庄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76</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77</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小吕庄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78</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董楼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79</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80</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杜庄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81</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梁庄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82</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义和村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83</w:t>
            </w:r>
          </w:p>
        </w:tc>
        <w:tc>
          <w:tcPr>
            <w:tcW w:w="206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朱楼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朱楼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84</w:t>
            </w:r>
          </w:p>
        </w:tc>
        <w:tc>
          <w:tcPr>
            <w:tcW w:w="20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吕辛庄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85</w:t>
            </w:r>
          </w:p>
        </w:tc>
        <w:tc>
          <w:tcPr>
            <w:tcW w:w="20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位宅子</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86</w:t>
            </w:r>
          </w:p>
        </w:tc>
        <w:tc>
          <w:tcPr>
            <w:tcW w:w="20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丁湾</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87</w:t>
            </w:r>
          </w:p>
        </w:tc>
        <w:tc>
          <w:tcPr>
            <w:tcW w:w="20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88</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郑庄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郑庄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89</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许楼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91</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孔堤口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刘堤口</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92</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孔堤口</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93</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闵堤口</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94</w:t>
            </w: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公厕</w:t>
            </w:r>
          </w:p>
        </w:tc>
        <w:tc>
          <w:tcPr>
            <w:tcW w:w="28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郭庄</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iCs w:val="0"/>
                <w:color w:val="000000"/>
                <w:sz w:val="22"/>
                <w:szCs w:val="22"/>
                <w:u w:val="none"/>
              </w:rPr>
            </w:pPr>
          </w:p>
        </w:tc>
      </w:tr>
    </w:tbl>
    <w:p>
      <w:pPr>
        <w:spacing w:line="520" w:lineRule="exact"/>
        <w:ind w:firstLine="560"/>
        <w:jc w:val="left"/>
        <w:rPr>
          <w:rFonts w:hint="eastAsia" w:ascii="方正黑体_GBK" w:hAnsi="方正黑体_GBK" w:eastAsia="方正黑体_GBK" w:cs="方正黑体_GBK"/>
          <w:b/>
          <w:bCs/>
          <w:color w:val="auto"/>
          <w:sz w:val="34"/>
          <w:szCs w:val="34"/>
          <w:highlight w:val="white"/>
          <w:lang w:val="en-US" w:eastAsia="zh-CN"/>
        </w:rPr>
      </w:pPr>
      <w:r>
        <w:rPr>
          <w:rFonts w:hint="eastAsia" w:ascii="方正黑体_GBK" w:hAnsi="方正黑体_GBK" w:eastAsia="方正黑体_GBK" w:cs="方正黑体_GBK"/>
          <w:b/>
          <w:bCs/>
          <w:color w:val="auto"/>
          <w:sz w:val="34"/>
          <w:szCs w:val="34"/>
          <w:highlight w:val="white"/>
          <w:lang w:val="en-US" w:eastAsia="zh-CN"/>
        </w:rPr>
        <w:t>五、市场化运行公司工作责任</w:t>
      </w:r>
    </w:p>
    <w:p>
      <w:pPr>
        <w:spacing w:line="520" w:lineRule="exact"/>
        <w:ind w:firstLine="560"/>
        <w:jc w:val="left"/>
        <w:rPr>
          <w:rFonts w:hint="eastAsia" w:ascii="方正仿宋_GBK" w:hAnsi="方正仿宋_GBK" w:eastAsia="方正仿宋_GBK" w:cs="方正仿宋_GBK"/>
          <w:color w:val="auto"/>
          <w:sz w:val="34"/>
          <w:szCs w:val="34"/>
          <w:highlight w:val="white"/>
        </w:rPr>
      </w:pPr>
      <w:r>
        <w:rPr>
          <w:rFonts w:hint="eastAsia" w:ascii="方正仿宋_GBK" w:hAnsi="方正仿宋_GBK" w:eastAsia="方正仿宋_GBK" w:cs="方正仿宋_GBK"/>
          <w:color w:val="auto"/>
          <w:sz w:val="34"/>
          <w:szCs w:val="34"/>
          <w:highlight w:val="white"/>
          <w:lang w:val="en-US" w:eastAsia="zh-CN"/>
        </w:rPr>
        <w:t>负责垃圾中转站及大件分拣中心的管理及运行，</w:t>
      </w:r>
      <w:r>
        <w:rPr>
          <w:rFonts w:hint="eastAsia" w:ascii="方正仿宋_GBK" w:hAnsi="方正仿宋_GBK" w:eastAsia="方正仿宋_GBK" w:cs="方正仿宋_GBK"/>
          <w:color w:val="auto"/>
          <w:sz w:val="34"/>
          <w:szCs w:val="34"/>
          <w:highlight w:val="white"/>
        </w:rPr>
        <w:t>垃圾中转站管理按照《沛县农村生活垃圾转运站建设标准及管理规范》文件要求，进一步规范转运站管理，完善设施设备使用功能，提升转运承载能力，确保转运站正常运行。</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负责各类车辆投入及标准化配置；负责按照标准配备各类人员；负责运营镇级可回收物站及有害垃圾归集点；负责运营各镇（场）街道交由完好的中转站、垃圾分类处置设施、公厕、可回收物站点、有害垃圾归集点设施的管理、运行（不包含水电费和维修）等；负责巡查柴草、秸秆、粪堆等乱堆乱放情况，并及时向镇（场）街道汇报；主管部门交办的临时性任务等。组织机构健全，应当按照企业规范管理要求设立各相关内部管理机构，管理人员规范着装、挂牌上岗；必须配备足够的通讯设备并保持畅通。负责日常人员和车辆的日常及安全生产工作管理，事故处理责任等各项管理制度健全，制定各岗位操作规范，定期组织安全生产教育，具有完善的突发事件应急预案。</w:t>
      </w:r>
    </w:p>
    <w:p>
      <w:pPr>
        <w:spacing w:line="520" w:lineRule="exact"/>
        <w:ind w:firstLine="560"/>
        <w:jc w:val="left"/>
        <w:rPr>
          <w:rFonts w:hint="eastAsia" w:ascii="方正黑体_GBK" w:hAnsi="方正黑体_GBK" w:eastAsia="方正黑体_GBK" w:cs="方正黑体_GBK"/>
          <w:b/>
          <w:bCs/>
          <w:color w:val="auto"/>
          <w:sz w:val="34"/>
          <w:szCs w:val="34"/>
          <w:highlight w:val="white"/>
          <w:lang w:val="en-US" w:eastAsia="zh-CN"/>
        </w:rPr>
      </w:pPr>
      <w:r>
        <w:rPr>
          <w:rFonts w:hint="eastAsia" w:ascii="方正黑体_GBK" w:hAnsi="方正黑体_GBK" w:eastAsia="方正黑体_GBK" w:cs="方正黑体_GBK"/>
          <w:b/>
          <w:bCs/>
          <w:color w:val="auto"/>
          <w:sz w:val="34"/>
          <w:szCs w:val="34"/>
          <w:highlight w:val="white"/>
          <w:lang w:val="en-US" w:eastAsia="zh-CN"/>
        </w:rPr>
        <w:t>六、项目要求</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1、市场化运行公司必须遵守劳动法，依法规范用工，符合条件的须参加基本社会养老保险，按法律、法规及文件规定执行。</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2、按采购人要求在每月25日前向采购人提供相关运行资料，包括但不限于人员信息、工资和加班费发放、设备（车辆）信息、垃圾清运量等，并确保资料信息的真实性。</w:t>
      </w:r>
    </w:p>
    <w:p>
      <w:pPr>
        <w:spacing w:line="520" w:lineRule="exact"/>
        <w:ind w:firstLine="560"/>
        <w:jc w:val="left"/>
        <w:rPr>
          <w:rFonts w:hint="eastAsia" w:ascii="方正黑体_GBK" w:hAnsi="方正黑体_GBK" w:eastAsia="方正黑体_GBK" w:cs="方正黑体_GBK"/>
          <w:b/>
          <w:bCs/>
          <w:color w:val="auto"/>
          <w:sz w:val="34"/>
          <w:szCs w:val="34"/>
          <w:highlight w:val="white"/>
          <w:lang w:val="en-US" w:eastAsia="zh-CN"/>
        </w:rPr>
      </w:pPr>
      <w:r>
        <w:rPr>
          <w:rFonts w:hint="eastAsia" w:ascii="方正黑体_GBK" w:hAnsi="方正黑体_GBK" w:eastAsia="方正黑体_GBK" w:cs="方正黑体_GBK"/>
          <w:b/>
          <w:bCs/>
          <w:color w:val="auto"/>
          <w:sz w:val="34"/>
          <w:szCs w:val="34"/>
          <w:highlight w:val="white"/>
          <w:lang w:val="en-US" w:eastAsia="zh-CN"/>
        </w:rPr>
        <w:t>七、人员、设备配置要求（本项不允许负偏离，否则按废标处理）</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lang w:val="en-US" w:eastAsia="zh-CN"/>
        </w:rPr>
        <w:t>（一）人员、设备专用原则</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1、人员专用原则：</w:t>
      </w:r>
      <w:r>
        <w:rPr>
          <w:rFonts w:hint="eastAsia" w:ascii="方正仿宋_GBK" w:hAnsi="方正仿宋_GBK" w:eastAsia="方正仿宋_GBK" w:cs="方正仿宋_GBK"/>
          <w:color w:val="auto"/>
          <w:sz w:val="34"/>
          <w:szCs w:val="34"/>
          <w:highlight w:val="white"/>
          <w:lang w:val="en-US" w:eastAsia="zh-CN"/>
        </w:rPr>
        <w:t>项目所有人员专门服务于本项目，不得用于其他项目中。项目负责人应为投标人本单位人员（提供社保缴纳证明），必须具有两年以上环卫管理经验，且需常驻本项目。</w:t>
      </w:r>
    </w:p>
    <w:p>
      <w:pPr>
        <w:spacing w:line="520" w:lineRule="exact"/>
        <w:ind w:firstLine="560"/>
        <w:jc w:val="left"/>
        <w:rPr>
          <w:rFonts w:hint="eastAsia"/>
          <w:lang w:val="en-US" w:eastAsia="zh-CN"/>
        </w:rPr>
      </w:pPr>
      <w:r>
        <w:rPr>
          <w:rFonts w:hint="eastAsia" w:ascii="方正仿宋_GBK" w:hAnsi="方正仿宋_GBK" w:eastAsia="方正仿宋_GBK" w:cs="方正仿宋_GBK"/>
          <w:b/>
          <w:bCs/>
          <w:color w:val="auto"/>
          <w:sz w:val="34"/>
          <w:szCs w:val="34"/>
          <w:highlight w:val="white"/>
          <w:lang w:val="en-US" w:eastAsia="zh-CN"/>
        </w:rPr>
        <w:t>2、设备（车辆）专用原则</w:t>
      </w:r>
      <w:r>
        <w:rPr>
          <w:rFonts w:hint="eastAsia" w:ascii="方正楷体_GBK" w:hAnsi="方正楷体_GBK" w:eastAsia="方正楷体_GBK" w:cs="方正楷体_GBK"/>
          <w:b/>
          <w:bCs/>
          <w:color w:val="auto"/>
          <w:sz w:val="34"/>
          <w:szCs w:val="34"/>
          <w:highlight w:val="white"/>
          <w:lang w:val="en-US" w:eastAsia="zh-CN"/>
        </w:rPr>
        <w:t>：</w:t>
      </w:r>
      <w:r>
        <w:rPr>
          <w:rFonts w:hint="eastAsia" w:ascii="方正仿宋_GBK" w:hAnsi="方正仿宋_GBK" w:eastAsia="方正仿宋_GBK" w:cs="方正仿宋_GBK"/>
          <w:color w:val="auto"/>
          <w:sz w:val="34"/>
          <w:szCs w:val="34"/>
          <w:highlight w:val="white"/>
          <w:lang w:val="en-US" w:eastAsia="zh-CN"/>
        </w:rPr>
        <w:t>投标人必须按照招标文件要求配备相关车辆设备，且承诺投入各标段车辆不得用于其他标段或其他项目。</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lang w:val="en-US" w:eastAsia="zh-CN"/>
        </w:rPr>
        <w:t>（二）人员配置基本要求</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1、环卫作业人员年龄要求</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（1）符合相关法律、法规规定。</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（2）人员总数最低应满足下表要求：</w:t>
      </w:r>
    </w:p>
    <w:tbl>
      <w:tblPr>
        <w:tblStyle w:val="25"/>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0"/>
        <w:gridCol w:w="1267"/>
        <w:gridCol w:w="767"/>
        <w:gridCol w:w="623"/>
        <w:gridCol w:w="649"/>
        <w:gridCol w:w="473"/>
        <w:gridCol w:w="736"/>
        <w:gridCol w:w="595"/>
        <w:gridCol w:w="938"/>
        <w:gridCol w:w="938"/>
        <w:gridCol w:w="93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57" w:hRule="atLeast"/>
        </w:trPr>
        <w:tc>
          <w:tcPr>
            <w:tcW w:w="750" w:type="dxa"/>
            <w:vAlign w:val="center"/>
          </w:tcPr>
          <w:p>
            <w:pPr>
              <w:spacing w:before="767" w:line="255" w:lineRule="exact"/>
              <w:ind w:left="80" w:firstLine="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项目经理</w:t>
            </w:r>
            <w:r>
              <w:rPr>
                <w:rFonts w:hint="eastAsia" w:ascii="方正仿宋_GBK" w:hAnsi="方正仿宋_GBK" w:eastAsia="方正仿宋_GBK" w:cs="方正仿宋_GBK"/>
                <w:color w:val="auto"/>
                <w:sz w:val="24"/>
                <w:szCs w:val="24"/>
              </w:rPr>
              <w:t>员</w:t>
            </w:r>
          </w:p>
        </w:tc>
        <w:tc>
          <w:tcPr>
            <w:tcW w:w="1267" w:type="dxa"/>
            <w:vAlign w:val="center"/>
          </w:tcPr>
          <w:p>
            <w:pPr>
              <w:spacing w:line="44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主副</w:t>
            </w:r>
            <w:r>
              <w:rPr>
                <w:rFonts w:hint="eastAsia" w:ascii="方正仿宋_GBK" w:hAnsi="方正仿宋_GBK" w:eastAsia="方正仿宋_GBK" w:cs="方正仿宋_GBK"/>
                <w:color w:val="auto"/>
                <w:sz w:val="24"/>
                <w:szCs w:val="24"/>
              </w:rPr>
              <w:t>镇区保洁员</w:t>
            </w:r>
          </w:p>
        </w:tc>
        <w:tc>
          <w:tcPr>
            <w:tcW w:w="767" w:type="dxa"/>
            <w:vAlign w:val="center"/>
          </w:tcPr>
          <w:p>
            <w:pPr>
              <w:spacing w:before="422" w:line="460" w:lineRule="exact"/>
              <w:ind w:left="80" w:firstLine="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村庄保洁员</w:t>
            </w:r>
          </w:p>
        </w:tc>
        <w:tc>
          <w:tcPr>
            <w:tcW w:w="623" w:type="dxa"/>
            <w:vAlign w:val="center"/>
          </w:tcPr>
          <w:p>
            <w:pPr>
              <w:spacing w:before="422" w:line="460" w:lineRule="exact"/>
              <w:ind w:left="60" w:firstLine="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公厕保洁员</w:t>
            </w:r>
          </w:p>
        </w:tc>
        <w:tc>
          <w:tcPr>
            <w:tcW w:w="649" w:type="dxa"/>
            <w:vAlign w:val="center"/>
          </w:tcPr>
          <w:p>
            <w:pPr>
              <w:spacing w:before="767" w:line="255" w:lineRule="exact"/>
              <w:ind w:firstLine="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驾驶员</w:t>
            </w:r>
          </w:p>
        </w:tc>
        <w:tc>
          <w:tcPr>
            <w:tcW w:w="473" w:type="dxa"/>
            <w:vAlign w:val="center"/>
          </w:tcPr>
          <w:p>
            <w:pPr>
              <w:spacing w:before="767" w:line="255" w:lineRule="exact"/>
              <w:ind w:firstLine="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挂桶工</w:t>
            </w:r>
          </w:p>
        </w:tc>
        <w:tc>
          <w:tcPr>
            <w:tcW w:w="736" w:type="dxa"/>
            <w:vAlign w:val="center"/>
          </w:tcPr>
          <w:p>
            <w:pPr>
              <w:spacing w:before="767" w:line="255" w:lineRule="exact"/>
              <w:ind w:firstLine="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主副镇区管理员</w:t>
            </w:r>
          </w:p>
        </w:tc>
        <w:tc>
          <w:tcPr>
            <w:tcW w:w="595" w:type="dxa"/>
            <w:vAlign w:val="center"/>
          </w:tcPr>
          <w:p>
            <w:pPr>
              <w:spacing w:before="767" w:line="255" w:lineRule="exact"/>
              <w:ind w:firstLine="0" w:firstLineChars="0"/>
              <w:jc w:val="both"/>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中转站管理员</w:t>
            </w:r>
          </w:p>
        </w:tc>
        <w:tc>
          <w:tcPr>
            <w:tcW w:w="938" w:type="dxa"/>
            <w:vAlign w:val="center"/>
          </w:tcPr>
          <w:p>
            <w:pPr>
              <w:spacing w:before="767" w:line="255" w:lineRule="exact"/>
              <w:ind w:firstLine="0" w:firstLineChars="0"/>
              <w:jc w:val="both"/>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电动高压冲洗车人员</w:t>
            </w:r>
          </w:p>
        </w:tc>
        <w:tc>
          <w:tcPr>
            <w:tcW w:w="938" w:type="dxa"/>
            <w:vAlign w:val="center"/>
          </w:tcPr>
          <w:p>
            <w:pPr>
              <w:spacing w:before="767" w:line="255" w:lineRule="exact"/>
              <w:ind w:firstLine="0" w:firstLineChars="0"/>
              <w:jc w:val="both"/>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公厕巡查员</w:t>
            </w:r>
          </w:p>
        </w:tc>
        <w:tc>
          <w:tcPr>
            <w:tcW w:w="938" w:type="dxa"/>
            <w:vAlign w:val="center"/>
          </w:tcPr>
          <w:p>
            <w:pPr>
              <w:spacing w:before="767" w:line="255" w:lineRule="exact"/>
              <w:ind w:firstLine="0" w:firstLineChars="0"/>
              <w:jc w:val="both"/>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沼气池管理员</w:t>
            </w:r>
          </w:p>
        </w:tc>
        <w:tc>
          <w:tcPr>
            <w:tcW w:w="938" w:type="dxa"/>
            <w:vAlign w:val="center"/>
          </w:tcPr>
          <w:p>
            <w:pPr>
              <w:spacing w:before="767" w:line="255" w:lineRule="exact"/>
              <w:ind w:firstLine="0" w:firstLineChars="0"/>
              <w:jc w:val="both"/>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重点道路保洁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02" w:hRule="atLeast"/>
        </w:trPr>
        <w:tc>
          <w:tcPr>
            <w:tcW w:w="750" w:type="dxa"/>
            <w:vAlign w:val="center"/>
          </w:tcPr>
          <w:p>
            <w:pPr>
              <w:spacing w:line="240" w:lineRule="exact"/>
              <w:ind w:firstLine="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1</w:t>
            </w:r>
          </w:p>
        </w:tc>
        <w:tc>
          <w:tcPr>
            <w:tcW w:w="1267" w:type="dxa"/>
            <w:vAlign w:val="center"/>
          </w:tcPr>
          <w:p>
            <w:pPr>
              <w:spacing w:line="216" w:lineRule="exact"/>
              <w:ind w:left="80" w:firstLine="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35</w:t>
            </w:r>
          </w:p>
        </w:tc>
        <w:tc>
          <w:tcPr>
            <w:tcW w:w="767" w:type="dxa"/>
            <w:vAlign w:val="center"/>
          </w:tcPr>
          <w:p>
            <w:pPr>
              <w:spacing w:line="240" w:lineRule="exact"/>
              <w:ind w:firstLine="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139</w:t>
            </w:r>
          </w:p>
        </w:tc>
        <w:tc>
          <w:tcPr>
            <w:tcW w:w="623" w:type="dxa"/>
            <w:vAlign w:val="center"/>
          </w:tcPr>
          <w:p>
            <w:pPr>
              <w:spacing w:line="240" w:lineRule="exact"/>
              <w:ind w:firstLine="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94</w:t>
            </w:r>
          </w:p>
        </w:tc>
        <w:tc>
          <w:tcPr>
            <w:tcW w:w="649" w:type="dxa"/>
            <w:vAlign w:val="center"/>
          </w:tcPr>
          <w:p>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w:t>
            </w:r>
          </w:p>
        </w:tc>
        <w:tc>
          <w:tcPr>
            <w:tcW w:w="473" w:type="dxa"/>
            <w:vAlign w:val="center"/>
          </w:tcPr>
          <w:p>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736" w:type="dxa"/>
            <w:vAlign w:val="center"/>
          </w:tcPr>
          <w:p>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595" w:type="dxa"/>
            <w:vAlign w:val="center"/>
          </w:tcPr>
          <w:p>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938" w:type="dxa"/>
            <w:vAlign w:val="center"/>
          </w:tcPr>
          <w:p>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938" w:type="dxa"/>
            <w:vAlign w:val="center"/>
          </w:tcPr>
          <w:p>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938" w:type="dxa"/>
            <w:vAlign w:val="center"/>
          </w:tcPr>
          <w:p>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938" w:type="dxa"/>
            <w:vAlign w:val="center"/>
          </w:tcPr>
          <w:p>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16</w:t>
            </w:r>
          </w:p>
        </w:tc>
      </w:tr>
    </w:tbl>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备注：</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1、上述人数不含法定节假日、周末调休人数；管理人员包括班长、主管、车队长，不包括项目部组成人员；道路保洁人员包括一线道路清扫、捡拾、快速巡回保洁人员等道路一线作业人员；项目经理、会计等项目部组成人员不统计在人员配置要求内。</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2、中标人承担所有人员及设备的安全责任及费用。</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3、中标人须为作业人员提供工作服及必要的劳动防护用品。</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4、投标文件中提供“中标后作业人员配置”的承诺文件，否则按照无效投标处理。</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lang w:val="en-US" w:eastAsia="zh-CN"/>
        </w:rPr>
        <w:t>（三）设备（车辆）、工具配置基本要求</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1、设备（车辆）、工具配置基本要求</w:t>
      </w:r>
    </w:p>
    <w:tbl>
      <w:tblPr>
        <w:tblStyle w:val="25"/>
        <w:tblW w:w="8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0"/>
        <w:gridCol w:w="820"/>
        <w:gridCol w:w="700"/>
        <w:gridCol w:w="820"/>
        <w:gridCol w:w="820"/>
        <w:gridCol w:w="820"/>
        <w:gridCol w:w="820"/>
        <w:gridCol w:w="820"/>
        <w:gridCol w:w="82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839" w:hRule="atLeast"/>
          <w:jc w:val="center"/>
        </w:trPr>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3T垃圾压缩式收运车辆</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8T垃圾压缩式收运车辆</w:t>
            </w:r>
          </w:p>
        </w:tc>
        <w:tc>
          <w:tcPr>
            <w:tcW w:w="70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抽粪车</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保洁员专用电动收集车</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洒水车</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电动高压冲洗车</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18T勾背车</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4T机扫车</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4T机扫车</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12T移动压缩箱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17" w:hRule="atLeast"/>
          <w:jc w:val="center"/>
        </w:trPr>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2</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w:t>
            </w:r>
          </w:p>
        </w:tc>
        <w:tc>
          <w:tcPr>
            <w:tcW w:w="70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35</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w:t>
            </w:r>
          </w:p>
        </w:tc>
        <w:tc>
          <w:tcPr>
            <w:tcW w:w="820" w:type="dxa"/>
            <w:vAlign w:val="center"/>
          </w:tcPr>
          <w:p>
            <w:pPr>
              <w:spacing w:line="520" w:lineRule="exact"/>
              <w:jc w:val="center"/>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2</w:t>
            </w:r>
          </w:p>
        </w:tc>
      </w:tr>
    </w:tbl>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注：1、上表中18T勾背车1辆、移动压缩箱2座，中标后镇政府无偿提供使用，市场化公司负责车辆维修和保险，需配置专职驾驶员。</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2、设备（车辆）外观要求标识统一，中标后，必须按采购方要求进行车辆涂装，相关费用包含于投标报价内。</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3、投标文件中提供“中标后不低于作业设备（车辆）配置基本标准配备车辆的”的承诺文件，否则按照无效投标处理。</w:t>
      </w:r>
    </w:p>
    <w:p>
      <w:pPr>
        <w:spacing w:line="520" w:lineRule="exact"/>
        <w:ind w:firstLine="560"/>
        <w:jc w:val="left"/>
        <w:rPr>
          <w:rFonts w:hint="eastAsia" w:ascii="方正黑体_GBK" w:hAnsi="方正黑体_GBK" w:eastAsia="方正黑体_GBK" w:cs="方正黑体_GBK"/>
          <w:b/>
          <w:bCs/>
          <w:color w:val="auto"/>
          <w:sz w:val="34"/>
          <w:szCs w:val="34"/>
          <w:highlight w:val="white"/>
          <w:lang w:val="en-US" w:eastAsia="zh-CN"/>
        </w:rPr>
      </w:pPr>
      <w:r>
        <w:rPr>
          <w:rFonts w:hint="eastAsia" w:ascii="方正黑体_GBK" w:hAnsi="方正黑体_GBK" w:eastAsia="方正黑体_GBK" w:cs="方正黑体_GBK"/>
          <w:b/>
          <w:bCs/>
          <w:color w:val="auto"/>
          <w:sz w:val="34"/>
          <w:szCs w:val="34"/>
          <w:highlight w:val="white"/>
          <w:lang w:val="en-US" w:eastAsia="zh-CN"/>
        </w:rPr>
        <w:t>八、实施要求</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lang w:val="en-US" w:eastAsia="zh-CN"/>
        </w:rPr>
        <w:t>（一）投标人应针对本项目加强组织领导，制定</w:t>
      </w:r>
      <w:r>
        <w:rPr>
          <w:rFonts w:hint="eastAsia" w:ascii="方正楷体_GBK" w:hAnsi="方正楷体_GBK" w:eastAsia="方正楷体_GBK" w:cs="方正楷体_GBK"/>
          <w:b w:val="0"/>
          <w:bCs w:val="0"/>
          <w:color w:val="auto"/>
          <w:sz w:val="34"/>
          <w:szCs w:val="34"/>
          <w:lang w:val="en-US" w:eastAsia="zh-CN"/>
        </w:rPr>
        <w:t>沛县河口镇环卫保洁市场化服务项目</w:t>
      </w:r>
      <w:r>
        <w:rPr>
          <w:rFonts w:hint="eastAsia" w:ascii="方正楷体_GBK" w:hAnsi="方正楷体_GBK" w:eastAsia="方正楷体_GBK" w:cs="方正楷体_GBK"/>
          <w:color w:val="auto"/>
          <w:sz w:val="34"/>
          <w:szCs w:val="34"/>
          <w:highlight w:val="white"/>
          <w:lang w:val="en-US" w:eastAsia="zh-CN"/>
        </w:rPr>
        <w:t>方案，服务方案至少应包含以下部分</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1、项目分析</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投标人根据招标文件、地方情况和个人理解等方面，对项目整体、作业范围、实施内容、人员及设备、工具配备、监督考核、作业难点重点、应急、突击、重大活动保障、安全作业管理等进行分析。</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2、项目管理团队、场所配备方案</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投标人应根据项目特点建立项目管理小组，项目管理小组应包含项目经理一名和管理小组成员若干，提供停车场地、办公场所等使用方案，内部管理、设施设备管养等制度。投标文件中应编制《项目管理团队、场所配备方案》并提供《项目组织架构表》格式自拟。</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lang w:val="en-US" w:eastAsia="zh-CN"/>
        </w:rPr>
        <w:t>（二）环卫保洁</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1、人工保洁管理方案</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方案内容中至少包含道路的排班、组织、岗位设置、人工作业规范、内部人员管理制度、内部人员岗位职责等内容，填写《道路清扫保洁人员配备表》格式如下：</w:t>
      </w:r>
    </w:p>
    <w:tbl>
      <w:tblPr>
        <w:tblStyle w:val="25"/>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47"/>
        <w:gridCol w:w="1848"/>
        <w:gridCol w:w="1848"/>
        <w:gridCol w:w="1282"/>
        <w:gridCol w:w="1304"/>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4" w:hRule="atLeast"/>
        </w:trPr>
        <w:tc>
          <w:tcPr>
            <w:tcW w:w="9740" w:type="dxa"/>
            <w:gridSpan w:val="6"/>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道路清扫保洁人员配备表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4" w:hRule="atLeast"/>
        </w:trPr>
        <w:tc>
          <w:tcPr>
            <w:tcW w:w="1847"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序号</w:t>
            </w: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道路名称</w:t>
            </w: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起点</w:t>
            </w:r>
          </w:p>
        </w:tc>
        <w:tc>
          <w:tcPr>
            <w:tcW w:w="1282"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终点</w:t>
            </w:r>
          </w:p>
        </w:tc>
        <w:tc>
          <w:tcPr>
            <w:tcW w:w="1304"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岗位数</w:t>
            </w:r>
          </w:p>
        </w:tc>
        <w:tc>
          <w:tcPr>
            <w:tcW w:w="1611"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4" w:hRule="atLeast"/>
        </w:trPr>
        <w:tc>
          <w:tcPr>
            <w:tcW w:w="1847"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1</w:t>
            </w: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282"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304"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611"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4" w:hRule="atLeast"/>
        </w:trPr>
        <w:tc>
          <w:tcPr>
            <w:tcW w:w="1847"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2</w:t>
            </w: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282"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304"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611"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4" w:hRule="atLeast"/>
        </w:trPr>
        <w:tc>
          <w:tcPr>
            <w:tcW w:w="1847"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3</w:t>
            </w: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282"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304"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611"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4" w:hRule="atLeast"/>
        </w:trPr>
        <w:tc>
          <w:tcPr>
            <w:tcW w:w="1847"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4</w:t>
            </w: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282"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304"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611"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4" w:hRule="atLeast"/>
        </w:trPr>
        <w:tc>
          <w:tcPr>
            <w:tcW w:w="1847"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r>
              <w:rPr>
                <w:rFonts w:hint="eastAsia" w:ascii="方正仿宋_GBK" w:hAnsi="方正仿宋_GBK" w:eastAsia="方正仿宋_GBK" w:cs="方正仿宋_GBK"/>
                <w:color w:val="auto"/>
                <w:sz w:val="24"/>
                <w:szCs w:val="24"/>
                <w:highlight w:val="white"/>
                <w:lang w:val="en-US" w:eastAsia="zh-CN"/>
              </w:rPr>
              <w:t>..........</w:t>
            </w: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848"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282"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304"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c>
          <w:tcPr>
            <w:tcW w:w="1611" w:type="dxa"/>
            <w:vAlign w:val="center"/>
          </w:tcPr>
          <w:p>
            <w:pPr>
              <w:spacing w:line="520" w:lineRule="exact"/>
              <w:ind w:firstLine="560"/>
              <w:jc w:val="left"/>
              <w:rPr>
                <w:rFonts w:hint="eastAsia" w:ascii="方正仿宋_GBK" w:hAnsi="方正仿宋_GBK" w:eastAsia="方正仿宋_GBK" w:cs="方正仿宋_GBK"/>
                <w:color w:val="auto"/>
                <w:sz w:val="24"/>
                <w:szCs w:val="24"/>
                <w:highlight w:val="white"/>
                <w:lang w:val="en-US" w:eastAsia="zh-CN"/>
              </w:rPr>
            </w:pPr>
          </w:p>
        </w:tc>
      </w:tr>
    </w:tbl>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2、环卫机械化作业管理方案</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方案内容中至少包含机械化设备配备、作业方案、日常和季节性作业时间安排、停车场地、机械化设备管理制度、内部人员管理制度、内部人员岗位职责、设备保养等内容进行综合评价。</w:t>
      </w:r>
    </w:p>
    <w:p>
      <w:pPr>
        <w:spacing w:line="520" w:lineRule="exact"/>
        <w:ind w:firstLine="560"/>
        <w:jc w:val="left"/>
        <w:rPr>
          <w:rFonts w:hint="eastAsia" w:ascii="方正仿宋_GBK" w:hAnsi="方正仿宋_GBK" w:eastAsia="方正仿宋_GBK" w:cs="方正仿宋_GBK"/>
          <w:b/>
          <w:bCs/>
          <w:color w:val="auto"/>
          <w:sz w:val="34"/>
          <w:szCs w:val="34"/>
          <w:highlight w:val="white"/>
          <w:lang w:val="en-US" w:eastAsia="zh-CN"/>
        </w:rPr>
      </w:pPr>
      <w:r>
        <w:rPr>
          <w:rFonts w:hint="eastAsia" w:ascii="方正仿宋_GBK" w:hAnsi="方正仿宋_GBK" w:eastAsia="方正仿宋_GBK" w:cs="方正仿宋_GBK"/>
          <w:b/>
          <w:bCs/>
          <w:color w:val="auto"/>
          <w:sz w:val="34"/>
          <w:szCs w:val="34"/>
          <w:highlight w:val="white"/>
          <w:lang w:val="en-US" w:eastAsia="zh-CN"/>
        </w:rPr>
        <w:t>3、公厕保洁管理方案</w:t>
      </w:r>
    </w:p>
    <w:p>
      <w:pPr>
        <w:spacing w:line="520" w:lineRule="exact"/>
        <w:ind w:firstLine="560"/>
        <w:jc w:val="left"/>
        <w:rPr>
          <w:rFonts w:hint="eastAsia" w:ascii="方正仿宋_GBK" w:hAnsi="方正仿宋_GBK" w:eastAsia="方正仿宋_GBK" w:cs="方正仿宋_GBK"/>
          <w:color w:val="auto"/>
          <w:sz w:val="34"/>
          <w:szCs w:val="34"/>
          <w:highlight w:val="white"/>
          <w:lang w:val="en-US" w:eastAsia="zh-CN"/>
        </w:rPr>
      </w:pPr>
      <w:r>
        <w:rPr>
          <w:rFonts w:hint="eastAsia" w:ascii="方正仿宋_GBK" w:hAnsi="方正仿宋_GBK" w:eastAsia="方正仿宋_GBK" w:cs="方正仿宋_GBK"/>
          <w:color w:val="auto"/>
          <w:sz w:val="34"/>
          <w:szCs w:val="34"/>
          <w:highlight w:val="white"/>
          <w:lang w:val="en-US" w:eastAsia="zh-CN"/>
        </w:rPr>
        <w:t>方案内容中至少包含公厕保洁方案。方案中须至少体现人员配备、作业时间、保洁标准、内部人员管理制度、岗位工作要求、运行台帐记录等基本要求，填写《公厕保洁人员表》格式如下：</w:t>
      </w:r>
    </w:p>
    <w:tbl>
      <w:tblPr>
        <w:tblStyle w:val="25"/>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11"/>
        <w:gridCol w:w="1912"/>
        <w:gridCol w:w="343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8" w:hRule="atLeast"/>
        </w:trPr>
        <w:tc>
          <w:tcPr>
            <w:tcW w:w="9800" w:type="dxa"/>
            <w:gridSpan w:val="4"/>
            <w:vAlign w:val="center"/>
          </w:tcPr>
          <w:p>
            <w:pPr>
              <w:spacing w:line="48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34"/>
                <w:szCs w:val="34"/>
              </w:rPr>
              <w:t>公厕保洁人员表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4" w:hRule="atLeast"/>
        </w:trPr>
        <w:tc>
          <w:tcPr>
            <w:tcW w:w="1911" w:type="dxa"/>
            <w:vAlign w:val="center"/>
          </w:tcPr>
          <w:p>
            <w:pPr>
              <w:spacing w:line="270" w:lineRule="exact"/>
              <w:ind w:left="440" w:firstLine="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1912" w:type="dxa"/>
            <w:vAlign w:val="center"/>
          </w:tcPr>
          <w:p>
            <w:pPr>
              <w:spacing w:line="27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公厕名称</w:t>
            </w:r>
          </w:p>
        </w:tc>
        <w:tc>
          <w:tcPr>
            <w:tcW w:w="3433" w:type="dxa"/>
            <w:vAlign w:val="center"/>
          </w:tcPr>
          <w:p>
            <w:pPr>
              <w:spacing w:line="270" w:lineRule="exact"/>
              <w:ind w:left="420" w:firstLine="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公厕地点</w:t>
            </w:r>
          </w:p>
        </w:tc>
        <w:tc>
          <w:tcPr>
            <w:tcW w:w="2544" w:type="dxa"/>
            <w:vAlign w:val="center"/>
          </w:tcPr>
          <w:p>
            <w:pPr>
              <w:spacing w:line="270" w:lineRule="exact"/>
              <w:ind w:left="420" w:firstLine="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4" w:hRule="atLeast"/>
        </w:trPr>
        <w:tc>
          <w:tcPr>
            <w:tcW w:w="1911" w:type="dxa"/>
            <w:vAlign w:val="center"/>
          </w:tcPr>
          <w:p>
            <w:pPr>
              <w:spacing w:line="210" w:lineRule="exact"/>
              <w:ind w:left="420" w:firstLine="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1912" w:type="dxa"/>
            <w:vAlign w:val="center"/>
          </w:tcPr>
          <w:p>
            <w:pPr>
              <w:rPr>
                <w:rFonts w:hint="eastAsia" w:ascii="方正仿宋_GBK" w:hAnsi="方正仿宋_GBK" w:eastAsia="方正仿宋_GBK" w:cs="方正仿宋_GBK"/>
                <w:color w:val="auto"/>
                <w:sz w:val="24"/>
                <w:szCs w:val="24"/>
              </w:rPr>
            </w:pPr>
          </w:p>
        </w:tc>
        <w:tc>
          <w:tcPr>
            <w:tcW w:w="3433" w:type="dxa"/>
            <w:vAlign w:val="center"/>
          </w:tcPr>
          <w:p>
            <w:pPr>
              <w:rPr>
                <w:rFonts w:hint="eastAsia" w:ascii="方正仿宋_GBK" w:hAnsi="方正仿宋_GBK" w:eastAsia="方正仿宋_GBK" w:cs="方正仿宋_GBK"/>
                <w:color w:val="auto"/>
                <w:sz w:val="24"/>
                <w:szCs w:val="24"/>
              </w:rPr>
            </w:pPr>
          </w:p>
        </w:tc>
        <w:tc>
          <w:tcPr>
            <w:tcW w:w="2544" w:type="dxa"/>
            <w:vAlign w:val="center"/>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4" w:hRule="atLeast"/>
        </w:trPr>
        <w:tc>
          <w:tcPr>
            <w:tcW w:w="1911" w:type="dxa"/>
            <w:vAlign w:val="center"/>
          </w:tcPr>
          <w:p>
            <w:pPr>
              <w:spacing w:line="240" w:lineRule="exact"/>
              <w:ind w:left="420" w:firstLine="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1912" w:type="dxa"/>
            <w:vAlign w:val="center"/>
          </w:tcPr>
          <w:p>
            <w:pPr>
              <w:rPr>
                <w:rFonts w:hint="eastAsia" w:ascii="方正仿宋_GBK" w:hAnsi="方正仿宋_GBK" w:eastAsia="方正仿宋_GBK" w:cs="方正仿宋_GBK"/>
                <w:color w:val="auto"/>
                <w:sz w:val="24"/>
                <w:szCs w:val="24"/>
              </w:rPr>
            </w:pPr>
          </w:p>
        </w:tc>
        <w:tc>
          <w:tcPr>
            <w:tcW w:w="3433" w:type="dxa"/>
            <w:vAlign w:val="center"/>
          </w:tcPr>
          <w:p>
            <w:pPr>
              <w:rPr>
                <w:rFonts w:hint="eastAsia" w:ascii="方正仿宋_GBK" w:hAnsi="方正仿宋_GBK" w:eastAsia="方正仿宋_GBK" w:cs="方正仿宋_GBK"/>
                <w:color w:val="auto"/>
                <w:sz w:val="24"/>
                <w:szCs w:val="24"/>
              </w:rPr>
            </w:pPr>
          </w:p>
        </w:tc>
        <w:tc>
          <w:tcPr>
            <w:tcW w:w="2544" w:type="dxa"/>
            <w:vAlign w:val="center"/>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4" w:hRule="atLeast"/>
        </w:trPr>
        <w:tc>
          <w:tcPr>
            <w:tcW w:w="1911" w:type="dxa"/>
            <w:vAlign w:val="center"/>
          </w:tcPr>
          <w:p>
            <w:pPr>
              <w:spacing w:line="240" w:lineRule="exact"/>
              <w:ind w:left="420" w:firstLine="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1912" w:type="dxa"/>
            <w:vAlign w:val="center"/>
          </w:tcPr>
          <w:p>
            <w:pPr>
              <w:rPr>
                <w:rFonts w:hint="eastAsia" w:ascii="方正仿宋_GBK" w:hAnsi="方正仿宋_GBK" w:eastAsia="方正仿宋_GBK" w:cs="方正仿宋_GBK"/>
                <w:color w:val="auto"/>
                <w:sz w:val="24"/>
                <w:szCs w:val="24"/>
              </w:rPr>
            </w:pPr>
          </w:p>
        </w:tc>
        <w:tc>
          <w:tcPr>
            <w:tcW w:w="3433" w:type="dxa"/>
            <w:vAlign w:val="center"/>
          </w:tcPr>
          <w:p>
            <w:pPr>
              <w:rPr>
                <w:rFonts w:hint="eastAsia" w:ascii="方正仿宋_GBK" w:hAnsi="方正仿宋_GBK" w:eastAsia="方正仿宋_GBK" w:cs="方正仿宋_GBK"/>
                <w:color w:val="auto"/>
                <w:sz w:val="24"/>
                <w:szCs w:val="24"/>
              </w:rPr>
            </w:pPr>
          </w:p>
        </w:tc>
        <w:tc>
          <w:tcPr>
            <w:tcW w:w="2544" w:type="dxa"/>
            <w:vAlign w:val="center"/>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4" w:hRule="atLeast"/>
        </w:trPr>
        <w:tc>
          <w:tcPr>
            <w:tcW w:w="1911" w:type="dxa"/>
            <w:vAlign w:val="center"/>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w:t>
            </w:r>
          </w:p>
        </w:tc>
        <w:tc>
          <w:tcPr>
            <w:tcW w:w="1912" w:type="dxa"/>
            <w:vAlign w:val="center"/>
          </w:tcPr>
          <w:p>
            <w:pPr>
              <w:rPr>
                <w:rFonts w:hint="eastAsia" w:ascii="方正仿宋_GBK" w:hAnsi="方正仿宋_GBK" w:eastAsia="方正仿宋_GBK" w:cs="方正仿宋_GBK"/>
                <w:color w:val="auto"/>
                <w:sz w:val="24"/>
                <w:szCs w:val="24"/>
              </w:rPr>
            </w:pPr>
          </w:p>
        </w:tc>
        <w:tc>
          <w:tcPr>
            <w:tcW w:w="3433" w:type="dxa"/>
            <w:vAlign w:val="center"/>
          </w:tcPr>
          <w:p>
            <w:pPr>
              <w:rPr>
                <w:rFonts w:hint="eastAsia" w:ascii="方正仿宋_GBK" w:hAnsi="方正仿宋_GBK" w:eastAsia="方正仿宋_GBK" w:cs="方正仿宋_GBK"/>
                <w:color w:val="auto"/>
                <w:sz w:val="24"/>
                <w:szCs w:val="24"/>
              </w:rPr>
            </w:pPr>
          </w:p>
        </w:tc>
        <w:tc>
          <w:tcPr>
            <w:tcW w:w="2544" w:type="dxa"/>
            <w:vAlign w:val="center"/>
          </w:tcPr>
          <w:p>
            <w:pPr>
              <w:rPr>
                <w:rFonts w:hint="eastAsia" w:ascii="方正仿宋_GBK" w:hAnsi="方正仿宋_GBK" w:eastAsia="方正仿宋_GBK" w:cs="方正仿宋_GBK"/>
                <w:color w:val="auto"/>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方正仿宋_GBK" w:hAnsi="方正仿宋_GBK" w:eastAsia="方正仿宋_GBK" w:cs="方正仿宋_GBK"/>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bCs/>
          <w:color w:val="auto"/>
          <w:sz w:val="34"/>
          <w:szCs w:val="34"/>
          <w:lang w:val="en-US" w:eastAsia="zh-CN"/>
        </w:rPr>
      </w:pPr>
      <w:r>
        <w:rPr>
          <w:rFonts w:hint="eastAsia" w:ascii="方正仿宋_GBK" w:hAnsi="方正仿宋_GBK" w:eastAsia="方正仿宋_GBK" w:cs="方正仿宋_GBK"/>
          <w:b/>
          <w:bCs/>
          <w:color w:val="auto"/>
          <w:sz w:val="34"/>
          <w:szCs w:val="34"/>
          <w:lang w:val="en-US" w:eastAsia="zh-CN"/>
        </w:rPr>
        <w:t>4、垃圾前端分类收集运输管理方案</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方案内容中至少包含垃圾前端分类收集运输的方案。方案中须至少体现人员配备、时间安排、工具配备、设备（车辆）安排、垃圾量台账记录等基本要求；</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bCs/>
          <w:color w:val="auto"/>
          <w:sz w:val="34"/>
          <w:szCs w:val="34"/>
          <w:lang w:val="en-US" w:eastAsia="zh-CN"/>
        </w:rPr>
      </w:pPr>
      <w:r>
        <w:rPr>
          <w:rFonts w:hint="eastAsia" w:ascii="方正仿宋_GBK" w:hAnsi="方正仿宋_GBK" w:eastAsia="方正仿宋_GBK" w:cs="方正仿宋_GBK"/>
          <w:b/>
          <w:bCs/>
          <w:color w:val="auto"/>
          <w:sz w:val="34"/>
          <w:szCs w:val="34"/>
          <w:lang w:val="en-US" w:eastAsia="zh-CN"/>
        </w:rPr>
        <w:t>5、野广告管理方案</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按照《沛县农村“五网协同”市场化运行体系实施方案》要求及经验自行编制。</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bCs/>
          <w:color w:val="auto"/>
          <w:sz w:val="34"/>
          <w:szCs w:val="34"/>
          <w:lang w:val="en-US" w:eastAsia="zh-CN"/>
        </w:rPr>
      </w:pPr>
      <w:r>
        <w:rPr>
          <w:rFonts w:hint="eastAsia" w:ascii="方正仿宋_GBK" w:hAnsi="方正仿宋_GBK" w:eastAsia="方正仿宋_GBK" w:cs="方正仿宋_GBK"/>
          <w:b/>
          <w:bCs/>
          <w:color w:val="auto"/>
          <w:sz w:val="34"/>
          <w:szCs w:val="34"/>
          <w:lang w:val="en-US" w:eastAsia="zh-CN"/>
        </w:rPr>
        <w:t>6、保洁质量方案</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按照《沛县农村“五网协同”市场化运行体系实施方案》保洁作业标准和内容及经验自行编制。</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lang w:val="en-US" w:eastAsia="zh-CN"/>
        </w:rPr>
        <w:t>（三）垃圾分类</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bCs/>
          <w:color w:val="auto"/>
          <w:sz w:val="34"/>
          <w:szCs w:val="34"/>
          <w:lang w:val="en-US" w:eastAsia="zh-CN"/>
        </w:rPr>
      </w:pPr>
      <w:r>
        <w:rPr>
          <w:rFonts w:hint="eastAsia" w:ascii="方正仿宋_GBK" w:hAnsi="方正仿宋_GBK" w:eastAsia="方正仿宋_GBK" w:cs="方正仿宋_GBK"/>
          <w:b/>
          <w:bCs/>
          <w:color w:val="auto"/>
          <w:sz w:val="34"/>
          <w:szCs w:val="34"/>
          <w:lang w:val="en-US" w:eastAsia="zh-CN"/>
        </w:rPr>
        <w:t>1、组织管理方案</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建立健全垃圾分类考核制度、激励制度，制定实施方案，加强领导，组织动员，安排专人负责指导，开展日常培训和岗前培训</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bCs/>
          <w:color w:val="auto"/>
          <w:sz w:val="34"/>
          <w:szCs w:val="34"/>
          <w:lang w:val="en-US" w:eastAsia="zh-CN"/>
        </w:rPr>
      </w:pPr>
      <w:r>
        <w:rPr>
          <w:rFonts w:hint="eastAsia" w:ascii="方正仿宋_GBK" w:hAnsi="方正仿宋_GBK" w:eastAsia="方正仿宋_GBK" w:cs="方正仿宋_GBK"/>
          <w:b/>
          <w:bCs/>
          <w:color w:val="auto"/>
          <w:sz w:val="34"/>
          <w:szCs w:val="34"/>
          <w:lang w:val="en-US" w:eastAsia="zh-CN"/>
        </w:rPr>
        <w:t>2、设施配置方案</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为每名保洁员配备分类收运车，有标识标志、归属地名称；配备有害垃圾收集车辆；村庄内垃圾分类中转房、可回收物站、有害垃圾归集点、中转站运行正常，环境整洁，功能齐全，配备专人。垃圾分类处置设施（阳光堆肥房或厌氧发酵池）运行正常，配备专人，管理规范。</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bCs/>
          <w:color w:val="auto"/>
          <w:sz w:val="34"/>
          <w:szCs w:val="34"/>
          <w:lang w:val="en-US" w:eastAsia="zh-CN"/>
        </w:rPr>
      </w:pPr>
      <w:r>
        <w:rPr>
          <w:rFonts w:hint="eastAsia" w:ascii="方正仿宋_GBK" w:hAnsi="方正仿宋_GBK" w:eastAsia="方正仿宋_GBK" w:cs="方正仿宋_GBK"/>
          <w:b/>
          <w:bCs/>
          <w:color w:val="auto"/>
          <w:sz w:val="34"/>
          <w:szCs w:val="34"/>
          <w:lang w:val="en-US" w:eastAsia="zh-CN"/>
        </w:rPr>
        <w:t>3、分类全链条方案</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按照“厨余垃圾、可回收物、其他垃圾、有害垃圾”四分法，实施分类投放、分类收集、分类转运、分类处置全链条体系。四类垃圾收集无混装混运；转运有时间、有计划，日产日清，有害垃圾有定期运送处理制度；有处置设施的规范手续和接收记录，厨余产出物由利用途径。</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lang w:val="en-US" w:eastAsia="zh-CN"/>
        </w:rPr>
        <w:t>（四）再生资源回收</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1、村级回收点、镇级可回收物和大件垃圾分拣中心、可回收物车辆管理、运行、维修维护正常。</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2、落实好保洁员前端上门收集可回收物、分拣运输，实现再生资源回收利用和垃圾分类处理的融合运行。</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3、对各辖区内有证照齐全的废品收购站废品收购站采取合作、融合的方式进行经营。</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lang w:val="en-US" w:eastAsia="zh-CN"/>
        </w:rPr>
        <w:t>（五）公共设施管护</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1、成立管护队伍。</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2、垃圾分类处置设施正常运行，管理规范，设施无损坏现象。</w:t>
      </w:r>
    </w:p>
    <w:p>
      <w:pPr>
        <w:keepNext w:val="0"/>
        <w:keepLines w:val="0"/>
        <w:pageBreakBefore w:val="0"/>
        <w:widowControl w:val="0"/>
        <w:kinsoku/>
        <w:wordWrap/>
        <w:overflowPunct/>
        <w:topLinePunct w:val="0"/>
        <w:autoSpaceDE/>
        <w:autoSpaceDN/>
        <w:bidi w:val="0"/>
        <w:adjustRightInd w:val="0"/>
        <w:snapToGrid w:val="0"/>
        <w:spacing w:line="288" w:lineRule="auto"/>
        <w:ind w:firstLine="680" w:firstLineChars="200"/>
        <w:jc w:val="both"/>
        <w:textAlignment w:val="auto"/>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3、公厕设施维护到位，化粪池抽取及时，并进行资源化利用。公厕管理制度及标识标志设置规范，内部设施、设备完好无损，定期维护管养到位，水电正常使用。</w:t>
      </w:r>
    </w:p>
    <w:p>
      <w:pPr>
        <w:spacing w:line="520" w:lineRule="exact"/>
        <w:ind w:firstLine="560"/>
        <w:jc w:val="left"/>
        <w:rPr>
          <w:rFonts w:hint="eastAsia" w:ascii="方正楷体_GBK" w:hAnsi="方正楷体_GBK" w:eastAsia="方正楷体_GBK" w:cs="方正楷体_GBK"/>
          <w:color w:val="auto"/>
          <w:sz w:val="34"/>
          <w:szCs w:val="34"/>
          <w:highlight w:val="white"/>
          <w:lang w:val="en-US" w:eastAsia="zh-CN"/>
        </w:rPr>
      </w:pPr>
      <w:r>
        <w:rPr>
          <w:rFonts w:hint="eastAsia" w:ascii="方正楷体_GBK" w:hAnsi="方正楷体_GBK" w:eastAsia="方正楷体_GBK" w:cs="方正楷体_GBK"/>
          <w:color w:val="auto"/>
          <w:sz w:val="34"/>
          <w:szCs w:val="34"/>
          <w:highlight w:val="white"/>
          <w:lang w:val="en-US" w:eastAsia="zh-CN"/>
        </w:rPr>
        <w:t>（六）便民服务</w:t>
      </w:r>
    </w:p>
    <w:p>
      <w:pPr>
        <w:spacing w:line="520" w:lineRule="exact"/>
        <w:ind w:firstLine="560"/>
        <w:jc w:val="left"/>
        <w:rPr>
          <w:rFonts w:hint="eastAsia" w:ascii="方正仿宋_GBK" w:hAnsi="方正仿宋_GBK" w:eastAsia="方正仿宋_GBK" w:cs="方正仿宋_GBK"/>
          <w:b w:val="0"/>
          <w:bCs w:val="0"/>
          <w:color w:val="auto"/>
          <w:sz w:val="34"/>
          <w:szCs w:val="34"/>
          <w:lang w:val="en-US" w:eastAsia="zh-CN"/>
        </w:rPr>
      </w:pPr>
      <w:r>
        <w:rPr>
          <w:rFonts w:hint="eastAsia" w:ascii="方正仿宋_GBK" w:hAnsi="方正仿宋_GBK" w:eastAsia="方正仿宋_GBK" w:cs="方正仿宋_GBK"/>
          <w:b w:val="0"/>
          <w:bCs w:val="0"/>
          <w:color w:val="auto"/>
          <w:sz w:val="34"/>
          <w:szCs w:val="34"/>
          <w:lang w:val="en-US" w:eastAsia="zh-CN"/>
        </w:rPr>
        <w:t>在村庄内新建的或依托垃圾分类中转房等公共设施，合理设置一处多功能便民服务站点，为村民提供饮用水、收发快递、小型商超、WiFi、垃圾分类积分兑换等社区便民服务，同时也可作为垃圾分类宣传阵地。</w:t>
      </w:r>
    </w:p>
    <w:p>
      <w:pPr>
        <w:spacing w:line="520" w:lineRule="exact"/>
        <w:ind w:firstLine="560"/>
        <w:jc w:val="left"/>
        <w:rPr>
          <w:rFonts w:hint="eastAsia" w:ascii="方正黑体_GBK" w:hAnsi="方正黑体_GBK" w:eastAsia="方正黑体_GBK" w:cs="方正黑体_GBK"/>
          <w:b/>
          <w:bCs/>
          <w:color w:val="auto"/>
          <w:sz w:val="34"/>
          <w:szCs w:val="34"/>
          <w:highlight w:val="white"/>
          <w:lang w:val="en-US" w:eastAsia="zh-CN"/>
        </w:rPr>
      </w:pPr>
      <w:r>
        <w:rPr>
          <w:rFonts w:hint="eastAsia" w:ascii="方正黑体_GBK" w:hAnsi="方正黑体_GBK" w:eastAsia="方正黑体_GBK" w:cs="方正黑体_GBK"/>
          <w:b/>
          <w:bCs/>
          <w:color w:val="auto"/>
          <w:sz w:val="34"/>
          <w:szCs w:val="34"/>
          <w:highlight w:val="white"/>
          <w:lang w:val="en-US" w:eastAsia="zh-CN"/>
        </w:rPr>
        <w:t>九、其他要求：见招标文件第五章《拟签订的合同文本》。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B4173"/>
    <w:rsid w:val="18DE2CF8"/>
    <w:rsid w:val="1BBB4173"/>
    <w:rsid w:val="1E076F70"/>
    <w:rsid w:val="259C0ED7"/>
    <w:rsid w:val="2DA873F6"/>
    <w:rsid w:val="34B120F4"/>
    <w:rsid w:val="65F23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24">
    <w:name w:val="Default Paragraph Font"/>
    <w:semiHidden/>
    <w:qFormat/>
    <w:uiPriority w:val="0"/>
  </w:style>
  <w:style w:type="table" w:default="1" w:styleId="25">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99"/>
    <w:pPr>
      <w:ind w:left="256" w:right="6" w:firstLine="624"/>
    </w:pPr>
    <w:rPr>
      <w:rFonts w:ascii="Calibri" w:hAnsi="Calibri" w:eastAsia="仿宋"/>
      <w:sz w:val="28"/>
      <w:szCs w:val="20"/>
    </w:rPr>
  </w:style>
  <w:style w:type="paragraph" w:styleId="3">
    <w:name w:val="Body Text First Indent"/>
    <w:basedOn w:val="4"/>
    <w:next w:val="22"/>
    <w:qFormat/>
    <w:uiPriority w:val="99"/>
    <w:pPr>
      <w:ind w:firstLine="420"/>
    </w:pPr>
  </w:style>
  <w:style w:type="paragraph" w:styleId="4">
    <w:name w:val="Body Text"/>
    <w:basedOn w:val="1"/>
    <w:next w:val="5"/>
    <w:qFormat/>
    <w:uiPriority w:val="0"/>
    <w:rPr>
      <w:rFonts w:ascii="仿宋_GB2312" w:eastAsia="仿宋_GB2312"/>
      <w:color w:val="000000"/>
      <w:sz w:val="24"/>
      <w:u w:val="single"/>
    </w:rPr>
  </w:style>
  <w:style w:type="paragraph" w:customStyle="1" w:styleId="5">
    <w:name w:val="一级条标题"/>
    <w:basedOn w:val="6"/>
    <w:next w:val="2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
    <w:name w:val="章标题"/>
    <w:basedOn w:val="7"/>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7">
    <w:name w:val="正文112"/>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正文首行缩进1"/>
    <w:basedOn w:val="9"/>
    <w:next w:val="10"/>
    <w:qFormat/>
    <w:uiPriority w:val="0"/>
    <w:pPr>
      <w:ind w:firstLine="420"/>
    </w:pPr>
  </w:style>
  <w:style w:type="paragraph" w:customStyle="1" w:styleId="9">
    <w:name w:val="正文文本11"/>
    <w:basedOn w:val="7"/>
    <w:next w:val="5"/>
    <w:qFormat/>
    <w:uiPriority w:val="0"/>
    <w:pPr>
      <w:spacing w:after="120"/>
    </w:pPr>
  </w:style>
  <w:style w:type="paragraph" w:customStyle="1" w:styleId="10">
    <w:name w:val="正文首行缩进 21"/>
    <w:basedOn w:val="11"/>
    <w:next w:val="12"/>
    <w:qFormat/>
    <w:uiPriority w:val="0"/>
    <w:pPr>
      <w:ind w:firstLine="420"/>
    </w:pPr>
    <w:rPr>
      <w:rFonts w:ascii="宋体" w:hAnsi="宋体"/>
      <w:sz w:val="20"/>
      <w:szCs w:val="20"/>
    </w:rPr>
  </w:style>
  <w:style w:type="paragraph" w:customStyle="1" w:styleId="11">
    <w:name w:val="正文文本缩进1"/>
    <w:basedOn w:val="12"/>
    <w:next w:val="18"/>
    <w:unhideWhenUsed/>
    <w:qFormat/>
    <w:uiPriority w:val="99"/>
    <w:pPr>
      <w:spacing w:line="360" w:lineRule="auto"/>
      <w:ind w:firstLine="425"/>
    </w:pPr>
  </w:style>
  <w:style w:type="paragraph" w:customStyle="1" w:styleId="12">
    <w:name w:val="正文12"/>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脚注文本1"/>
    <w:basedOn w:val="14"/>
    <w:next w:val="17"/>
    <w:qFormat/>
    <w:uiPriority w:val="0"/>
    <w:rPr>
      <w:rFonts w:ascii="宋体" w:eastAsia="Times New Roman"/>
      <w:sz w:val="18"/>
      <w:szCs w:val="18"/>
    </w:rPr>
  </w:style>
  <w:style w:type="paragraph" w:customStyle="1" w:styleId="14">
    <w:name w:val="正文1"/>
    <w:basedOn w:val="15"/>
    <w:next w:val="16"/>
    <w:qFormat/>
    <w:uiPriority w:val="0"/>
    <w:rPr>
      <w:rFonts w:hint="default" w:ascii="Times New Roman" w:hAnsi="Times New Roman" w:eastAsia="宋体" w:cs="Times New Roman"/>
      <w:lang w:val="en-US" w:eastAsia="zh-CN" w:bidi="ar-SA"/>
    </w:rPr>
  </w:style>
  <w:style w:type="paragraph" w:customStyle="1" w:styleId="15">
    <w:name w:val="正文111"/>
    <w:next w:val="8"/>
    <w:qFormat/>
    <w:uiPriority w:val="0"/>
    <w:rPr>
      <w:rFonts w:hint="default" w:ascii="Times New Roman" w:hAnsi="Times New Roman" w:eastAsia="宋体" w:cs="Times New Roman"/>
      <w:lang w:val="en-US" w:eastAsia="zh-CN" w:bidi="ar-SA"/>
    </w:rPr>
  </w:style>
  <w:style w:type="paragraph" w:customStyle="1" w:styleId="16">
    <w:name w:val="索引 41"/>
    <w:next w:val="14"/>
    <w:qFormat/>
    <w:uiPriority w:val="0"/>
    <w:pPr>
      <w:widowControl w:val="0"/>
      <w:ind w:left="600"/>
      <w:jc w:val="both"/>
    </w:pPr>
    <w:rPr>
      <w:rFonts w:hint="default" w:ascii="Calibri" w:hAnsi="Calibri" w:eastAsia="宋体" w:cs="Times New Roman"/>
      <w:sz w:val="22"/>
      <w:szCs w:val="22"/>
      <w:lang w:val="en-US" w:eastAsia="zh-CN" w:bidi="ar-SA"/>
    </w:rPr>
  </w:style>
  <w:style w:type="paragraph" w:customStyle="1" w:styleId="17">
    <w:name w:val="索引 51"/>
    <w:basedOn w:val="1"/>
    <w:next w:val="15"/>
    <w:qFormat/>
    <w:uiPriority w:val="0"/>
    <w:pPr>
      <w:ind w:left="798"/>
      <w:jc w:val="left"/>
    </w:pPr>
    <w:rPr>
      <w:rFonts w:ascii="Calibri" w:hAnsi="Calibri"/>
    </w:rPr>
  </w:style>
  <w:style w:type="paragraph" w:customStyle="1" w:styleId="18">
    <w:name w:val="寄信人地址1"/>
    <w:basedOn w:val="19"/>
    <w:unhideWhenUsed/>
    <w:qFormat/>
    <w:uiPriority w:val="99"/>
    <w:rPr>
      <w:rFonts w:ascii="Arial" w:hAnsi="Arial"/>
    </w:rPr>
  </w:style>
  <w:style w:type="paragraph" w:customStyle="1" w:styleId="19">
    <w:name w:val="正文11"/>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文本块1"/>
    <w:basedOn w:val="15"/>
    <w:qFormat/>
    <w:uiPriority w:val="6"/>
    <w:pPr>
      <w:ind w:left="256" w:right="6" w:firstLine="624"/>
    </w:pPr>
    <w:rPr>
      <w:rFonts w:eastAsia="仿宋"/>
      <w:sz w:val="28"/>
      <w:szCs w:val="20"/>
    </w:rPr>
  </w:style>
  <w:style w:type="paragraph" w:customStyle="1" w:styleId="21">
    <w:name w:val="段"/>
    <w:basedOn w:val="19"/>
    <w:next w:val="14"/>
    <w:qFormat/>
    <w:uiPriority w:val="0"/>
    <w:pPr>
      <w:widowControl/>
      <w:ind w:firstLine="200"/>
    </w:pPr>
    <w:rPr>
      <w:rFonts w:hint="eastAsia" w:ascii="宋体"/>
      <w:sz w:val="20"/>
      <w:szCs w:val="20"/>
    </w:rPr>
  </w:style>
  <w:style w:type="paragraph" w:styleId="22">
    <w:name w:val="Body Text First Indent 2"/>
    <w:basedOn w:val="23"/>
    <w:next w:val="1"/>
    <w:unhideWhenUsed/>
    <w:qFormat/>
    <w:uiPriority w:val="0"/>
    <w:pPr>
      <w:ind w:firstLine="420"/>
    </w:pPr>
  </w:style>
  <w:style w:type="paragraph" w:styleId="23">
    <w:name w:val="Body Text Indent"/>
    <w:basedOn w:val="1"/>
    <w:qFormat/>
    <w:uiPriority w:val="0"/>
    <w:pPr>
      <w:spacing w:after="120"/>
      <w:ind w:left="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5409</Words>
  <Characters>5607</Characters>
  <Lines>0</Lines>
  <Paragraphs>0</Paragraphs>
  <TotalTime>0</TotalTime>
  <ScaleCrop>false</ScaleCrop>
  <LinksUpToDate>false</LinksUpToDate>
  <CharactersWithSpaces>5609</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2025-02-12T06:11:00Z</dcterms:created>
  <dc:creator>王倩</dc:creator>
  <cp:lastModifiedBy>1</cp:lastModifiedBy>
  <cp:lastPrinted>2025-09-16T03:51:00Z</cp:lastPrinted>
  <dcterms:modified xsi:type="dcterms:W3CDTF">2025-09-21T12:03:17Z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9AA3ECD594C2484D81D757477C09562F_13</vt:lpwstr>
  </property>
  <property fmtid="{D5CDD505-2E9C-101B-9397-08002B2CF9AE}" pid="4" name="KSOTemplateDocerSaveRecord">
    <vt:lpwstr>eyJoZGlkIjoiN2VlYzkyNjFmYmI5NWNkNzViZDRjM2YzYTg4YjFjZDUiLCJ1c2VySWQiOiI4OTE4NDM3In0=</vt:lpwstr>
  </property>
</Properties>
</file>