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2B4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firstLine="723"/>
        <w:jc w:val="both"/>
      </w:pPr>
      <w:r>
        <w:rPr>
          <w:rFonts w:hint="eastAsia" w:ascii="宋体" w:hAnsi="宋体" w:eastAsia="宋体" w:cs="宋体"/>
          <w:color w:val="000000"/>
          <w:sz w:val="28"/>
          <w:szCs w:val="28"/>
        </w:rPr>
        <w:t>如有建议或意见，请以书面形式并加盖公章、注明联系人、联系方式，于202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16</w:t>
      </w:r>
      <w:r>
        <w:rPr>
          <w:rFonts w:hint="eastAsia" w:ascii="宋体" w:hAnsi="宋体" w:eastAsia="宋体" w:cs="宋体"/>
          <w:color w:val="000000"/>
          <w:sz w:val="28"/>
          <w:szCs w:val="28"/>
        </w:rPr>
        <w:t>日17:00之前送至我单位，逾期不受理（如邮寄，202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16</w:t>
      </w:r>
      <w:r>
        <w:rPr>
          <w:rFonts w:hint="eastAsia" w:ascii="宋体" w:hAnsi="宋体" w:eastAsia="宋体" w:cs="宋体"/>
          <w:color w:val="000000"/>
          <w:sz w:val="28"/>
          <w:szCs w:val="28"/>
        </w:rPr>
        <w:t>日17:00之后到达本公司的邮件将不再受理）。</w:t>
      </w:r>
    </w:p>
    <w:p w14:paraId="32018FA4">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524C0B3C">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6E7FD0F7">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147D5157">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4278B194">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34E18571">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0FB255AD">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5DD8CFED">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5D6E4DDB">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611BFA97">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60529676">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4214320F">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74C659A4">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03F4585A">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7D0E4B85">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p>
    <w:p w14:paraId="17EF2508">
      <w:pPr>
        <w:widowControl/>
        <w:pBdr>
          <w:top w:val="none" w:color="000000" w:sz="0" w:space="0"/>
          <w:left w:val="none" w:color="000000" w:sz="0" w:space="0"/>
          <w:bottom w:val="none" w:color="000000" w:sz="0" w:space="0"/>
          <w:right w:val="none" w:color="000000" w:sz="0" w:space="0"/>
        </w:pBdr>
        <w:spacing w:before="220" w:beforeAutospacing="0" w:after="0" w:afterAutospacing="0" w:line="250" w:lineRule="atLeast"/>
        <w:ind w:right="0"/>
        <w:jc w:val="center"/>
        <w:rPr>
          <w:rFonts w:hint="eastAsia" w:ascii="宋体" w:hAnsi="宋体" w:eastAsia="宋体" w:cs="Times New Roman"/>
          <w:b/>
          <w:bCs/>
          <w:color w:val="auto"/>
          <w:kern w:val="0"/>
          <w:sz w:val="30"/>
          <w:szCs w:val="30"/>
          <w:highlight w:val="none"/>
          <w:lang w:val="en-US" w:eastAsia="zh-CN" w:bidi="ar-SA"/>
        </w:rPr>
      </w:pPr>
      <w:r>
        <w:rPr>
          <w:rFonts w:hint="eastAsia" w:ascii="宋体" w:hAnsi="宋体" w:eastAsia="宋体" w:cs="Times New Roman"/>
          <w:b/>
          <w:bCs/>
          <w:color w:val="auto"/>
          <w:kern w:val="0"/>
          <w:sz w:val="30"/>
          <w:szCs w:val="30"/>
          <w:highlight w:val="none"/>
          <w:lang w:val="en-US" w:eastAsia="zh-CN" w:bidi="ar-SA"/>
        </w:rPr>
        <w:t>项目要求（采购需求）</w:t>
      </w:r>
    </w:p>
    <w:p w14:paraId="5433D706">
      <w:pPr>
        <w:widowControl w:val="0"/>
        <w:spacing w:beforeAutospacing="0" w:afterAutospacing="0" w:line="440" w:lineRule="exact"/>
        <w:ind w:firstLine="482"/>
        <w:jc w:val="both"/>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一、采购标的</w:t>
      </w:r>
    </w:p>
    <w:p w14:paraId="6A84C445">
      <w:pPr>
        <w:widowControl w:val="0"/>
        <w:spacing w:beforeAutospacing="0" w:afterAutospacing="0" w:line="440" w:lineRule="exact"/>
        <w:ind w:firstLine="48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电气焊机加芯赋码监管改造</w:t>
      </w:r>
      <w:bookmarkStart w:id="0" w:name="_GoBack"/>
      <w:bookmarkEnd w:id="0"/>
    </w:p>
    <w:p w14:paraId="7F0AD3E5">
      <w:pPr>
        <w:widowControl w:val="0"/>
        <w:numPr>
          <w:ilvl w:val="0"/>
          <w:numId w:val="0"/>
        </w:numPr>
        <w:spacing w:beforeAutospacing="0" w:afterAutospacing="0" w:line="440" w:lineRule="exact"/>
        <w:ind w:firstLine="482"/>
        <w:jc w:val="both"/>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lang w:val="en-US" w:eastAsia="zh-CN" w:bidi="ar-SA"/>
        </w:rPr>
        <w:t>二、</w:t>
      </w:r>
      <w:r>
        <w:rPr>
          <w:rFonts w:hint="eastAsia" w:ascii="宋体" w:hAnsi="宋体" w:eastAsia="宋体" w:cs="宋体"/>
          <w:b/>
          <w:bCs/>
          <w:sz w:val="24"/>
          <w:szCs w:val="24"/>
          <w:highlight w:val="none"/>
          <w:lang w:val="en-US" w:eastAsia="zh-CN" w:bidi="ar-SA"/>
        </w:rPr>
        <w:t>预算金额</w:t>
      </w:r>
    </w:p>
    <w:p w14:paraId="03725BF7">
      <w:pPr>
        <w:widowControl/>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本项目不接受超过</w:t>
      </w:r>
      <w:r>
        <w:rPr>
          <w:rFonts w:hint="eastAsia" w:ascii="宋体" w:hAnsi="宋体" w:eastAsia="宋体" w:cs="宋体"/>
          <w:kern w:val="0"/>
          <w:sz w:val="24"/>
          <w:szCs w:val="24"/>
          <w:highlight w:val="none"/>
          <w:lang w:val="en-US" w:eastAsia="zh-CN"/>
        </w:rPr>
        <w:t>73</w:t>
      </w:r>
      <w:r>
        <w:rPr>
          <w:rFonts w:hint="eastAsia" w:ascii="宋体" w:hAnsi="宋体" w:eastAsia="宋体" w:cs="宋体"/>
          <w:kern w:val="0"/>
          <w:sz w:val="24"/>
          <w:szCs w:val="24"/>
          <w:highlight w:val="none"/>
          <w:lang w:eastAsia="zh-CN"/>
        </w:rPr>
        <w:t>万元人民</w:t>
      </w:r>
      <w:r>
        <w:rPr>
          <w:rFonts w:hint="eastAsia" w:ascii="宋体" w:hAnsi="宋体" w:eastAsia="宋体" w:cs="宋体"/>
          <w:kern w:val="0"/>
          <w:sz w:val="24"/>
          <w:szCs w:val="24"/>
          <w:highlight w:val="none"/>
          <w:lang w:val="en-US" w:eastAsia="zh-CN" w:bidi="ar-SA"/>
        </w:rPr>
        <w:t>币</w:t>
      </w:r>
      <w:r>
        <w:rPr>
          <w:rFonts w:hint="eastAsia" w:ascii="宋体" w:hAnsi="宋体" w:eastAsia="宋体" w:cs="宋体"/>
          <w:kern w:val="0"/>
          <w:sz w:val="24"/>
          <w:szCs w:val="24"/>
          <w:highlight w:val="none"/>
          <w:lang w:eastAsia="zh-CN"/>
        </w:rPr>
        <w:t>（采购项目预算金额）的磋商报价（首次报价和最后报价）。</w:t>
      </w:r>
    </w:p>
    <w:p w14:paraId="192722AE">
      <w:pPr>
        <w:widowControl/>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本项目报价为完成项目的全部费用，其组成包括但不限于芯片采购、运输、安装、联调配置、系统适配、质保、运行维护、流量费、备品备件、耗材、更新升级、培训、管理费、税金、利润、合同服务期内的风险费用等为完成本项目所发生的一切费用，在合同实施期间，采购人不予支付中标供应商额外产生的其他费用。</w:t>
      </w:r>
    </w:p>
    <w:p w14:paraId="51ADFDFA">
      <w:pPr>
        <w:widowControl/>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hint="default"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供应商报价应建立在对项目服务范围、要求充分了解的基础上，成交后签订合同及履约过程中，供应商不得以不完全了解现场情况等为由，提出任何形式的增加合同外费用或其他的要求。</w:t>
      </w:r>
    </w:p>
    <w:p w14:paraId="32866AEC">
      <w:pPr>
        <w:widowControl w:val="0"/>
        <w:numPr>
          <w:ilvl w:val="0"/>
          <w:numId w:val="0"/>
        </w:numPr>
        <w:spacing w:beforeAutospacing="0" w:afterAutospacing="0" w:line="440" w:lineRule="exact"/>
        <w:ind w:firstLine="482"/>
        <w:jc w:val="both"/>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三、项目概况</w:t>
      </w:r>
    </w:p>
    <w:p w14:paraId="08FE3F22">
      <w:pPr>
        <w:widowControl w:val="0"/>
        <w:numPr>
          <w:ilvl w:val="0"/>
          <w:numId w:val="0"/>
        </w:numPr>
        <w:spacing w:beforeAutospacing="0" w:afterAutospacing="0" w:line="440" w:lineRule="exact"/>
        <w:ind w:firstLine="482"/>
        <w:jc w:val="both"/>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根据国务院安委会《关于加强人员密集场所动火作业安全管理的若干措施》（安委〔2024〕12号）和省安委会、省消委会印发的《江苏省人员密集场所动火作业安全管理全链条整治行动实施方案》（苏安〔2025〕2号）等文件要求，推进电气焊设备“加芯赋码”“一机一码”改造，充分运用物联网手段，通过“苏智焊”系统（江苏省电气焊数字化监管系统）对电气焊作业安全风险实时动态监测、预警和分级处置，有效拦截无证作业、违章作业，提升安全水平。</w:t>
      </w:r>
    </w:p>
    <w:p w14:paraId="6C1B8D62">
      <w:pPr>
        <w:widowControl w:val="0"/>
        <w:numPr>
          <w:ilvl w:val="0"/>
          <w:numId w:val="0"/>
        </w:numPr>
        <w:spacing w:beforeAutospacing="0" w:afterAutospacing="0" w:line="440" w:lineRule="exact"/>
        <w:ind w:firstLine="482"/>
        <w:jc w:val="both"/>
        <w:rPr>
          <w:rFonts w:hint="default"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本项目采购一家供应商负责对徐州市电焊机设备加装物联网芯片（模组）、赋专属二维码，完成设备安装，并接入“苏智焊”系统（江苏省电气焊数字化监管系统），提供设备后期质保及维护等。本次采购加装芯片的电焊机设备为3057台（套）。（具体数量根据采购人要求，合同总价不变）。</w:t>
      </w:r>
    </w:p>
    <w:p w14:paraId="6DBBD060">
      <w:pPr>
        <w:widowControl w:val="0"/>
        <w:numPr>
          <w:ilvl w:val="0"/>
          <w:numId w:val="0"/>
        </w:numPr>
        <w:spacing w:beforeAutospacing="0" w:afterAutospacing="0" w:line="440" w:lineRule="exact"/>
        <w:ind w:firstLine="482"/>
        <w:jc w:val="both"/>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四、服务内容</w:t>
      </w:r>
    </w:p>
    <w:p w14:paraId="2C12B761">
      <w:pPr>
        <w:widowControl w:val="0"/>
        <w:numPr>
          <w:ilvl w:val="0"/>
          <w:numId w:val="0"/>
        </w:numPr>
        <w:spacing w:beforeAutospacing="0" w:afterAutospacing="0" w:line="440" w:lineRule="exact"/>
        <w:ind w:firstLine="482"/>
        <w:jc w:val="both"/>
        <w:rPr>
          <w:rFonts w:hint="default"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一）电焊设备智能化改造服务需求：由于本项目涉及到对全市范围内指定行业领域已知的存量电焊设备进行智能化改造，因此需要拥有相关知识的专业人员分级分批，以县（市）市区、镇街园区或企业为范围，对电焊设备进行集中改造，为电焊设备加装智能物联设备。</w:t>
      </w:r>
    </w:p>
    <w:p w14:paraId="04484E5B">
      <w:pPr>
        <w:widowControl w:val="0"/>
        <w:numPr>
          <w:ilvl w:val="0"/>
          <w:numId w:val="0"/>
        </w:numPr>
        <w:spacing w:beforeAutospacing="0" w:afterAutospacing="0" w:line="440" w:lineRule="exact"/>
        <w:ind w:firstLine="482"/>
        <w:jc w:val="both"/>
        <w:rPr>
          <w:rFonts w:hint="default"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二）运营服务需求：本项目通过为焊机“赋码加芯”实现电焊设备扫码启停，改变了焊工传统的工作作业模式，在新的工作模式下，焊工、企业会产生如操作使用、申请流程、证件问题、作业限制、预警报警等大量问题，需要设立全市统一的服务热线，能提供7*24小时技术支撑，耐心且专业的为焊工和企业提供引导、解答、采集信息、处理问题等服务。</w:t>
      </w:r>
    </w:p>
    <w:p w14:paraId="629D40A8">
      <w:pPr>
        <w:widowControl w:val="0"/>
        <w:numPr>
          <w:ilvl w:val="0"/>
          <w:numId w:val="0"/>
        </w:numPr>
        <w:spacing w:beforeAutospacing="0" w:afterAutospacing="0" w:line="440" w:lineRule="exact"/>
        <w:ind w:firstLine="482"/>
        <w:jc w:val="both"/>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三）物联芯片运维需求：电焊设备完成改造后，进入日常运维阶段，在日常作业中，存在因各种不可抗力原因导致的芯片离线、拆除、损耗等风险，为不影响企业生产与焊工作业，需要运维团队安排人员通过远程核验等方式，及时排查问题，并对损坏芯片及时维修、更换。</w:t>
      </w:r>
    </w:p>
    <w:p w14:paraId="3A5BD2EC">
      <w:pPr>
        <w:widowControl w:val="0"/>
        <w:numPr>
          <w:ilvl w:val="0"/>
          <w:numId w:val="0"/>
        </w:numPr>
        <w:spacing w:beforeAutospacing="0" w:afterAutospacing="0" w:line="440" w:lineRule="exact"/>
        <w:ind w:firstLine="482"/>
        <w:jc w:val="both"/>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五、技术要求</w:t>
      </w:r>
    </w:p>
    <w:tbl>
      <w:tblPr>
        <w:tblStyle w:val="4"/>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546"/>
      </w:tblGrid>
      <w:tr w14:paraId="5CC2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00CA9022">
            <w:pPr>
              <w:widowControl w:val="0"/>
              <w:spacing w:before="0" w:beforeAutospacing="0" w:after="0" w:afterAutospacing="0" w:line="360" w:lineRule="auto"/>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序号</w:t>
            </w:r>
          </w:p>
        </w:tc>
        <w:tc>
          <w:tcPr>
            <w:tcW w:w="1134" w:type="dxa"/>
            <w:noWrap w:val="0"/>
            <w:vAlign w:val="center"/>
          </w:tcPr>
          <w:p w14:paraId="6377BE1D">
            <w:pPr>
              <w:widowControl w:val="0"/>
              <w:spacing w:before="0" w:beforeAutospacing="0" w:after="0" w:afterAutospacing="0" w:line="360" w:lineRule="auto"/>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名  称</w:t>
            </w:r>
          </w:p>
        </w:tc>
        <w:tc>
          <w:tcPr>
            <w:tcW w:w="6546" w:type="dxa"/>
            <w:noWrap w:val="0"/>
            <w:vAlign w:val="center"/>
          </w:tcPr>
          <w:p w14:paraId="5878308C">
            <w:pPr>
              <w:widowControl w:val="0"/>
              <w:spacing w:before="0" w:beforeAutospacing="0" w:after="0" w:afterAutospacing="0" w:line="360" w:lineRule="auto"/>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参数</w:t>
            </w:r>
          </w:p>
        </w:tc>
      </w:tr>
      <w:tr w14:paraId="1A7F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3E11988C">
            <w:pPr>
              <w:widowControl w:val="0"/>
              <w:spacing w:before="0" w:beforeAutospacing="0" w:after="0" w:afterAutospacing="0" w:line="360" w:lineRule="auto"/>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p>
        </w:tc>
        <w:tc>
          <w:tcPr>
            <w:tcW w:w="1134" w:type="dxa"/>
            <w:noWrap w:val="0"/>
            <w:vAlign w:val="center"/>
          </w:tcPr>
          <w:p w14:paraId="1F18A2E5">
            <w:pPr>
              <w:widowControl w:val="0"/>
              <w:spacing w:before="0" w:beforeAutospacing="0" w:after="0" w:afterAutospacing="0" w:line="360" w:lineRule="auto"/>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lang w:eastAsia="zh-CN"/>
              </w:rPr>
              <w:t>智能物联芯片（</w:t>
            </w:r>
            <w:r>
              <w:rPr>
                <w:rFonts w:hint="eastAsia" w:ascii="宋体" w:hAnsi="宋体" w:eastAsia="宋体" w:cs="宋体"/>
                <w:kern w:val="2"/>
                <w:sz w:val="24"/>
                <w:szCs w:val="24"/>
                <w:lang w:val="en-US" w:eastAsia="zh-CN"/>
              </w:rPr>
              <w:t>模组）</w:t>
            </w:r>
          </w:p>
        </w:tc>
        <w:tc>
          <w:tcPr>
            <w:tcW w:w="6546" w:type="dxa"/>
            <w:noWrap w:val="0"/>
            <w:vAlign w:val="center"/>
          </w:tcPr>
          <w:p w14:paraId="0F4176A7">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▲1、支持远程开关量采集并对设备进行开关量控制；</w:t>
            </w:r>
          </w:p>
          <w:p w14:paraId="039CF369">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▲2、支持4G网络通信（网络标准：Cat14G全网通，支持中国移动、联通、电信、广电等运营商）；</w:t>
            </w:r>
          </w:p>
          <w:p w14:paraId="6CC5E481">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3、支持蓝牙5.2通信；</w:t>
            </w:r>
          </w:p>
          <w:p w14:paraId="48BED553">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、支持远程升级固件；</w:t>
            </w:r>
          </w:p>
          <w:p w14:paraId="422767D9">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lang w:eastAsia="zh-CN"/>
              </w:rPr>
              <w:t>、安装模组的焊接设备使用环境应满足GB/T 15579.1要求。终端可在以下环境中正常使用：</w:t>
            </w:r>
          </w:p>
          <w:p w14:paraId="2A67BA17">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 xml:space="preserve">工作温度：-35℃～75℃； </w:t>
            </w:r>
          </w:p>
          <w:p w14:paraId="0BF84CD0">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eastAsia="zh-CN"/>
              </w:rPr>
              <w:t xml:space="preserve">相对湿度：0%～95％。 </w:t>
            </w:r>
          </w:p>
          <w:p w14:paraId="40A72912">
            <w:pPr>
              <w:widowControl w:val="0"/>
              <w:spacing w:before="0" w:beforeAutospacing="0" w:after="0" w:afterAutospacing="0"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lang w:eastAsia="zh-CN"/>
              </w:rPr>
              <w:t>、通信协议：支持MQTT协议、HTTP协议、TCP/UDP协议；</w:t>
            </w:r>
          </w:p>
          <w:p w14:paraId="5ED2AF42">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lang w:eastAsia="zh-CN"/>
              </w:rPr>
              <w:t>、芯片应具有实时检测电焊机设备工作状态信号，可对电焊设备是否作业进行实时监测并上报；</w:t>
            </w:r>
          </w:p>
          <w:p w14:paraId="77FEC26C">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lang w:eastAsia="zh-CN"/>
              </w:rPr>
              <w:t>、芯片具备相对应的应急机制，当出现因不可抗力因素导致的设备无法正常通信的情况发生时，芯片可放开对焊机控制，实现焊机通电即可进行焊接工作的目的，待相关情况稳定之后，设备再行工作，恢复芯片控制焊机开关机的功能；</w:t>
            </w:r>
          </w:p>
          <w:p w14:paraId="36B367E2">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lang w:eastAsia="zh-CN"/>
              </w:rPr>
              <w:t>、芯片提供3年4G流量使用。芯片数据支持接入“江苏省电气焊数字化监管系统”，建立焊机档案信息库和焊机所属企业信息库，并提供后期质保及维护等。</w:t>
            </w:r>
          </w:p>
          <w:p w14:paraId="4DD8272E">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r>
              <w:rPr>
                <w:rFonts w:hint="eastAsia" w:ascii="宋体" w:hAnsi="宋体" w:eastAsia="宋体" w:cs="宋体"/>
                <w:kern w:val="2"/>
                <w:sz w:val="24"/>
                <w:szCs w:val="24"/>
                <w:lang w:val="en-US" w:eastAsia="zh-CN"/>
              </w:rPr>
              <w:t>0</w:t>
            </w:r>
            <w:r>
              <w:rPr>
                <w:rFonts w:hint="eastAsia" w:ascii="宋体" w:hAnsi="宋体" w:eastAsia="宋体" w:cs="宋体"/>
                <w:kern w:val="2"/>
                <w:sz w:val="24"/>
                <w:szCs w:val="24"/>
                <w:lang w:eastAsia="zh-CN"/>
              </w:rPr>
              <w:t>、外观应清洁，不应有明显划痕、损伤、变形和污损等明显缺陷。金属零部件不应有锈蚀及其他机械损伤，电镀层应均匀光亮，不应有剥落和露底现象。所有手触的外表面均应平整光滑，不得有锋棱、毛刺、尖角及刮手等。</w:t>
            </w:r>
          </w:p>
          <w:p w14:paraId="0A79536D">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、外壳防护等级应不低于GB/T 4208中的IP65等级，模组应用不得改变焊接设备原有的外壳防护等级。</w:t>
            </w:r>
          </w:p>
          <w:p w14:paraId="1754D874">
            <w:pPr>
              <w:widowControl w:val="0"/>
              <w:spacing w:before="0" w:beforeAutospacing="0" w:after="0" w:afterAutospacing="0"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12</w:t>
            </w:r>
            <w:r>
              <w:rPr>
                <w:rFonts w:hint="eastAsia" w:ascii="宋体" w:hAnsi="宋体" w:eastAsia="宋体" w:cs="宋体"/>
                <w:kern w:val="2"/>
                <w:sz w:val="24"/>
                <w:szCs w:val="24"/>
                <w:highlight w:val="none"/>
                <w:lang w:eastAsia="zh-CN"/>
              </w:rPr>
              <w:t xml:space="preserve">、根据命名规则的编码生成清晰耐久的二维码铭牌标志。铭牌应安装在焊接设备外表面的显著位置，铭牌尺寸应与主机结构尺寸相适宜。 </w:t>
            </w:r>
          </w:p>
          <w:p w14:paraId="5AE99860">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铭牌应包括下列内容：</w:t>
            </w:r>
          </w:p>
          <w:p w14:paraId="705035A7">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(1)名称、规格及型号；</w:t>
            </w:r>
          </w:p>
          <w:p w14:paraId="1BF1CF5E">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(2)制造厂名及商标； </w:t>
            </w:r>
          </w:p>
          <w:p w14:paraId="7E923876">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(3)出厂年月；</w:t>
            </w:r>
          </w:p>
          <w:p w14:paraId="21C1A3E0">
            <w:pPr>
              <w:widowControl w:val="0"/>
              <w:spacing w:before="0" w:beforeAutospacing="0" w:after="0" w:afterAutospacing="0" w:line="360" w:lineRule="auto"/>
              <w:jc w:val="both"/>
              <w:rPr>
                <w:rFonts w:hint="eastAsia" w:ascii="宋体" w:hAnsi="宋体" w:eastAsia="宋体" w:cs="宋体"/>
                <w:kern w:val="2"/>
                <w:sz w:val="21"/>
                <w:szCs w:val="20"/>
                <w:lang w:eastAsia="zh-CN"/>
              </w:rPr>
            </w:pPr>
            <w:r>
              <w:rPr>
                <w:rFonts w:hint="eastAsia" w:ascii="宋体" w:hAnsi="宋体" w:eastAsia="宋体" w:cs="宋体"/>
                <w:kern w:val="2"/>
                <w:sz w:val="24"/>
                <w:szCs w:val="24"/>
                <w:lang w:eastAsia="zh-CN"/>
              </w:rPr>
              <w:t>(4)设备号。</w:t>
            </w:r>
          </w:p>
        </w:tc>
      </w:tr>
      <w:tr w14:paraId="438C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CA436E3">
            <w:pPr>
              <w:widowControl w:val="0"/>
              <w:spacing w:before="0" w:beforeAutospacing="0" w:after="0" w:afterAutospacing="0" w:line="360" w:lineRule="auto"/>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w:t>
            </w:r>
          </w:p>
        </w:tc>
        <w:tc>
          <w:tcPr>
            <w:tcW w:w="1134" w:type="dxa"/>
            <w:noWrap w:val="0"/>
            <w:vAlign w:val="center"/>
          </w:tcPr>
          <w:p w14:paraId="78C21334">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芯片安装服务</w:t>
            </w:r>
          </w:p>
        </w:tc>
        <w:tc>
          <w:tcPr>
            <w:tcW w:w="6546" w:type="dxa"/>
            <w:noWrap w:val="0"/>
            <w:vAlign w:val="center"/>
          </w:tcPr>
          <w:p w14:paraId="742A5979">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智能物联芯片安装服务，目标为全市范围内的</w:t>
            </w:r>
            <w:r>
              <w:rPr>
                <w:rFonts w:hint="eastAsia" w:ascii="宋体" w:hAnsi="宋体" w:eastAsia="宋体" w:cs="宋体"/>
                <w:kern w:val="2"/>
                <w:sz w:val="24"/>
                <w:szCs w:val="24"/>
                <w:lang w:val="en-US" w:eastAsia="zh-CN"/>
              </w:rPr>
              <w:t>3057</w:t>
            </w:r>
            <w:r>
              <w:rPr>
                <w:rFonts w:hint="eastAsia" w:ascii="宋体" w:hAnsi="宋体" w:eastAsia="宋体" w:cs="宋体"/>
                <w:kern w:val="2"/>
                <w:sz w:val="24"/>
                <w:szCs w:val="24"/>
                <w:lang w:eastAsia="zh-CN"/>
              </w:rPr>
              <w:t>台（套）各类型号电焊机“加芯赋码”。（备注：供应商应整体考虑成本，对所报内容全部响应，报价若有遗漏，则视为包含在供应商报价中。）具体如下：</w:t>
            </w:r>
          </w:p>
          <w:p w14:paraId="6C7F8B1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预约安装：涉焊生产经营单位的地址比较分散，中标单位要主动与相关县（市）区加强沟通，针对企业的规模、位置、生产计划制定针对性的安装计划，预约安装服务时间，分批分步骤、多个时间节点安装，尽可能不影响企业的正常生产。</w:t>
            </w:r>
          </w:p>
          <w:p w14:paraId="1554BF5B">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2、设备检验：检查设备的电源开关是否处于关闭状态。使用电笔检查设备是否已完全断电，确保安全。</w:t>
            </w:r>
          </w:p>
          <w:p w14:paraId="68350FA8">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3、外观检查：检查焊机仪表盘是否属于关闭状态。</w:t>
            </w:r>
          </w:p>
          <w:p w14:paraId="2356BA93">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4、外壳拆卸（如有必要）：拆卸焊机外壳螺丝，以便访问内部电路。拆卸外壳后，找出焊机进线处，再次使用电笔测试是否已完全断电。</w:t>
            </w:r>
          </w:p>
          <w:p w14:paraId="008459A4">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5、芯片安装：选择合适的延长线进行接线。接线完成后使用电工胶布或者热缩管进行绝缘处理。</w:t>
            </w:r>
          </w:p>
          <w:p w14:paraId="5A895D49">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6、设备登记：通过小程序进行设备登记，安装人员绑定号码后会自动进入安装登记页面，登记设备相关信息及设备所属企业信息等。</w:t>
            </w:r>
          </w:p>
          <w:p w14:paraId="70C63DC9">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7、开关机测试：登记完成后，重新连接电源，并进行开关机测试。观察设备是否能够正常启动，并检查是否有任何异常或错误消息。如果一切正常，则芯片安装成功。</w:t>
            </w:r>
          </w:p>
          <w:p w14:paraId="73810510">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8、操作培训服务：指导企业进行操作培训，包含：说明书手册介绍；一线操作工人实操培训；芯片日常运行养护培训；作业异常类问题应急处理方案培训。</w:t>
            </w:r>
          </w:p>
          <w:p w14:paraId="12BB7727">
            <w:pPr>
              <w:widowControl w:val="0"/>
              <w:spacing w:before="0" w:beforeAutospacing="0" w:after="0" w:afterAutospacing="0"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9、芯片安装辅材：服务厂商需自备绝缘胶布、螺丝、电线（软线）、扎带、</w:t>
            </w:r>
            <w:r>
              <w:rPr>
                <w:rFonts w:hint="eastAsia" w:ascii="宋体" w:hAnsi="宋体" w:eastAsia="宋体" w:cs="宋体"/>
                <w:kern w:val="2"/>
                <w:sz w:val="24"/>
                <w:szCs w:val="24"/>
                <w:lang w:val="en-US" w:eastAsia="zh-CN"/>
              </w:rPr>
              <w:t>密封胶</w:t>
            </w:r>
            <w:r>
              <w:rPr>
                <w:rFonts w:hint="eastAsia" w:ascii="宋体" w:hAnsi="宋体" w:eastAsia="宋体" w:cs="宋体"/>
                <w:kern w:val="2"/>
                <w:sz w:val="24"/>
                <w:szCs w:val="24"/>
                <w:lang w:eastAsia="zh-CN"/>
              </w:rPr>
              <w:t>、热胶棒等安装配套辅材。</w:t>
            </w:r>
          </w:p>
        </w:tc>
      </w:tr>
    </w:tbl>
    <w:p w14:paraId="2451801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default"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六、服务要求</w:t>
      </w:r>
    </w:p>
    <w:p w14:paraId="33943A2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1、供应商需要提供合理的项目实施方案以保证项目安全顺利进行，项目实施过程中尽量不影响安装企业的正常生产。项目实施中及后期因项目实施产生的安全问题由供应商负责。</w:t>
      </w:r>
    </w:p>
    <w:p w14:paraId="7AE8BEA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2、供应商需要提供合理的培训方案，以保证项目能够顺利发挥作用。</w:t>
      </w:r>
    </w:p>
    <w:p w14:paraId="226ABE4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3、供应商需要提供售后/伴随服务，服务内容包括日常运作维护、服务咨询、主动监测、故障修复、特殊保障和升级优化。具体如下：</w:t>
      </w:r>
    </w:p>
    <w:p w14:paraId="2243D98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（1）日常运作维护</w:t>
      </w:r>
    </w:p>
    <w:p w14:paraId="54A25A3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按应要求的产品功能和性能要求，维护产品日常运作。</w:t>
      </w:r>
    </w:p>
    <w:p w14:paraId="6F109B1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（2）服务咨询</w:t>
      </w:r>
    </w:p>
    <w:p w14:paraId="0EB0B24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设立全市统一的服务热线，提供7*24小时技术支撑服务，接收故障保修、使用帮助要求、业务和技术咨询、服务投诉等。服务热线7*24小时全天候运行，配备足够的咨询人员或技术工程师。在热线电话发生故障情况下，提供其它备份的方便和迅速的联系方式。</w:t>
      </w:r>
    </w:p>
    <w:p w14:paraId="6B7E7C9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）主动监测</w:t>
      </w:r>
    </w:p>
    <w:p w14:paraId="52F3331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建立设备管理监控体系，有效地对设备运作情况和传输线路的性能、通断情况进行实时监控，及早发现问题，排除故障。</w:t>
      </w:r>
    </w:p>
    <w:p w14:paraId="72F4037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）故障修复</w:t>
      </w:r>
    </w:p>
    <w:p w14:paraId="310A0AF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紧急抢修：承担合同期内设备发生故障的抢修任务。</w:t>
      </w:r>
    </w:p>
    <w:p w14:paraId="4C64555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备用方案：如特殊原因造成芯片无法正常使用，应及时提供备用芯片确保焊机运行正常。</w:t>
      </w:r>
    </w:p>
    <w:p w14:paraId="3668124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易损易耗件：建立备品仓库，储存足够的备用易损易耗件。备品仓库应合理分布。备品仓库应定期进行检查。</w:t>
      </w:r>
    </w:p>
    <w:p w14:paraId="6C1FFD3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default"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七</w:t>
      </w:r>
      <w:r>
        <w:rPr>
          <w:rFonts w:hint="eastAsia" w:ascii="宋体" w:hAnsi="宋体" w:eastAsia="宋体" w:cs="宋体"/>
          <w:b/>
          <w:bCs/>
          <w:kern w:val="2"/>
          <w:sz w:val="24"/>
          <w:szCs w:val="24"/>
          <w:lang w:eastAsia="zh-CN"/>
        </w:rPr>
        <w:t>、服务形式</w:t>
      </w:r>
    </w:p>
    <w:p w14:paraId="35D5D06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1、电话咨询</w:t>
      </w:r>
    </w:p>
    <w:p w14:paraId="0DD3FC9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提供7×24小时的服务热线，解答用户在使用过程中遇到问题，用户通过直接拨打技术支持、售后服务电话，即时获取问题解答和技术咨询。</w:t>
      </w:r>
    </w:p>
    <w:p w14:paraId="044C53D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2、网络远程服务</w:t>
      </w:r>
    </w:p>
    <w:p w14:paraId="080EBF6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产品运行过程中遇到问题，仅靠语言或文字描述无法阐明时，可通过电子邮件等方式传递用于故障信息，便于技术人员及时解决运行问题。</w:t>
      </w:r>
    </w:p>
    <w:p w14:paraId="6371AC0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3、企业现场服务</w:t>
      </w:r>
    </w:p>
    <w:p w14:paraId="3306553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由于产品本身原因导致的故障，供应商运维期内免费提供现场技术支持，其它未知原因造成的故障，需进行现场故障会诊时，可参与故障分析、定位、会诊工作，并采取必要技术处理，协助恢复正常运行。</w:t>
      </w:r>
    </w:p>
    <w:p w14:paraId="2CCCCC4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default"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八</w:t>
      </w:r>
      <w:r>
        <w:rPr>
          <w:rFonts w:hint="eastAsia" w:ascii="宋体" w:hAnsi="宋体" w:eastAsia="宋体" w:cs="宋体"/>
          <w:b/>
          <w:bCs/>
          <w:kern w:val="2"/>
          <w:sz w:val="24"/>
          <w:szCs w:val="24"/>
          <w:lang w:eastAsia="zh-CN"/>
        </w:rPr>
        <w:t>、人员要求</w:t>
      </w:r>
    </w:p>
    <w:p w14:paraId="763B056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本次项目涉及安全生产、软件开发、电焊设备改造等专业服务，为保障服务专业性和项目的顺利开展，供应商团队应具备相应的服务能力，团队人员需具备电子信息技术类专业技能及焊接相关专业人员。</w:t>
      </w:r>
    </w:p>
    <w:p w14:paraId="436D262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为保证项目的顺利进行，供应商需要提供不少于</w:t>
      </w:r>
      <w:r>
        <w:rPr>
          <w:rFonts w:hint="eastAsia" w:ascii="宋体" w:hAnsi="宋体" w:eastAsia="宋体" w:cs="宋体"/>
          <w:kern w:val="2"/>
          <w:sz w:val="24"/>
          <w:szCs w:val="24"/>
          <w:lang w:val="en-US" w:eastAsia="zh-CN"/>
        </w:rPr>
        <w:t>10</w:t>
      </w:r>
      <w:r>
        <w:rPr>
          <w:rFonts w:hint="eastAsia" w:ascii="宋体" w:hAnsi="宋体" w:eastAsia="宋体" w:cs="宋体"/>
          <w:kern w:val="2"/>
          <w:sz w:val="24"/>
          <w:szCs w:val="24"/>
          <w:lang w:eastAsia="zh-CN"/>
        </w:rPr>
        <w:t>人的服务团队。相关人员</w:t>
      </w:r>
      <w:r>
        <w:rPr>
          <w:rFonts w:hint="default" w:ascii="宋体" w:hAnsi="宋体" w:eastAsia="宋体" w:cs="宋体"/>
          <w:kern w:val="2"/>
          <w:sz w:val="24"/>
          <w:szCs w:val="24"/>
          <w:lang w:val="en-US" w:eastAsia="zh-CN"/>
        </w:rPr>
        <w:t>熟悉电气焊设备结构、</w:t>
      </w:r>
      <w:r>
        <w:rPr>
          <w:rFonts w:hint="default" w:ascii="宋体" w:hAnsi="宋体" w:eastAsia="宋体" w:cs="宋体"/>
          <w:kern w:val="2"/>
          <w:sz w:val="24"/>
          <w:szCs w:val="24"/>
          <w:lang w:eastAsia="zh-CN"/>
        </w:rPr>
        <w:t>具有低压电工证，中标供应商须在投标时向甲方提供人员名单</w:t>
      </w:r>
      <w:r>
        <w:rPr>
          <w:rFonts w:hint="eastAsia" w:ascii="宋体" w:hAnsi="宋体" w:eastAsia="宋体" w:cs="宋体"/>
          <w:kern w:val="2"/>
          <w:sz w:val="24"/>
          <w:szCs w:val="24"/>
          <w:lang w:eastAsia="zh-CN"/>
        </w:rPr>
        <w:t>及相关</w:t>
      </w:r>
      <w:r>
        <w:rPr>
          <w:rFonts w:hint="default" w:ascii="宋体" w:hAnsi="宋体" w:eastAsia="宋体" w:cs="宋体"/>
          <w:kern w:val="2"/>
          <w:sz w:val="24"/>
          <w:szCs w:val="24"/>
          <w:lang w:eastAsia="zh-CN"/>
        </w:rPr>
        <w:t>证明材料。</w:t>
      </w:r>
    </w:p>
    <w:p w14:paraId="3C69D10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供应商在接到涉焊企业函电后，在半小时内对其所提出的维修要求作出响应，采购人有应急要求时能在1小时内到达维修现场，一般维修3小时内到达维修现场并维修完毕，若48小时内无法维修完毕的须更换同型号产品到位，保证设备正常使用，费用由供应商负责。</w:t>
      </w:r>
    </w:p>
    <w:p w14:paraId="53B72B2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九、验收要求</w:t>
      </w:r>
    </w:p>
    <w:p w14:paraId="5F89C7E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1.供应商提供的设备必须是全新的原装优质产品（包括所有零部件、元器件、附件、备件），符合相应的国家标准，并须提供相关产品的产品合格证、产品说明书和安装说明等资料，投标人所提供的产品在安装调试完成后，并试运行一次，确保芯片有效数据能实时上传至监管系统，达到相关功能要求。</w:t>
      </w:r>
    </w:p>
    <w:p w14:paraId="05C0BBA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2、供应商在设备送达指定地点并安装调试完毕后，书面通知采购人报验。根据行业相关标准及采购文件、响应文件相应技术要求，由采购人组织验收。</w:t>
      </w:r>
    </w:p>
    <w:p w14:paraId="04091D9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default"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十、商务要求</w:t>
      </w:r>
    </w:p>
    <w:p w14:paraId="3FFBBC6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1、服务期：2</w:t>
      </w:r>
      <w:r>
        <w:rPr>
          <w:rFonts w:hint="default" w:ascii="宋体" w:hAnsi="宋体" w:eastAsia="宋体" w:cs="宋体"/>
          <w:kern w:val="2"/>
          <w:sz w:val="24"/>
          <w:szCs w:val="24"/>
          <w:lang w:eastAsia="zh-CN"/>
        </w:rPr>
        <w:t>025</w:t>
      </w:r>
      <w:r>
        <w:rPr>
          <w:rFonts w:hint="eastAsia" w:ascii="宋体" w:hAnsi="宋体" w:eastAsia="宋体" w:cs="宋体"/>
          <w:kern w:val="2"/>
          <w:sz w:val="24"/>
          <w:szCs w:val="24"/>
          <w:lang w:eastAsia="zh-CN"/>
        </w:rPr>
        <w:t>年1</w:t>
      </w:r>
      <w:r>
        <w:rPr>
          <w:rFonts w:hint="default" w:ascii="宋体" w:hAnsi="宋体" w:eastAsia="宋体" w:cs="宋体"/>
          <w:kern w:val="2"/>
          <w:sz w:val="24"/>
          <w:szCs w:val="24"/>
          <w:lang w:eastAsia="zh-CN"/>
        </w:rPr>
        <w:t>1</w:t>
      </w:r>
      <w:r>
        <w:rPr>
          <w:rFonts w:hint="eastAsia" w:ascii="宋体" w:hAnsi="宋体" w:eastAsia="宋体" w:cs="宋体"/>
          <w:kern w:val="2"/>
          <w:sz w:val="24"/>
          <w:szCs w:val="24"/>
          <w:lang w:eastAsia="zh-CN"/>
        </w:rPr>
        <w:t>月3</w:t>
      </w:r>
      <w:r>
        <w:rPr>
          <w:rFonts w:hint="default" w:ascii="宋体" w:hAnsi="宋体" w:eastAsia="宋体" w:cs="宋体"/>
          <w:kern w:val="2"/>
          <w:sz w:val="24"/>
          <w:szCs w:val="24"/>
          <w:lang w:eastAsia="zh-CN"/>
        </w:rPr>
        <w:t>0</w:t>
      </w:r>
      <w:r>
        <w:rPr>
          <w:rFonts w:hint="eastAsia" w:ascii="宋体" w:hAnsi="宋体" w:eastAsia="宋体" w:cs="宋体"/>
          <w:kern w:val="2"/>
          <w:sz w:val="24"/>
          <w:szCs w:val="24"/>
          <w:lang w:eastAsia="zh-CN"/>
        </w:rPr>
        <w:t>日前按采购人要求完成安装及调试，验收通过后提供3年免费质保及运维服务。</w:t>
      </w:r>
    </w:p>
    <w:p w14:paraId="67562B3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eastAsia="zh-CN"/>
        </w:rPr>
        <w:t>2、质保及运维期内发生的所有芯片维修、更换等费用由供应商负责。</w:t>
      </w:r>
    </w:p>
    <w:p w14:paraId="11869DD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eastAsia="zh-CN"/>
        </w:rPr>
        <w:t>3、付款条件：合同签订后，在财政资金下达且支付申请手续获批后，付总价的30%；全部电气焊机改造</w:t>
      </w:r>
      <w:r>
        <w:rPr>
          <w:rFonts w:hint="eastAsia" w:ascii="宋体" w:hAnsi="宋体" w:eastAsia="宋体" w:cs="宋体"/>
          <w:kern w:val="2"/>
          <w:sz w:val="24"/>
          <w:szCs w:val="24"/>
          <w:lang w:val="en-US" w:eastAsia="zh-CN"/>
        </w:rPr>
        <w:t>安装完成并接入江苏省电气焊数字化监管系统</w:t>
      </w:r>
      <w:r>
        <w:rPr>
          <w:rFonts w:hint="eastAsia" w:ascii="宋体" w:hAnsi="宋体" w:eastAsia="宋体" w:cs="宋体"/>
          <w:kern w:val="2"/>
          <w:sz w:val="24"/>
          <w:szCs w:val="24"/>
          <w:lang w:eastAsia="zh-CN"/>
        </w:rPr>
        <w:t>后支付总价的30%；剩余款项在</w:t>
      </w:r>
      <w:r>
        <w:rPr>
          <w:rFonts w:hint="eastAsia" w:ascii="宋体" w:hAnsi="宋体" w:eastAsia="宋体" w:cs="宋体"/>
          <w:kern w:val="2"/>
          <w:sz w:val="24"/>
          <w:szCs w:val="24"/>
          <w:lang w:val="en-US" w:eastAsia="zh-CN"/>
        </w:rPr>
        <w:t>全部项目完成并</w:t>
      </w:r>
      <w:r>
        <w:rPr>
          <w:rFonts w:hint="eastAsia" w:ascii="宋体" w:hAnsi="宋体" w:eastAsia="宋体" w:cs="宋体"/>
          <w:kern w:val="2"/>
          <w:sz w:val="24"/>
          <w:szCs w:val="24"/>
          <w:lang w:eastAsia="zh-CN"/>
        </w:rPr>
        <w:t>通过验收后支付。付款前，中标供应商应向采购人提供正式发票及结算清单。</w:t>
      </w:r>
      <w:r>
        <w:rPr>
          <w:rFonts w:hint="eastAsia" w:ascii="宋体" w:hAnsi="宋体" w:eastAsia="宋体" w:cs="宋体"/>
          <w:kern w:val="2"/>
          <w:sz w:val="24"/>
          <w:szCs w:val="24"/>
          <w:lang w:val="en-US" w:eastAsia="zh-CN"/>
        </w:rPr>
        <w:t>验收标准另附。</w:t>
      </w:r>
    </w:p>
    <w:p w14:paraId="52ABC48B">
      <w:pPr>
        <w:widowControl/>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2"/>
        <w:jc w:val="both"/>
        <w:rPr>
          <w:rFonts w:hint="eastAsia" w:ascii="宋体" w:hAnsi="宋体" w:eastAsia="宋体" w:cs="宋体"/>
          <w:kern w:val="0"/>
          <w:sz w:val="24"/>
          <w:szCs w:val="24"/>
          <w:highlight w:val="none"/>
          <w:lang w:eastAsia="zh-CN"/>
        </w:rPr>
      </w:pPr>
      <w:r>
        <w:rPr>
          <w:rFonts w:hint="eastAsia" w:ascii="宋体" w:hAnsi="宋体" w:eastAsia="宋体" w:cs="宋体"/>
          <w:b/>
          <w:bCs/>
          <w:kern w:val="0"/>
          <w:sz w:val="24"/>
          <w:szCs w:val="24"/>
          <w:highlight w:val="none"/>
          <w:lang w:val="en-US" w:eastAsia="zh-CN"/>
        </w:rPr>
        <w:t>十一</w:t>
      </w:r>
      <w:r>
        <w:rPr>
          <w:rFonts w:hint="eastAsia" w:ascii="宋体" w:hAnsi="宋体" w:eastAsia="宋体" w:cs="宋体"/>
          <w:b/>
          <w:bCs/>
          <w:kern w:val="0"/>
          <w:sz w:val="24"/>
          <w:szCs w:val="24"/>
          <w:highlight w:val="none"/>
          <w:lang w:eastAsia="zh-CN"/>
        </w:rPr>
        <w:t>、其他要求：</w:t>
      </w:r>
      <w:r>
        <w:rPr>
          <w:rFonts w:hint="eastAsia" w:ascii="宋体" w:hAnsi="宋体" w:eastAsia="宋体" w:cs="宋体"/>
          <w:kern w:val="0"/>
          <w:sz w:val="24"/>
          <w:szCs w:val="24"/>
          <w:highlight w:val="none"/>
          <w:lang w:eastAsia="zh-CN"/>
        </w:rPr>
        <w:t>见《磋商文件》附件《拟签订的合同文本》（合同草案条款）。</w:t>
      </w:r>
    </w:p>
    <w:p w14:paraId="42D844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B4077"/>
    <w:rsid w:val="61495B2A"/>
    <w:rsid w:val="6B2B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2025-09-12T07:27:00Z</dcterms:created>
  <dc:creator>斯嘉</dc:creator>
  <cp:lastModifiedBy>斯嘉</cp:lastModifiedBy>
  <dcterms:modified xsi:type="dcterms:W3CDTF">2025-09-12T07:31:04Z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CA4902FCCCFC45929C8B1CC2B6163AF7_11</vt:lpwstr>
  </property>
  <property fmtid="{D5CDD505-2E9C-101B-9397-08002B2CF9AE}" pid="4" name="KSOTemplateDocerSaveRecord">
    <vt:lpwstr>eyJoZGlkIjoiY2M5M2FkNTI1ZGE3YjVmNGQ5NGUyOTJkNjI3YTRlOTEiLCJ1c2VySWQiOiIxMTM1NDU4MTc1In0=</vt:lpwstr>
  </property>
</Properties>
</file>