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209C0">
      <w:pPr>
        <w:spacing w:line="360" w:lineRule="auto"/>
        <w:rPr>
          <w:rFonts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如有修改意见，请以书面形式并加盖公章、注明联系人、联系方式，于202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日17:00之前送至我单位，逾期不受理（如邮寄，202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12</w:t>
      </w:r>
      <w:bookmarkStart w:id="39" w:name="_GoBack"/>
      <w:bookmarkEnd w:id="39"/>
      <w:r>
        <w:rPr>
          <w:rFonts w:hint="eastAsia" w:ascii="宋体" w:hAnsi="宋体" w:eastAsia="宋体" w:cs="宋体"/>
          <w:sz w:val="24"/>
          <w:szCs w:val="22"/>
          <w:highlight w:val="none"/>
        </w:rPr>
        <w:t>日17:00之后到达本公司的邮件将不再受理）。</w:t>
      </w:r>
    </w:p>
    <w:p w14:paraId="3A2DE249">
      <w:pPr>
        <w:ind w:firstLine="3213" w:firstLineChars="1000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17CD0A16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3C9DA093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59A73740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37319BCA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0972137D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327C4CC6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1BAE4BA9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73DF64AF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5AB2351B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7ADE9C8A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5E7B24D7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2D9C6D64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50F025E2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246FD3CD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688EEDFA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3F34EF80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7E7FD693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414F91E7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6FEC8AA1">
      <w:pPr>
        <w:pStyle w:val="2"/>
        <w:rPr>
          <w:rFonts w:hint="eastAsia" w:ascii="黑体" w:hAnsi="黑体" w:eastAsia="黑体" w:cs="黑体"/>
          <w:b/>
          <w:kern w:val="0"/>
          <w:sz w:val="32"/>
          <w:szCs w:val="22"/>
        </w:rPr>
      </w:pPr>
    </w:p>
    <w:p w14:paraId="22D4F372">
      <w:pPr>
        <w:ind w:firstLine="3213" w:firstLineChars="1000"/>
        <w:rPr>
          <w:rFonts w:ascii="黑体" w:hAnsi="黑体" w:eastAsia="黑体" w:cs="黑体"/>
          <w:b/>
          <w:kern w:val="0"/>
          <w:sz w:val="32"/>
          <w:szCs w:val="22"/>
        </w:rPr>
      </w:pPr>
      <w:r>
        <w:rPr>
          <w:rFonts w:hint="eastAsia" w:ascii="黑体" w:hAnsi="黑体" w:eastAsia="黑体" w:cs="黑体"/>
          <w:b/>
          <w:kern w:val="0"/>
          <w:sz w:val="32"/>
          <w:szCs w:val="22"/>
        </w:rPr>
        <w:t xml:space="preserve"> 采购需求</w:t>
      </w:r>
    </w:p>
    <w:p w14:paraId="5E8C277E">
      <w:pPr>
        <w:widowControl w:val="0"/>
        <w:snapToGrid w:val="0"/>
        <w:jc w:val="both"/>
        <w:rPr>
          <w:rFonts w:ascii="宋体" w:hAnsi="宋体" w:eastAsia="宋体" w:cs="宋体"/>
          <w:b/>
          <w:sz w:val="24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4"/>
          <w:szCs w:val="18"/>
          <w:lang w:val="en-US" w:eastAsia="zh-CN" w:bidi="ar-SA"/>
        </w:rPr>
        <w:t>一、本项目采购预算总金额</w:t>
      </w:r>
      <w:r>
        <w:rPr>
          <w:rFonts w:ascii="宋体" w:hAnsi="宋体" w:eastAsia="宋体" w:cs="宋体"/>
          <w:b/>
          <w:sz w:val="24"/>
          <w:szCs w:val="18"/>
          <w:lang w:val="en-US" w:eastAsia="zh-CN" w:bidi="ar-SA"/>
        </w:rPr>
        <w:t>55</w:t>
      </w:r>
      <w:r>
        <w:rPr>
          <w:rFonts w:hint="eastAsia" w:ascii="宋体" w:hAnsi="宋体" w:eastAsia="宋体" w:cs="宋体"/>
          <w:b/>
          <w:sz w:val="24"/>
          <w:szCs w:val="18"/>
          <w:lang w:val="en-US" w:eastAsia="zh-CN" w:bidi="ar-SA"/>
        </w:rPr>
        <w:t>万元人民币；报价包括但不限于产品价、税金、运费、安装调试、检验、保险、培训、售后服务、供应商的利润等全部费用。采购人不再支付报价以外的任何费用。</w:t>
      </w:r>
    </w:p>
    <w:p w14:paraId="41D3E6C3">
      <w:pPr>
        <w:spacing w:line="360" w:lineRule="auto"/>
        <w:jc w:val="left"/>
        <w:rPr>
          <w:rFonts w:ascii="宋体" w:hAnsi="宋体" w:eastAsia="宋体" w:cs="宋体"/>
          <w:b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kern w:val="2"/>
          <w:sz w:val="24"/>
          <w:szCs w:val="24"/>
        </w:rPr>
        <w:t>二、项目概况：</w:t>
      </w:r>
    </w:p>
    <w:p w14:paraId="7948A672">
      <w:pPr>
        <w:spacing w:line="360" w:lineRule="auto"/>
        <w:ind w:firstLine="480" w:firstLineChars="200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ascii="宋体" w:hAnsi="宋体" w:eastAsia="宋体" w:cs="Times New Roman"/>
          <w:kern w:val="2"/>
          <w:sz w:val="24"/>
          <w:szCs w:val="24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、采购人：</w:t>
      </w:r>
      <w:r>
        <w:rPr>
          <w:rFonts w:hint="eastAsia" w:ascii="宋体" w:hAnsi="宋体" w:eastAsia="宋体" w:cs="宋体"/>
          <w:kern w:val="2"/>
          <w:sz w:val="24"/>
          <w:szCs w:val="24"/>
        </w:rPr>
        <w:t>徐州市铜山区教育局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；</w:t>
      </w:r>
    </w:p>
    <w:p w14:paraId="73265AEC">
      <w:pPr>
        <w:spacing w:line="360" w:lineRule="auto"/>
        <w:ind w:firstLine="480" w:firstLineChars="200"/>
        <w:rPr>
          <w:rFonts w:ascii="Times New Roman" w:hAnsi="Times New Roman" w:eastAsia="宋体" w:cs="Times New Roman"/>
          <w:kern w:val="2"/>
          <w:sz w:val="24"/>
          <w:szCs w:val="24"/>
        </w:rPr>
      </w:pPr>
      <w:r>
        <w:rPr>
          <w:rFonts w:ascii="宋体" w:hAnsi="宋体" w:eastAsia="宋体" w:cs="Times New Roman"/>
          <w:kern w:val="2"/>
          <w:sz w:val="24"/>
          <w:szCs w:val="24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、项目名称：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/>
        </w:rPr>
        <w:t>铜山区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校园防霸凌预警系统建设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</w:rPr>
        <w:t>；</w:t>
      </w:r>
    </w:p>
    <w:p w14:paraId="217B0526">
      <w:pPr>
        <w:widowControl w:val="0"/>
        <w:ind w:left="0" w:leftChars="0" w:firstLine="480" w:firstLineChars="200"/>
        <w:jc w:val="left"/>
        <w:rPr>
          <w:rFonts w:ascii="Calibri" w:hAnsi="Calibri" w:eastAsia="宋体" w:cs="Times New Roman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3、项目背景：目前，铜山区教育局已建有对中小学（幼儿园）的安全监控平台，对全区中小学（幼儿园）的重点部位进行监控并实时传送到教育局监控室，与区公安局指挥中心同步联网。目前全区中小学（幼儿园）门口已经安装了专门的人脸抓拍机对重点人群和车辆进行自动识别，提升了校园安防防护等级。为了进一步保障在校学生的人身和身心安全，加强校园安全防范管理，提升校园应急响应机制，需要采购一批校园防霸凌设备。</w:t>
      </w:r>
    </w:p>
    <w:p w14:paraId="06AF8FEE">
      <w:pPr>
        <w:spacing w:line="360" w:lineRule="auto"/>
        <w:ind w:firstLine="480" w:firstLineChars="200"/>
        <w:rPr>
          <w:rFonts w:ascii="宋体" w:hAnsi="Times New Roman" w:eastAsia="宋体" w:cs="Times New Roman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>4、项目需求</w:t>
      </w:r>
    </w:p>
    <w:p w14:paraId="183157FC"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>在校园厕所等隐蔽角落安装共计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</w:rPr>
        <w:t>240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>台智能防欺凌设备，可识别关键字，发生辱骂、激烈争吵事件时及时推送报警信息至校园监控室，有效预防校园欺凌事件的发生。</w:t>
      </w:r>
    </w:p>
    <w:p w14:paraId="0FCEECA5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both"/>
        <w:rPr>
          <w:rFonts w:ascii="宋体" w:hAnsi="Times New Roman" w:eastAsia="宋体" w:cs="Times New Roman"/>
          <w:sz w:val="24"/>
          <w:szCs w:val="22"/>
          <w:lang w:val="en-US" w:eastAsia="zh-CN" w:bidi="ar-SA"/>
        </w:rPr>
      </w:pPr>
      <w:r>
        <w:rPr>
          <w:rFonts w:hint="eastAsia" w:ascii="宋体" w:hAnsi="Times New Roman" w:eastAsia="宋体" w:cs="Times New Roman"/>
          <w:sz w:val="24"/>
          <w:szCs w:val="22"/>
          <w:lang w:val="en-US" w:eastAsia="zh-CN" w:bidi="ar-SA"/>
        </w:rPr>
        <w:t>考虑后期教育局对全区防霸凌预警信息的全局掌控需求，本次所建设的校园防霸凌系统需考虑预留接口，接入现有安全监控管理平台，实现预警信息的汇聚展示。</w:t>
      </w:r>
    </w:p>
    <w:p w14:paraId="38090CB4">
      <w:pPr>
        <w:spacing w:line="360" w:lineRule="auto"/>
        <w:ind w:firstLine="480" w:firstLineChars="200"/>
        <w:rPr>
          <w:rFonts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本项目施工需要充分考虑到维持学校正常教学秩序，避免影响学校公共区域基础设施设备正常运行，对施工用电、降噪、破路、破绿等制定相应的施工措施及组织方案。</w:t>
      </w:r>
    </w:p>
    <w:p w14:paraId="4E392B08">
      <w:pPr>
        <w:spacing w:line="360" w:lineRule="auto"/>
        <w:rPr>
          <w:rFonts w:ascii="宋体" w:hAnsi="宋体" w:eastAsia="宋体" w:cs="Times New Roman"/>
          <w:b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三、技术规格：</w:t>
      </w:r>
    </w:p>
    <w:tbl>
      <w:tblPr>
        <w:tblStyle w:val="3"/>
        <w:tblW w:w="857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2146"/>
        <w:gridCol w:w="3879"/>
        <w:gridCol w:w="900"/>
        <w:gridCol w:w="731"/>
      </w:tblGrid>
      <w:tr w14:paraId="25569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1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34C35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370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产品类别</w:t>
            </w:r>
          </w:p>
        </w:tc>
        <w:tc>
          <w:tcPr>
            <w:tcW w:w="3879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20B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技术规格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B59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29D8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数量</w:t>
            </w:r>
          </w:p>
        </w:tc>
      </w:tr>
      <w:tr w14:paraId="3B309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C8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330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防霸凌报警器</w:t>
            </w:r>
          </w:p>
        </w:tc>
        <w:tc>
          <w:tcPr>
            <w:tcW w:w="38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2EAA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1、包含1个不低于6</w:t>
            </w: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G Micro SD存储卡；</w:t>
            </w:r>
          </w:p>
          <w:p w14:paraId="749196EE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2、</w:t>
            </w:r>
            <w:r>
              <w:rPr>
                <w:rFonts w:hint="eastAsia" w:ascii="等线 Light" w:hAnsi="等线 Light" w:eastAsia="等线 Light" w:cs="Arial"/>
                <w:kern w:val="0"/>
                <w:sz w:val="24"/>
                <w:szCs w:val="22"/>
              </w:rPr>
              <w:t>▲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内置4路硅基全指向麦克风、支持1路3.5mm音频输入接口，内置1路3W扬声器、支持1路3.5mm音频输出接口；</w:t>
            </w:r>
          </w:p>
          <w:p w14:paraId="10582F7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3、支持2个RJ45 10M/100M自适应以太网口；</w:t>
            </w:r>
          </w:p>
          <w:p w14:paraId="222267D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4、支持IP54防护等级;</w:t>
            </w:r>
          </w:p>
          <w:p w14:paraId="1CF56025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5、支持PoE(802.3 af)，标配DC12V@2A电源适配器；</w:t>
            </w:r>
          </w:p>
          <w:p w14:paraId="0C762D28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6、支持防拆报警、喧哗报警等功能；</w:t>
            </w:r>
          </w:p>
          <w:p w14:paraId="2CAF1679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7、▲集成十亿级数据规模训练，采用NPU Transformer音频大模型，设备支持多麦克风阵列，实现10米远距离拾音；</w:t>
            </w:r>
          </w:p>
          <w:p w14:paraId="2499F861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8、▲支持自学习关键词识别报警，最大自定义关键词支持个数10个，支持学习全国方言音频实现方言识别报警，采用语音交互输入和web文件导入两种方式注册自定义关键词。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DA5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1F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 w14:paraId="3579F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2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6D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CB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紧急报警管理机</w:t>
            </w:r>
          </w:p>
        </w:tc>
        <w:tc>
          <w:tcPr>
            <w:tcW w:w="38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E88A0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1、采用10.1寸高清触摸屏，集成200万高清摄像头，摄像头支持角度调节；</w:t>
            </w:r>
          </w:p>
          <w:p w14:paraId="6B3C30C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2、▲支持H.264/H.265解码显示，4路开关量输入，4路继电器输出；</w:t>
            </w: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 xml:space="preserve"> </w:t>
            </w:r>
          </w:p>
          <w:p w14:paraId="39ADE82F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3、▲对接显示器功能：设备支持通过HDMI和VGA接口扩展显示关联视频通道；</w:t>
            </w:r>
          </w:p>
          <w:p w14:paraId="7F28F7AB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、设备支持最大256G SD卡，支持存储双向对讲通话时录像的双向混音音视频复合流；支持管理机本地SD卡存储的音视频文件回放；</w:t>
            </w: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 xml:space="preserve"> </w:t>
            </w:r>
          </w:p>
          <w:p w14:paraId="61B25B2C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、呼叫转移功能：设备支持前端设备呼叫中心管理机时，通过呼叫转移功能将呼叫信息转移到其他中心后端管理机上；并支持将呼叫信息通过电话网关转接至座机或手机终端；设备支持多台前端设备与多台中心管理机实时多方通话；</w:t>
            </w: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 xml:space="preserve"> </w:t>
            </w:r>
          </w:p>
          <w:p w14:paraId="12609129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、采用DC12或PoE(IEEE 802.3 at/af)供电，外壳防暴等级：IK10；</w:t>
            </w:r>
          </w:p>
          <w:p w14:paraId="1DAD9422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、报警管理机可对前端设备进行实时语音广播，支持可分区域和分组广播；</w:t>
            </w:r>
          </w:p>
          <w:p w14:paraId="2718A5B5">
            <w:pPr>
              <w:spacing w:line="360" w:lineRule="auto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、监视监听功能：中心管理机可监听前端设备声音，中心管理机在监听同时可查看前端设备的视频图像；</w:t>
            </w:r>
          </w:p>
          <w:p w14:paraId="326F0823">
            <w:pPr>
              <w:widowControl/>
              <w:textAlignment w:val="center"/>
              <w:rPr>
                <w:rFonts w:ascii="Times New Roman" w:hAnsi="Times New Roman" w:eastAsia="宋体" w:cs="Times New Roman"/>
                <w:kern w:val="0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、录音录像功能：前端设备与管理机对讲通话时，前端设备视频和通话时双向混音音频可被管理机存储录像。</w:t>
            </w:r>
          </w:p>
          <w:p w14:paraId="09E235C8"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  <w:t>、</w:t>
            </w:r>
            <w:r>
              <w:rPr>
                <w:rFonts w:hint="eastAsia" w:ascii="宋体" w:hAnsi="Times New Roman" w:eastAsia="宋体" w:cs="Times New Roman"/>
                <w:sz w:val="24"/>
                <w:szCs w:val="22"/>
                <w:lang w:val="en-US" w:eastAsia="zh-CN" w:bidi="ar-SA"/>
              </w:rPr>
              <w:t>▲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  <w:lang w:val="en-US" w:eastAsia="zh-CN" w:bidi="ar-SA"/>
              </w:rPr>
              <w:t>需提供承诺函，预留接口，确保后期可接入教育局安全监控平台，实现预警信息汇总和展示。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5E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2F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4BDE6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2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52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20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配套辅材</w:t>
            </w:r>
          </w:p>
        </w:tc>
        <w:tc>
          <w:tcPr>
            <w:tcW w:w="387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C2D1D">
            <w:pPr>
              <w:widowControl/>
              <w:ind w:firstLine="210" w:firstLine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含项目所需网线、电源线、P</w:t>
            </w:r>
            <w:r>
              <w:rPr>
                <w:rFonts w:ascii="Times New Roman" w:hAnsi="Times New Roman" w:eastAsia="宋体" w:cs="Times New Roman"/>
                <w:kern w:val="0"/>
                <w:szCs w:val="22"/>
              </w:rPr>
              <w:t>VC</w:t>
            </w:r>
            <w:r>
              <w:rPr>
                <w:rFonts w:hint="eastAsia" w:ascii="Times New Roman" w:hAnsi="Times New Roman" w:eastAsia="宋体" w:cs="Times New Roman"/>
                <w:kern w:val="0"/>
                <w:szCs w:val="22"/>
              </w:rPr>
              <w:t>管、接入交换机等辅材。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B7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批</w:t>
            </w:r>
          </w:p>
        </w:tc>
        <w:tc>
          <w:tcPr>
            <w:tcW w:w="73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5E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619D79E5">
      <w:pPr>
        <w:widowControl w:val="0"/>
        <w:ind w:left="0" w:leftChars="0"/>
        <w:jc w:val="left"/>
        <w:rPr>
          <w:rFonts w:ascii="Calibri" w:hAnsi="Calibri" w:eastAsia="宋体" w:cs="Times New Roman"/>
          <w:sz w:val="21"/>
          <w:szCs w:val="24"/>
          <w:lang w:val="en-US" w:eastAsia="zh-CN" w:bidi="ar-SA"/>
        </w:rPr>
      </w:pPr>
    </w:p>
    <w:p w14:paraId="715A2952">
      <w:pPr>
        <w:spacing w:line="480" w:lineRule="auto"/>
        <w:rPr>
          <w:rFonts w:ascii="宋体" w:hAnsi="Times New Roman" w:eastAsia="宋体" w:cs="Times New Roman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四、售后服务和人员培训</w:t>
      </w:r>
    </w:p>
    <w:p w14:paraId="2AF0148B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bookmarkStart w:id="0" w:name="_Toc207511597"/>
      <w:bookmarkStart w:id="1" w:name="_Toc286696886"/>
      <w:bookmarkStart w:id="2" w:name="_Toc201718843"/>
      <w:bookmarkStart w:id="3" w:name="_Toc195690758"/>
      <w:bookmarkStart w:id="4" w:name="_Toc199767776"/>
      <w:bookmarkStart w:id="5" w:name="_Toc197658772"/>
      <w:bookmarkStart w:id="6" w:name="_Toc157039381"/>
      <w:bookmarkStart w:id="7" w:name="_Toc201649540"/>
      <w:r>
        <w:rPr>
          <w:rFonts w:hint="eastAsia" w:ascii="宋体" w:hAnsi="宋体" w:eastAsia="宋体" w:cs="Times New Roman"/>
          <w:kern w:val="2"/>
          <w:sz w:val="24"/>
          <w:szCs w:val="24"/>
        </w:rPr>
        <w:t>（一）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宋体" w:hAnsi="宋体" w:eastAsia="宋体" w:cs="Times New Roman"/>
          <w:kern w:val="2"/>
          <w:sz w:val="24"/>
          <w:szCs w:val="24"/>
        </w:rPr>
        <w:t>售后服务</w:t>
      </w:r>
    </w:p>
    <w:p w14:paraId="5750E5BF">
      <w:pPr>
        <w:spacing w:line="360" w:lineRule="auto"/>
        <w:rPr>
          <w:rFonts w:ascii="宋体" w:hAnsi="宋体" w:eastAsia="宋体" w:cs="Times New Roman"/>
          <w:b/>
          <w:kern w:val="2"/>
          <w:sz w:val="24"/>
          <w:szCs w:val="24"/>
        </w:rPr>
      </w:pPr>
      <w:bookmarkStart w:id="8" w:name="_Hlt494257916"/>
      <w:bookmarkEnd w:id="8"/>
      <w:bookmarkStart w:id="9" w:name="_Toc286696887"/>
      <w:bookmarkStart w:id="10" w:name="_Toc157039382"/>
      <w:bookmarkStart w:id="11" w:name="_Toc199767779"/>
      <w:bookmarkStart w:id="12" w:name="_Toc207511600"/>
      <w:bookmarkStart w:id="13" w:name="_Toc201649543"/>
      <w:bookmarkStart w:id="14" w:name="_Toc195690761"/>
      <w:bookmarkStart w:id="15" w:name="_Toc197658775"/>
      <w:bookmarkStart w:id="16" w:name="_Toc201718846"/>
      <w:r>
        <w:rPr>
          <w:rFonts w:ascii="宋体" w:hAnsi="宋体" w:eastAsia="宋体" w:cs="Times New Roman"/>
          <w:b/>
          <w:kern w:val="2"/>
          <w:sz w:val="24"/>
          <w:szCs w:val="24"/>
        </w:rPr>
        <w:t>1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、提供不少于5年的免费质保和不少于5年软件免费升级服务。</w:t>
      </w:r>
    </w:p>
    <w:p w14:paraId="558AB4A4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2、在质保期内，对采购人所提出的维修要求做出实质性响应，2小时内响应，6小时内到达现场，并提供应急策略；如出现设备故障，在24小时内不能解决问题的，应免费提供同样品牌、规格或更高的部件更换到位，设备保修服务由设备厂商提供。</w:t>
      </w:r>
    </w:p>
    <w:p w14:paraId="4540D2C4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3、安装时如当时出现质量问题，由中标方负责调换无质量问题产品。</w:t>
      </w:r>
    </w:p>
    <w:p w14:paraId="62E28537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4、安装过程中出现非人为损坏，中标方不愿负责，买方可使用质量保证金补偿。</w:t>
      </w:r>
    </w:p>
    <w:p w14:paraId="271D6AEB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5、安装时商品外观无损坏，未使用超过规定电压，如商品有质量问题应由中标方补偿。</w:t>
      </w:r>
    </w:p>
    <w:p w14:paraId="2E9B8E57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6、产品质保期内出现故障，如因产品质量问题，应由中标方负责处理。</w:t>
      </w:r>
    </w:p>
    <w:p w14:paraId="20B078B3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7、在产品质量保证期内接到出现故障申请维修后，</w:t>
      </w:r>
      <w:r>
        <w:rPr>
          <w:rFonts w:ascii="宋体" w:hAnsi="宋体" w:eastAsia="宋体" w:cs="Times New Roman"/>
          <w:kern w:val="2"/>
          <w:sz w:val="24"/>
          <w:szCs w:val="24"/>
        </w:rPr>
        <w:t>24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小时内完成处置。</w:t>
      </w:r>
    </w:p>
    <w:p w14:paraId="2D131D61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（二）人员培训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15AEE79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bookmarkStart w:id="17" w:name="_Toc142453334"/>
      <w:bookmarkStart w:id="18" w:name="_Toc139362271"/>
      <w:bookmarkStart w:id="19" w:name="_Toc201649544"/>
      <w:bookmarkStart w:id="20" w:name="_Toc139429783"/>
      <w:bookmarkStart w:id="21" w:name="_Toc201718847"/>
      <w:bookmarkStart w:id="22" w:name="_Toc143079690"/>
      <w:bookmarkStart w:id="23" w:name="_Toc199767780"/>
      <w:bookmarkStart w:id="24" w:name="_Toc195690762"/>
      <w:bookmarkStart w:id="25" w:name="_Toc197658776"/>
      <w:bookmarkStart w:id="26" w:name="_Toc207511601"/>
      <w:r>
        <w:rPr>
          <w:rFonts w:ascii="宋体" w:hAnsi="宋体" w:eastAsia="宋体" w:cs="Times New Roman"/>
          <w:kern w:val="2"/>
          <w:sz w:val="24"/>
          <w:szCs w:val="24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、培训要求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hint="eastAsia" w:ascii="宋体" w:hAnsi="宋体" w:eastAsia="宋体" w:cs="Times New Roman"/>
          <w:kern w:val="2"/>
          <w:sz w:val="24"/>
          <w:szCs w:val="24"/>
        </w:rPr>
        <w:t>：</w:t>
      </w:r>
    </w:p>
    <w:p w14:paraId="287B88CD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（</w:t>
      </w:r>
      <w:r>
        <w:rPr>
          <w:rFonts w:ascii="宋体" w:hAnsi="宋体" w:eastAsia="宋体" w:cs="Times New Roman"/>
          <w:kern w:val="2"/>
          <w:sz w:val="24"/>
          <w:szCs w:val="24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）中标方应提供技术支持，对安装学校的管理人员和安装施工人员进行技术培训，使他们熟练掌握安装、使用技术。</w:t>
      </w:r>
    </w:p>
    <w:p w14:paraId="263BE914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（</w:t>
      </w:r>
      <w:r>
        <w:rPr>
          <w:rFonts w:ascii="宋体" w:hAnsi="宋体" w:eastAsia="宋体" w:cs="Times New Roman"/>
          <w:kern w:val="2"/>
          <w:sz w:val="24"/>
          <w:szCs w:val="24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）对业主的技术人员进行系统的使用、维护和保养培训，所有培训以中文进行。该培训应教会学员在日常和紧急情况下如何操作系统。</w:t>
      </w:r>
    </w:p>
    <w:p w14:paraId="63697E7A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（</w:t>
      </w:r>
      <w:r>
        <w:rPr>
          <w:rFonts w:ascii="宋体" w:hAnsi="宋体" w:eastAsia="宋体" w:cs="Times New Roman"/>
          <w:kern w:val="2"/>
          <w:sz w:val="24"/>
          <w:szCs w:val="24"/>
        </w:rPr>
        <w:t>3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）培训教员对所提供的系统和产品应具有五年以上的操作和维修经验。培训教员的简历连同培训计划一并提交业主，业主认为培训教员不合格可要求更换。</w:t>
      </w:r>
    </w:p>
    <w:p w14:paraId="612602D5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（</w:t>
      </w:r>
      <w:r>
        <w:rPr>
          <w:rFonts w:ascii="宋体" w:hAnsi="宋体" w:eastAsia="宋体" w:cs="Times New Roman"/>
          <w:kern w:val="2"/>
          <w:sz w:val="24"/>
          <w:szCs w:val="24"/>
        </w:rPr>
        <w:t>4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）在系统完工测试之前为业主技术人员进行现场培训，该培训包括正常操作程序和怎样处理紧急情况。在培训工作开始前向业主提供所有中文培训资料，包括中文操作、维修手册，要求受训人员能够了解系统及设备的基本结构、工作原理及操作程序，能进行实际操作和日常维护、排除一般故障。</w:t>
      </w:r>
      <w:bookmarkStart w:id="27" w:name="_Toc121371527"/>
      <w:bookmarkStart w:id="28" w:name="_Toc121554163"/>
      <w:bookmarkStart w:id="29" w:name="_Toc139429784"/>
      <w:bookmarkStart w:id="30" w:name="_Toc143079691"/>
      <w:bookmarkStart w:id="31" w:name="_Toc197658777"/>
      <w:bookmarkStart w:id="32" w:name="_Toc207511602"/>
      <w:bookmarkStart w:id="33" w:name="_Toc195690763"/>
      <w:bookmarkStart w:id="34" w:name="_Toc139362272"/>
      <w:bookmarkStart w:id="35" w:name="_Toc201649545"/>
      <w:bookmarkStart w:id="36" w:name="_Toc199767781"/>
      <w:bookmarkStart w:id="37" w:name="_Toc201718848"/>
      <w:bookmarkStart w:id="38" w:name="_Toc142453335"/>
    </w:p>
    <w:p w14:paraId="0A479088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ascii="宋体" w:hAnsi="宋体" w:eastAsia="宋体" w:cs="Times New Roman"/>
          <w:kern w:val="2"/>
          <w:sz w:val="24"/>
          <w:szCs w:val="24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、培训</w:t>
      </w:r>
      <w:bookmarkEnd w:id="27"/>
      <w:bookmarkEnd w:id="28"/>
      <w:r>
        <w:rPr>
          <w:rFonts w:hint="eastAsia" w:ascii="宋体" w:hAnsi="宋体" w:eastAsia="宋体" w:cs="Times New Roman"/>
          <w:kern w:val="2"/>
          <w:sz w:val="24"/>
          <w:szCs w:val="24"/>
        </w:rPr>
        <w:t>事项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76805B23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中标人根据合同清单提供详细的产品说明书，系统使用说明书和系统维护说明书。</w:t>
      </w:r>
    </w:p>
    <w:p w14:paraId="35355496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（</w:t>
      </w:r>
      <w:r>
        <w:rPr>
          <w:rFonts w:ascii="宋体" w:hAnsi="宋体" w:eastAsia="宋体" w:cs="Times New Roman"/>
          <w:kern w:val="2"/>
          <w:sz w:val="24"/>
          <w:szCs w:val="24"/>
        </w:rPr>
        <w:t>1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）培训需求</w:t>
      </w:r>
    </w:p>
    <w:p w14:paraId="59FAD688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对学校管理人员和施工人员进行培训后，他们能够正确安装、调试、使用相关设备，并进行简单维护。</w:t>
      </w:r>
    </w:p>
    <w:p w14:paraId="070509A9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应对一般操作人员的培训、项目技术人员的培训及管理人员的培训分别进行阐述。</w:t>
      </w:r>
    </w:p>
    <w:p w14:paraId="67503B3C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运行维护技术人员经过培训应能进行日常设备运行维护工作，掌握软件、硬件的操作，熟悉硬件基本功能。能熟练地分析软件、硬件信息等工作，并能有效的组织、开展业务应用能力。</w:t>
      </w:r>
    </w:p>
    <w:p w14:paraId="0BFD5866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高级项目技术人员培训后，能够处理一般维护人员不能处理的技术问题。</w:t>
      </w:r>
    </w:p>
    <w:p w14:paraId="1134EE3D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管理人员经培训后，应能负责全面的技术管理工作，了解系统建设的过程，系统功能及未来建设的规划。</w:t>
      </w:r>
    </w:p>
    <w:p w14:paraId="36A461F1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（</w:t>
      </w:r>
      <w:r>
        <w:rPr>
          <w:rFonts w:ascii="宋体" w:hAnsi="宋体" w:eastAsia="宋体" w:cs="Times New Roman"/>
          <w:kern w:val="2"/>
          <w:sz w:val="24"/>
          <w:szCs w:val="24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）培训课程</w:t>
      </w:r>
    </w:p>
    <w:p w14:paraId="5B4E34D7">
      <w:pPr>
        <w:spacing w:line="360" w:lineRule="auto"/>
        <w:rPr>
          <w:rFonts w:ascii="宋体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</w:rPr>
        <w:t>培训课程包括理论课</w:t>
      </w:r>
      <w:r>
        <w:rPr>
          <w:rFonts w:ascii="宋体" w:hAnsi="宋体" w:eastAsia="宋体" w:cs="Times New Roman"/>
          <w:kern w:val="2"/>
          <w:sz w:val="24"/>
          <w:szCs w:val="24"/>
        </w:rPr>
        <w:t>/</w:t>
      </w:r>
      <w:r>
        <w:rPr>
          <w:rFonts w:hint="eastAsia" w:ascii="宋体" w:hAnsi="宋体" w:eastAsia="宋体" w:cs="Times New Roman"/>
          <w:kern w:val="2"/>
          <w:sz w:val="24"/>
          <w:szCs w:val="24"/>
        </w:rPr>
        <w:t>实践课，主要内容包括：系统的基本工作原理、系统的设备安装情况、系统的操作和管理、系统的维修和保养、设备实物、系统图纸的查阅、系统的故障诊断等。</w:t>
      </w:r>
    </w:p>
    <w:p w14:paraId="624DF139">
      <w:pPr>
        <w:numPr>
          <w:ilvl w:val="0"/>
          <w:numId w:val="1"/>
        </w:numPr>
        <w:spacing w:line="360" w:lineRule="auto"/>
        <w:ind w:right="359" w:rightChars="171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项目完成时间：合同签订后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日内全部交付完毕，并按采购人要求完成安装、调试、验收。</w:t>
      </w:r>
    </w:p>
    <w:p w14:paraId="33C3465C">
      <w:pPr>
        <w:widowControl w:val="0"/>
        <w:spacing w:after="0" w:line="360" w:lineRule="auto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 w:bidi="ar-SA"/>
        </w:rPr>
        <w:t>六、履约验收</w:t>
      </w:r>
    </w:p>
    <w:p w14:paraId="0F2321DF">
      <w:pPr>
        <w:ind w:firstLine="720" w:firstLineChars="300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1、验收时间：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供应商全部交付完毕后5日内由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组织。</w:t>
      </w:r>
    </w:p>
    <w:p w14:paraId="2B709CB4">
      <w:pPr>
        <w:widowControl w:val="0"/>
        <w:spacing w:after="0" w:line="360" w:lineRule="auto"/>
        <w:ind w:left="0" w:firstLine="720" w:firstLineChars="3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2、验收地点：铜山区</w:t>
      </w:r>
      <w:r>
        <w:rPr>
          <w:rFonts w:hint="eastAsia" w:ascii="宋体" w:hAnsi="宋体"/>
          <w:kern w:val="2"/>
          <w:sz w:val="24"/>
        </w:rPr>
        <w:t>全区中小学（幼儿园）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内。</w:t>
      </w:r>
    </w:p>
    <w:p w14:paraId="5C6AD6DD">
      <w:pPr>
        <w:ind w:firstLine="720" w:firstLineChars="300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3、验收方式：由采购人组织相关验收小组人员现场进行验收。</w:t>
      </w:r>
    </w:p>
    <w:p w14:paraId="6FA0F7FA">
      <w:pPr>
        <w:keepNext w:val="0"/>
        <w:keepLines w:val="0"/>
        <w:pageBreakBefore w:val="0"/>
        <w:widowControl/>
        <w:spacing w:line="440" w:lineRule="exact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4、验收内容：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查看</w:t>
      </w:r>
      <w:r>
        <w:rPr>
          <w:rFonts w:hint="eastAsia" w:ascii="宋体" w:hAnsi="宋体"/>
          <w:kern w:val="2"/>
          <w:sz w:val="24"/>
        </w:rPr>
        <w:t>校园防霸凌设备</w:t>
      </w:r>
      <w:r>
        <w:rPr>
          <w:rFonts w:hint="eastAsia" w:ascii="宋体" w:hAnsi="宋体"/>
          <w:kern w:val="2"/>
          <w:sz w:val="24"/>
          <w:lang w:val="en-US" w:eastAsia="zh-CN"/>
        </w:rPr>
        <w:t>安装、调试后的结果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，确定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工作是否符合本项目要求。</w:t>
      </w:r>
    </w:p>
    <w:p w14:paraId="6F8EEBB7">
      <w:pPr>
        <w:ind w:firstLine="720" w:firstLineChars="300"/>
        <w:rPr>
          <w:rFonts w:hint="eastAsia" w:ascii="Times New Roman" w:hAnsi="Times New Roman" w:eastAsia="宋体" w:cs="Times New Roman"/>
          <w:kern w:val="0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5、验收标准：</w:t>
      </w:r>
      <w:r>
        <w:rPr>
          <w:rFonts w:hint="eastAsia" w:ascii="宋体" w:hAnsi="宋体"/>
          <w:kern w:val="2"/>
          <w:sz w:val="24"/>
          <w:lang w:val="en-US" w:eastAsia="zh-CN"/>
        </w:rPr>
        <w:t>招标人约定的采购需求及检验标准。</w:t>
      </w:r>
    </w:p>
    <w:p w14:paraId="632BFEBB">
      <w:pPr>
        <w:spacing w:line="360" w:lineRule="auto"/>
        <w:rPr>
          <w:rFonts w:ascii="Times New Roman" w:hAnsi="Times New Roman" w:eastAsia="宋体" w:cs="Times New Roman"/>
          <w:kern w:val="2"/>
          <w:szCs w:val="24"/>
        </w:rPr>
      </w:pPr>
      <w:r>
        <w:rPr>
          <w:rFonts w:hint="eastAsia" w:ascii="宋体" w:hAnsi="宋体" w:eastAsia="宋体" w:cs="Times New Roman"/>
          <w:b/>
          <w:kern w:val="2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、响应文件中提供项目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>总体方案</w:t>
      </w:r>
      <w:r>
        <w:rPr>
          <w:rFonts w:hint="eastAsia" w:ascii="宋体" w:hAnsi="宋体" w:eastAsia="宋体" w:cs="Times New Roman"/>
          <w:b/>
          <w:kern w:val="2"/>
          <w:sz w:val="24"/>
          <w:szCs w:val="24"/>
        </w:rPr>
        <w:t>。供应商报价时应根据自己的实施方案，充分考虑安全措施及其他影响因素。</w:t>
      </w:r>
    </w:p>
    <w:p w14:paraId="0455C1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92F5F"/>
    <w:multiLevelType w:val="singleLevel"/>
    <w:tmpl w:val="85692F5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912C1"/>
    <w:rsid w:val="061B0B2F"/>
    <w:rsid w:val="06BC4248"/>
    <w:rsid w:val="0D5F4109"/>
    <w:rsid w:val="24701588"/>
    <w:rsid w:val="25BA623C"/>
    <w:rsid w:val="27E912C1"/>
    <w:rsid w:val="2CB85202"/>
    <w:rsid w:val="31673D6F"/>
    <w:rsid w:val="36721D5B"/>
    <w:rsid w:val="38AD4629"/>
    <w:rsid w:val="3DDB0BC1"/>
    <w:rsid w:val="77B0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autoSpaceDE w:val="0"/>
      <w:autoSpaceDN w:val="0"/>
      <w:adjustRightInd w:val="0"/>
      <w:ind w:left="256" w:right="6" w:firstLine="624" w:firstLineChars="200"/>
      <w:jc w:val="both"/>
    </w:pPr>
    <w:rPr>
      <w:rFonts w:ascii="Times New Roman" w:hAnsi="Times New Roman" w:eastAsia="仿宋_GB2312" w:cs="Times New Roman"/>
      <w:kern w:val="0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2669</Words>
  <Characters>2806</Characters>
  <Lines>0</Lines>
  <Paragraphs>0</Paragraphs>
  <TotalTime>2</TotalTime>
  <ScaleCrop>false</ScaleCrop>
  <LinksUpToDate>false</LinksUpToDate>
  <CharactersWithSpaces>2818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2025-08-04T01:25:00Z</dcterms:created>
  <dc:creator>陈彩凤</dc:creator>
  <cp:lastModifiedBy>喂了一只羊</cp:lastModifiedBy>
  <dcterms:modified xsi:type="dcterms:W3CDTF">2025-09-05T02:50:44Z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645C9EADC7C44F28852FF1A6100A2A83_11</vt:lpwstr>
  </property>
  <property fmtid="{D5CDD505-2E9C-101B-9397-08002B2CF9AE}" pid="4" name="KSOTemplateDocerSaveRecord">
    <vt:lpwstr>eyJoZGlkIjoiNjBkNTJhOTA1OTYzOTE0NTQzMGE2NjZkMzA1Yjk5MmYiLCJ1c2VySWQiOiIzNzUyNDM3NDQifQ==</vt:lpwstr>
  </property>
</Properties>
</file>