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F1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default" w:ascii="Times New Roman" w:hAnsi="Times New Roman" w:eastAsia="宋体" w:cs="Times New Roman"/>
          <w:color w:val="000000"/>
          <w:kern w:val="0"/>
          <w:sz w:val="20"/>
          <w:szCs w:val="20"/>
          <w:lang/>
        </w:rPr>
      </w:pPr>
      <w:r>
        <w:rPr>
          <w:rFonts w:hint="eastAsia" w:ascii="宋体" w:hAnsi="宋体" w:eastAsia="宋体" w:cs="宋体"/>
          <w:color w:val="000000"/>
          <w:kern w:val="0"/>
          <w:sz w:val="28"/>
          <w:szCs w:val="28"/>
          <w:lang/>
        </w:rPr>
        <w:t>如有建议或意见，请以书面形式并加盖公章、注明联系人、联系方式，于2025年0</w:t>
      </w:r>
      <w:r>
        <w:rPr>
          <w:rFonts w:hint="eastAsia" w:ascii="宋体" w:hAnsi="宋体" w:eastAsia="宋体" w:cs="宋体"/>
          <w:color w:val="000000"/>
          <w:kern w:val="0"/>
          <w:sz w:val="28"/>
          <w:szCs w:val="28"/>
          <w:lang w:val="en-US" w:eastAsia="zh-CN"/>
        </w:rPr>
        <w:t>9</w:t>
      </w:r>
      <w:r>
        <w:rPr>
          <w:rFonts w:hint="eastAsia" w:ascii="宋体" w:hAnsi="宋体" w:eastAsia="宋体" w:cs="宋体"/>
          <w:color w:val="000000"/>
          <w:kern w:val="0"/>
          <w:sz w:val="28"/>
          <w:szCs w:val="28"/>
          <w:lang/>
        </w:rPr>
        <w:t>月</w:t>
      </w:r>
      <w:r>
        <w:rPr>
          <w:rFonts w:hint="eastAsia" w:ascii="宋体" w:hAnsi="宋体" w:eastAsia="宋体" w:cs="宋体"/>
          <w:color w:val="000000"/>
          <w:kern w:val="0"/>
          <w:sz w:val="28"/>
          <w:szCs w:val="28"/>
          <w:lang w:val="en-US" w:eastAsia="zh-CN"/>
        </w:rPr>
        <w:t>04</w:t>
      </w:r>
      <w:r>
        <w:rPr>
          <w:rFonts w:hint="eastAsia" w:ascii="宋体" w:hAnsi="宋体" w:eastAsia="宋体" w:cs="宋体"/>
          <w:color w:val="000000"/>
          <w:kern w:val="0"/>
          <w:sz w:val="28"/>
          <w:szCs w:val="28"/>
          <w:lang/>
        </w:rPr>
        <w:t>日17:00之前送至我单位，逾期不受理（如邮寄，</w:t>
      </w:r>
      <w:r>
        <w:rPr>
          <w:rFonts w:hint="eastAsia" w:ascii="宋体" w:hAnsi="宋体" w:eastAsia="宋体" w:cs="宋体"/>
          <w:i w:val="0"/>
          <w:iCs w:val="0"/>
          <w:caps w:val="0"/>
          <w:color w:val="000000"/>
          <w:spacing w:val="0"/>
          <w:kern w:val="0"/>
          <w:sz w:val="28"/>
          <w:szCs w:val="28"/>
          <w:lang w:val="en-US" w:eastAsia="zh-CN" w:bidi="ar"/>
        </w:rPr>
        <w:t>2025年09月04日17:00</w:t>
      </w:r>
      <w:r>
        <w:rPr>
          <w:rFonts w:hint="eastAsia" w:ascii="宋体" w:hAnsi="宋体" w:eastAsia="宋体" w:cs="宋体"/>
          <w:color w:val="000000"/>
          <w:kern w:val="0"/>
          <w:sz w:val="28"/>
          <w:szCs w:val="28"/>
          <w:lang/>
        </w:rPr>
        <w:t>之后到达本单位的邮件将不再受理）。</w:t>
      </w:r>
    </w:p>
    <w:p w14:paraId="727C7ADF">
      <w:pPr>
        <w:rPr>
          <w:rFonts w:hint="eastAsia"/>
          <w:lang w:val="zh-CN"/>
        </w:rPr>
      </w:pPr>
    </w:p>
    <w:p w14:paraId="07ECEA08">
      <w:pPr>
        <w:rPr>
          <w:rFonts w:hint="eastAsia"/>
          <w:lang w:val="zh-CN"/>
        </w:rPr>
      </w:pPr>
      <w:r>
        <w:rPr>
          <w:rFonts w:hint="eastAsia"/>
          <w:lang w:val="zh-CN"/>
        </w:rPr>
        <w:br w:type="page"/>
      </w:r>
      <w:bookmarkStart w:id="9" w:name="_GoBack"/>
      <w:bookmarkEnd w:id="9"/>
    </w:p>
    <w:p w14:paraId="55A963C9">
      <w:pPr>
        <w:pStyle w:val="2"/>
        <w:rPr>
          <w:lang w:val="zh-CN"/>
        </w:rPr>
      </w:pPr>
      <w:r>
        <w:rPr>
          <w:rFonts w:hint="eastAsia"/>
          <w:lang w:val="zh-CN"/>
        </w:rPr>
        <w:t>采购需求</w:t>
      </w:r>
    </w:p>
    <w:p w14:paraId="5E65F45A">
      <w:pPr>
        <w:numPr>
          <w:ilvl w:val="0"/>
          <w:numId w:val="1"/>
        </w:numPr>
        <w:tabs>
          <w:tab w:val="left" w:pos="525"/>
        </w:tabs>
        <w:spacing w:line="520" w:lineRule="exact"/>
        <w:ind w:firstLine="482" w:firstLineChars="200"/>
        <w:rPr>
          <w:rFonts w:hint="eastAsia" w:ascii="宋体" w:hAnsi="宋体" w:eastAsia="宋体"/>
          <w:b/>
          <w:sz w:val="24"/>
          <w:szCs w:val="24"/>
        </w:rPr>
      </w:pPr>
      <w:r>
        <w:rPr>
          <w:rFonts w:hint="eastAsia" w:ascii="宋体" w:hAnsi="宋体" w:eastAsia="宋体"/>
          <w:b/>
          <w:sz w:val="24"/>
          <w:szCs w:val="24"/>
        </w:rPr>
        <w:t>项目概况</w:t>
      </w:r>
    </w:p>
    <w:p w14:paraId="5BDCC428">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1、本项目为沛县16个乡镇站空气自动监测站设备更新及运维，更新项目包括：二氧化硫分析仪、氮氧化物分析仪、一氧化碳分析仪、</w:t>
      </w:r>
      <w:r>
        <w:rPr>
          <w:rFonts w:hint="eastAsia" w:ascii="宋体" w:hAnsi="宋体" w:eastAsia="宋体" w:cs="宋体"/>
          <w:color w:val="000000"/>
          <w:kern w:val="0"/>
          <w:sz w:val="24"/>
          <w:szCs w:val="24"/>
        </w:rPr>
        <w:t>臭氧分析仪、BETA射线法颗粒物(PM</w:t>
      </w:r>
      <w:r>
        <w:rPr>
          <w:rFonts w:hint="eastAsia" w:ascii="宋体" w:hAnsi="宋体" w:eastAsia="宋体" w:cs="宋体"/>
          <w:color w:val="000000"/>
          <w:kern w:val="0"/>
          <w:sz w:val="24"/>
          <w:szCs w:val="24"/>
          <w:vertAlign w:val="subscript"/>
        </w:rPr>
        <w:t>10</w:t>
      </w:r>
      <w:r>
        <w:rPr>
          <w:rFonts w:hint="eastAsia" w:ascii="宋体" w:hAnsi="宋体" w:eastAsia="宋体" w:cs="宋体"/>
          <w:color w:val="000000"/>
          <w:kern w:val="0"/>
          <w:sz w:val="24"/>
          <w:szCs w:val="24"/>
        </w:rPr>
        <w:t>)分析仪、BETA射线法颗粒物(PM</w:t>
      </w:r>
      <w:r>
        <w:rPr>
          <w:rFonts w:hint="eastAsia" w:ascii="宋体" w:hAnsi="宋体" w:eastAsia="宋体" w:cs="宋体"/>
          <w:color w:val="000000"/>
          <w:kern w:val="0"/>
          <w:sz w:val="24"/>
          <w:szCs w:val="24"/>
          <w:vertAlign w:val="subscript"/>
        </w:rPr>
        <w:t>2.5</w:t>
      </w:r>
      <w:r>
        <w:rPr>
          <w:rFonts w:hint="eastAsia" w:ascii="宋体" w:hAnsi="宋体" w:eastAsia="宋体" w:cs="宋体"/>
          <w:color w:val="000000"/>
          <w:kern w:val="0"/>
          <w:sz w:val="24"/>
          <w:szCs w:val="24"/>
        </w:rPr>
        <w:t>)分析仪及配套辅助设备。同时根据站点站房现有问题情况新建或更换标准空气站房，对无需更换的站点，结合站房现有的问题进行改造</w:t>
      </w:r>
      <w:r>
        <w:rPr>
          <w:rFonts w:hint="eastAsia" w:ascii="宋体" w:hAnsi="宋体" w:eastAsia="宋体" w:cs="宋体"/>
          <w:color w:val="000000"/>
          <w:sz w:val="24"/>
          <w:szCs w:val="24"/>
        </w:rPr>
        <w:t>。</w:t>
      </w:r>
    </w:p>
    <w:p w14:paraId="0F0EEB04">
      <w:pPr>
        <w:tabs>
          <w:tab w:val="left" w:pos="475"/>
        </w:tabs>
        <w:adjustRightInd w:val="0"/>
        <w:snapToGrid w:val="0"/>
        <w:spacing w:line="520" w:lineRule="exact"/>
        <w:ind w:firstLine="475" w:firstLineChars="198"/>
        <w:rPr>
          <w:rFonts w:hint="eastAsia" w:ascii="宋体" w:hAnsi="宋体" w:eastAsia="宋体" w:cs="宋体"/>
          <w:color w:val="000000"/>
          <w:sz w:val="24"/>
          <w:szCs w:val="24"/>
        </w:rPr>
      </w:pPr>
      <w:r>
        <w:rPr>
          <w:rFonts w:hint="eastAsia" w:ascii="宋体" w:hAnsi="宋体" w:eastAsia="宋体" w:cs="仿宋"/>
          <w:color w:val="000000"/>
          <w:sz w:val="24"/>
        </w:rPr>
        <w:t>2</w:t>
      </w:r>
      <w:r>
        <w:rPr>
          <w:rFonts w:hint="eastAsia" w:ascii="宋体" w:hAnsi="宋体" w:eastAsia="宋体" w:cs="仿宋"/>
          <w:color w:val="000000"/>
          <w:sz w:val="24"/>
          <w:lang w:val="zh-CN"/>
        </w:rPr>
        <w:t>、投标人提供的产品和服务，必须满足国家环保部空气连续自动监测系统技术要求及安装验收规范。</w:t>
      </w:r>
    </w:p>
    <w:p w14:paraId="19C59711">
      <w:pPr>
        <w:tabs>
          <w:tab w:val="left" w:pos="475"/>
        </w:tabs>
        <w:adjustRightInd w:val="0"/>
        <w:snapToGrid w:val="0"/>
        <w:spacing w:line="520" w:lineRule="exact"/>
        <w:ind w:firstLine="477" w:firstLineChars="198"/>
        <w:rPr>
          <w:rFonts w:hint="eastAsia" w:ascii="宋体" w:hAnsi="宋体" w:eastAsia="宋体"/>
          <w:b/>
          <w:bCs/>
          <w:sz w:val="24"/>
          <w:szCs w:val="24"/>
          <w:lang w:val="zh-CN"/>
        </w:rPr>
      </w:pPr>
      <w:r>
        <w:rPr>
          <w:rFonts w:hint="eastAsia" w:ascii="宋体" w:hAnsi="宋体" w:eastAsia="宋体"/>
          <w:b/>
          <w:bCs/>
          <w:kern w:val="0"/>
          <w:sz w:val="24"/>
          <w:szCs w:val="24"/>
          <w:lang w:val="zh-CN"/>
        </w:rPr>
        <w:t>二、</w:t>
      </w:r>
      <w:r>
        <w:rPr>
          <w:rFonts w:hint="eastAsia" w:ascii="宋体" w:hAnsi="宋体" w:eastAsia="宋体"/>
          <w:b/>
          <w:bCs/>
          <w:sz w:val="24"/>
          <w:szCs w:val="24"/>
          <w:lang w:val="zh-CN"/>
        </w:rPr>
        <w:t>项目清单</w:t>
      </w:r>
    </w:p>
    <w:tbl>
      <w:tblPr>
        <w:tblStyle w:val="13"/>
        <w:tblW w:w="8500" w:type="dxa"/>
        <w:jc w:val="center"/>
        <w:tblLayout w:type="autofit"/>
        <w:tblCellMar>
          <w:top w:w="0" w:type="dxa"/>
          <w:left w:w="108" w:type="dxa"/>
          <w:bottom w:w="0" w:type="dxa"/>
          <w:right w:w="108" w:type="dxa"/>
        </w:tblCellMar>
      </w:tblPr>
      <w:tblGrid>
        <w:gridCol w:w="704"/>
        <w:gridCol w:w="4394"/>
        <w:gridCol w:w="851"/>
        <w:gridCol w:w="850"/>
        <w:gridCol w:w="1701"/>
      </w:tblGrid>
      <w:tr w14:paraId="14FBCAFC">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1632C1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394" w:type="dxa"/>
            <w:tcBorders>
              <w:top w:val="single" w:color="auto" w:sz="4" w:space="0"/>
              <w:left w:val="nil"/>
              <w:bottom w:val="single" w:color="auto" w:sz="4" w:space="0"/>
              <w:right w:val="single" w:color="auto" w:sz="4" w:space="0"/>
            </w:tcBorders>
            <w:noWrap/>
            <w:vAlign w:val="center"/>
          </w:tcPr>
          <w:p w14:paraId="3441AA7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851" w:type="dxa"/>
            <w:tcBorders>
              <w:top w:val="single" w:color="auto" w:sz="4" w:space="0"/>
              <w:left w:val="nil"/>
              <w:bottom w:val="single" w:color="auto" w:sz="4" w:space="0"/>
              <w:right w:val="single" w:color="auto" w:sz="4" w:space="0"/>
            </w:tcBorders>
            <w:noWrap/>
            <w:vAlign w:val="center"/>
          </w:tcPr>
          <w:p w14:paraId="56348A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850" w:type="dxa"/>
            <w:tcBorders>
              <w:top w:val="single" w:color="auto" w:sz="4" w:space="0"/>
              <w:left w:val="nil"/>
              <w:bottom w:val="single" w:color="auto" w:sz="4" w:space="0"/>
              <w:right w:val="single" w:color="auto" w:sz="4" w:space="0"/>
            </w:tcBorders>
          </w:tcPr>
          <w:p w14:paraId="3691AC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701" w:type="dxa"/>
            <w:tcBorders>
              <w:top w:val="single" w:color="auto" w:sz="4" w:space="0"/>
              <w:left w:val="single" w:color="auto" w:sz="4" w:space="0"/>
              <w:bottom w:val="single" w:color="auto" w:sz="4" w:space="0"/>
              <w:right w:val="single" w:color="auto" w:sz="4" w:space="0"/>
            </w:tcBorders>
            <w:noWrap/>
            <w:vAlign w:val="center"/>
          </w:tcPr>
          <w:p w14:paraId="38A45FC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2A7F2CE1">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center"/>
          </w:tcPr>
          <w:p w14:paraId="1AA6F0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394" w:type="dxa"/>
            <w:tcBorders>
              <w:top w:val="nil"/>
              <w:left w:val="nil"/>
              <w:bottom w:val="single" w:color="auto" w:sz="4" w:space="0"/>
              <w:right w:val="single" w:color="auto" w:sz="4" w:space="0"/>
            </w:tcBorders>
            <w:noWrap/>
            <w:vAlign w:val="center"/>
          </w:tcPr>
          <w:p w14:paraId="11530527">
            <w:pPr>
              <w:widowControl/>
              <w:jc w:val="center"/>
              <w:rPr>
                <w:rFonts w:hint="eastAsia" w:ascii="宋体" w:hAnsi="宋体" w:eastAsia="宋体" w:cs="宋体"/>
                <w:kern w:val="0"/>
                <w:sz w:val="24"/>
                <w:szCs w:val="24"/>
              </w:rPr>
            </w:pPr>
            <w:r>
              <w:rPr>
                <w:rFonts w:hint="eastAsia" w:ascii="宋体" w:hAnsi="宋体" w:eastAsia="宋体"/>
                <w:sz w:val="24"/>
                <w:szCs w:val="24"/>
              </w:rPr>
              <w:t>二氧化硫分析仪及配套附件</w:t>
            </w:r>
          </w:p>
        </w:tc>
        <w:tc>
          <w:tcPr>
            <w:tcW w:w="851" w:type="dxa"/>
            <w:tcBorders>
              <w:top w:val="nil"/>
              <w:left w:val="nil"/>
              <w:bottom w:val="single" w:color="auto" w:sz="4" w:space="0"/>
              <w:right w:val="single" w:color="auto" w:sz="4" w:space="0"/>
            </w:tcBorders>
            <w:noWrap/>
            <w:vAlign w:val="center"/>
          </w:tcPr>
          <w:p w14:paraId="38F95D0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850" w:type="dxa"/>
            <w:tcBorders>
              <w:top w:val="single" w:color="auto" w:sz="4" w:space="0"/>
              <w:left w:val="nil"/>
              <w:bottom w:val="single" w:color="auto" w:sz="4" w:space="0"/>
              <w:right w:val="single" w:color="auto" w:sz="4" w:space="0"/>
            </w:tcBorders>
          </w:tcPr>
          <w:p w14:paraId="006BBE9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701" w:type="dxa"/>
            <w:vMerge w:val="restart"/>
            <w:tcBorders>
              <w:top w:val="nil"/>
              <w:left w:val="single" w:color="auto" w:sz="4" w:space="0"/>
              <w:right w:val="single" w:color="auto" w:sz="4" w:space="0"/>
            </w:tcBorders>
            <w:noWrap/>
            <w:vAlign w:val="center"/>
          </w:tcPr>
          <w:p w14:paraId="517256F7">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需同步配备环境空气自动监测系统正常运行、数据上传至省市平台所必须的配套设备设施</w:t>
            </w:r>
          </w:p>
        </w:tc>
      </w:tr>
      <w:tr w14:paraId="30CCF26E">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center"/>
          </w:tcPr>
          <w:p w14:paraId="6BE983D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394" w:type="dxa"/>
            <w:tcBorders>
              <w:top w:val="nil"/>
              <w:left w:val="nil"/>
              <w:bottom w:val="single" w:color="auto" w:sz="4" w:space="0"/>
              <w:right w:val="single" w:color="auto" w:sz="4" w:space="0"/>
            </w:tcBorders>
            <w:noWrap/>
            <w:vAlign w:val="center"/>
          </w:tcPr>
          <w:p w14:paraId="7873893F">
            <w:pPr>
              <w:widowControl/>
              <w:jc w:val="center"/>
              <w:rPr>
                <w:rFonts w:hint="eastAsia" w:ascii="宋体" w:hAnsi="宋体" w:eastAsia="宋体" w:cs="宋体"/>
                <w:kern w:val="0"/>
                <w:sz w:val="24"/>
                <w:szCs w:val="24"/>
              </w:rPr>
            </w:pPr>
            <w:r>
              <w:rPr>
                <w:rFonts w:hint="eastAsia" w:ascii="宋体" w:hAnsi="宋体" w:eastAsia="宋体"/>
                <w:sz w:val="24"/>
                <w:szCs w:val="24"/>
              </w:rPr>
              <w:t>氮氧化物分析仪及配套附件</w:t>
            </w:r>
          </w:p>
        </w:tc>
        <w:tc>
          <w:tcPr>
            <w:tcW w:w="851" w:type="dxa"/>
            <w:tcBorders>
              <w:top w:val="nil"/>
              <w:left w:val="nil"/>
              <w:bottom w:val="single" w:color="auto" w:sz="4" w:space="0"/>
              <w:right w:val="single" w:color="auto" w:sz="4" w:space="0"/>
            </w:tcBorders>
            <w:noWrap/>
            <w:vAlign w:val="center"/>
          </w:tcPr>
          <w:p w14:paraId="036534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850" w:type="dxa"/>
            <w:tcBorders>
              <w:top w:val="single" w:color="auto" w:sz="4" w:space="0"/>
              <w:left w:val="nil"/>
              <w:bottom w:val="single" w:color="auto" w:sz="4" w:space="0"/>
              <w:right w:val="single" w:color="auto" w:sz="4" w:space="0"/>
            </w:tcBorders>
          </w:tcPr>
          <w:p w14:paraId="7B16E40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701" w:type="dxa"/>
            <w:vMerge w:val="continue"/>
            <w:tcBorders>
              <w:left w:val="single" w:color="auto" w:sz="4" w:space="0"/>
              <w:right w:val="single" w:color="auto" w:sz="4" w:space="0"/>
            </w:tcBorders>
            <w:noWrap/>
            <w:vAlign w:val="bottom"/>
          </w:tcPr>
          <w:p w14:paraId="5C93E534">
            <w:pPr>
              <w:jc w:val="left"/>
              <w:rPr>
                <w:rFonts w:hint="eastAsia" w:ascii="宋体" w:hAnsi="宋体" w:eastAsia="宋体" w:cs="宋体"/>
                <w:kern w:val="0"/>
                <w:sz w:val="24"/>
                <w:szCs w:val="24"/>
              </w:rPr>
            </w:pPr>
          </w:p>
        </w:tc>
      </w:tr>
      <w:tr w14:paraId="090E202B">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center"/>
          </w:tcPr>
          <w:p w14:paraId="417D271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394" w:type="dxa"/>
            <w:tcBorders>
              <w:top w:val="nil"/>
              <w:left w:val="nil"/>
              <w:bottom w:val="single" w:color="auto" w:sz="4" w:space="0"/>
              <w:right w:val="single" w:color="auto" w:sz="4" w:space="0"/>
            </w:tcBorders>
            <w:noWrap/>
            <w:vAlign w:val="center"/>
          </w:tcPr>
          <w:p w14:paraId="7950D7D2">
            <w:pPr>
              <w:widowControl/>
              <w:jc w:val="center"/>
              <w:rPr>
                <w:rFonts w:hint="eastAsia" w:ascii="宋体" w:hAnsi="宋体" w:eastAsia="宋体" w:cs="宋体"/>
                <w:kern w:val="0"/>
                <w:sz w:val="24"/>
                <w:szCs w:val="24"/>
              </w:rPr>
            </w:pPr>
            <w:r>
              <w:rPr>
                <w:rFonts w:hint="eastAsia" w:ascii="宋体" w:hAnsi="宋体" w:eastAsia="宋体"/>
                <w:sz w:val="24"/>
                <w:szCs w:val="24"/>
              </w:rPr>
              <w:t>一氧化碳分析仪及配套附件</w:t>
            </w:r>
          </w:p>
        </w:tc>
        <w:tc>
          <w:tcPr>
            <w:tcW w:w="851" w:type="dxa"/>
            <w:tcBorders>
              <w:top w:val="nil"/>
              <w:left w:val="nil"/>
              <w:bottom w:val="single" w:color="auto" w:sz="4" w:space="0"/>
              <w:right w:val="single" w:color="auto" w:sz="4" w:space="0"/>
            </w:tcBorders>
            <w:noWrap/>
            <w:vAlign w:val="center"/>
          </w:tcPr>
          <w:p w14:paraId="2D747DE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850" w:type="dxa"/>
            <w:tcBorders>
              <w:top w:val="single" w:color="auto" w:sz="4" w:space="0"/>
              <w:left w:val="nil"/>
              <w:bottom w:val="single" w:color="auto" w:sz="4" w:space="0"/>
              <w:right w:val="single" w:color="auto" w:sz="4" w:space="0"/>
            </w:tcBorders>
          </w:tcPr>
          <w:p w14:paraId="01DE9A4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701" w:type="dxa"/>
            <w:vMerge w:val="continue"/>
            <w:tcBorders>
              <w:left w:val="single" w:color="auto" w:sz="4" w:space="0"/>
              <w:right w:val="single" w:color="auto" w:sz="4" w:space="0"/>
            </w:tcBorders>
            <w:noWrap/>
            <w:vAlign w:val="bottom"/>
          </w:tcPr>
          <w:p w14:paraId="690F3FC4">
            <w:pPr>
              <w:jc w:val="left"/>
              <w:rPr>
                <w:rFonts w:hint="eastAsia" w:ascii="宋体" w:hAnsi="宋体" w:eastAsia="宋体" w:cs="宋体"/>
                <w:kern w:val="0"/>
                <w:sz w:val="24"/>
                <w:szCs w:val="24"/>
              </w:rPr>
            </w:pPr>
          </w:p>
        </w:tc>
      </w:tr>
      <w:tr w14:paraId="04765F0C">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center"/>
          </w:tcPr>
          <w:p w14:paraId="7DF4BC8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394" w:type="dxa"/>
            <w:tcBorders>
              <w:top w:val="nil"/>
              <w:left w:val="nil"/>
              <w:bottom w:val="single" w:color="auto" w:sz="4" w:space="0"/>
              <w:right w:val="single" w:color="auto" w:sz="4" w:space="0"/>
            </w:tcBorders>
            <w:noWrap/>
            <w:vAlign w:val="center"/>
          </w:tcPr>
          <w:p w14:paraId="30F27080">
            <w:pPr>
              <w:widowControl/>
              <w:jc w:val="center"/>
              <w:rPr>
                <w:rFonts w:hint="eastAsia" w:ascii="宋体" w:hAnsi="宋体" w:eastAsia="宋体" w:cs="宋体"/>
                <w:kern w:val="0"/>
                <w:sz w:val="24"/>
                <w:szCs w:val="24"/>
              </w:rPr>
            </w:pPr>
            <w:r>
              <w:rPr>
                <w:rFonts w:hint="eastAsia" w:ascii="宋体" w:hAnsi="宋体" w:eastAsia="宋体"/>
                <w:sz w:val="24"/>
                <w:szCs w:val="24"/>
              </w:rPr>
              <w:t>臭氧分析仪及配套附件</w:t>
            </w:r>
          </w:p>
        </w:tc>
        <w:tc>
          <w:tcPr>
            <w:tcW w:w="851" w:type="dxa"/>
            <w:tcBorders>
              <w:top w:val="nil"/>
              <w:left w:val="nil"/>
              <w:bottom w:val="single" w:color="auto" w:sz="4" w:space="0"/>
              <w:right w:val="single" w:color="auto" w:sz="4" w:space="0"/>
            </w:tcBorders>
            <w:noWrap/>
            <w:vAlign w:val="center"/>
          </w:tcPr>
          <w:p w14:paraId="5FD29A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850" w:type="dxa"/>
            <w:tcBorders>
              <w:top w:val="single" w:color="auto" w:sz="4" w:space="0"/>
              <w:left w:val="nil"/>
              <w:bottom w:val="single" w:color="auto" w:sz="4" w:space="0"/>
              <w:right w:val="single" w:color="auto" w:sz="4" w:space="0"/>
            </w:tcBorders>
          </w:tcPr>
          <w:p w14:paraId="438CA8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701" w:type="dxa"/>
            <w:vMerge w:val="continue"/>
            <w:tcBorders>
              <w:left w:val="single" w:color="auto" w:sz="4" w:space="0"/>
              <w:right w:val="single" w:color="auto" w:sz="4" w:space="0"/>
            </w:tcBorders>
            <w:noWrap/>
            <w:vAlign w:val="bottom"/>
          </w:tcPr>
          <w:p w14:paraId="2D8FE5F9">
            <w:pPr>
              <w:jc w:val="left"/>
              <w:rPr>
                <w:rFonts w:hint="eastAsia" w:ascii="宋体" w:hAnsi="宋体" w:eastAsia="宋体" w:cs="宋体"/>
                <w:kern w:val="0"/>
                <w:sz w:val="24"/>
                <w:szCs w:val="24"/>
              </w:rPr>
            </w:pPr>
          </w:p>
        </w:tc>
      </w:tr>
      <w:tr w14:paraId="679B5BAF">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center"/>
          </w:tcPr>
          <w:p w14:paraId="4C28FDD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394" w:type="dxa"/>
            <w:tcBorders>
              <w:top w:val="nil"/>
              <w:left w:val="nil"/>
              <w:bottom w:val="single" w:color="auto" w:sz="4" w:space="0"/>
              <w:right w:val="single" w:color="auto" w:sz="4" w:space="0"/>
            </w:tcBorders>
            <w:noWrap/>
            <w:vAlign w:val="center"/>
          </w:tcPr>
          <w:p w14:paraId="5B9E0614">
            <w:pPr>
              <w:widowControl/>
              <w:jc w:val="center"/>
              <w:rPr>
                <w:rFonts w:hint="eastAsia" w:ascii="宋体" w:hAnsi="宋体" w:eastAsia="宋体" w:cs="宋体"/>
                <w:kern w:val="0"/>
                <w:sz w:val="24"/>
                <w:szCs w:val="24"/>
              </w:rPr>
            </w:pPr>
            <w:r>
              <w:rPr>
                <w:rFonts w:hint="eastAsia" w:ascii="宋体" w:hAnsi="宋体" w:eastAsia="宋体"/>
                <w:sz w:val="24"/>
                <w:szCs w:val="24"/>
              </w:rPr>
              <w:t>颗粒物PM</w:t>
            </w:r>
            <w:r>
              <w:rPr>
                <w:rFonts w:hint="eastAsia" w:ascii="宋体" w:hAnsi="宋体" w:eastAsia="宋体"/>
                <w:sz w:val="24"/>
                <w:szCs w:val="24"/>
                <w:vertAlign w:val="subscript"/>
              </w:rPr>
              <w:t>10</w:t>
            </w:r>
            <w:r>
              <w:rPr>
                <w:rFonts w:hint="eastAsia" w:ascii="宋体" w:hAnsi="宋体" w:eastAsia="宋体"/>
                <w:sz w:val="24"/>
                <w:szCs w:val="24"/>
              </w:rPr>
              <w:t>分析仪及配套附件</w:t>
            </w:r>
          </w:p>
        </w:tc>
        <w:tc>
          <w:tcPr>
            <w:tcW w:w="851" w:type="dxa"/>
            <w:tcBorders>
              <w:top w:val="nil"/>
              <w:left w:val="nil"/>
              <w:bottom w:val="single" w:color="auto" w:sz="4" w:space="0"/>
              <w:right w:val="single" w:color="auto" w:sz="4" w:space="0"/>
            </w:tcBorders>
            <w:noWrap/>
            <w:vAlign w:val="center"/>
          </w:tcPr>
          <w:p w14:paraId="585C0E3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850" w:type="dxa"/>
            <w:tcBorders>
              <w:top w:val="single" w:color="auto" w:sz="4" w:space="0"/>
              <w:left w:val="nil"/>
              <w:bottom w:val="single" w:color="auto" w:sz="4" w:space="0"/>
              <w:right w:val="single" w:color="auto" w:sz="4" w:space="0"/>
            </w:tcBorders>
          </w:tcPr>
          <w:p w14:paraId="1A540F1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701" w:type="dxa"/>
            <w:vMerge w:val="continue"/>
            <w:tcBorders>
              <w:left w:val="single" w:color="auto" w:sz="4" w:space="0"/>
              <w:right w:val="single" w:color="auto" w:sz="4" w:space="0"/>
            </w:tcBorders>
            <w:noWrap/>
            <w:vAlign w:val="bottom"/>
          </w:tcPr>
          <w:p w14:paraId="5E9A7C31">
            <w:pPr>
              <w:jc w:val="left"/>
              <w:rPr>
                <w:rFonts w:hint="eastAsia" w:ascii="宋体" w:hAnsi="宋体" w:eastAsia="宋体" w:cs="宋体"/>
                <w:kern w:val="0"/>
                <w:sz w:val="24"/>
                <w:szCs w:val="24"/>
              </w:rPr>
            </w:pPr>
          </w:p>
        </w:tc>
      </w:tr>
      <w:tr w14:paraId="3AFF4351">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center"/>
          </w:tcPr>
          <w:p w14:paraId="4E193A6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394" w:type="dxa"/>
            <w:tcBorders>
              <w:top w:val="nil"/>
              <w:left w:val="nil"/>
              <w:bottom w:val="single" w:color="auto" w:sz="4" w:space="0"/>
              <w:right w:val="single" w:color="auto" w:sz="4" w:space="0"/>
            </w:tcBorders>
            <w:noWrap/>
            <w:vAlign w:val="center"/>
          </w:tcPr>
          <w:p w14:paraId="38E1E4CC">
            <w:pPr>
              <w:widowControl/>
              <w:jc w:val="center"/>
              <w:rPr>
                <w:rFonts w:hint="eastAsia" w:ascii="宋体" w:hAnsi="宋体" w:eastAsia="宋体" w:cs="宋体"/>
                <w:kern w:val="0"/>
                <w:sz w:val="24"/>
                <w:szCs w:val="24"/>
              </w:rPr>
            </w:pPr>
            <w:r>
              <w:rPr>
                <w:rFonts w:hint="eastAsia" w:ascii="宋体" w:hAnsi="宋体" w:eastAsia="宋体"/>
                <w:sz w:val="24"/>
                <w:szCs w:val="24"/>
              </w:rPr>
              <w:t>颗粒物PM</w:t>
            </w:r>
            <w:r>
              <w:rPr>
                <w:rFonts w:hint="eastAsia" w:ascii="宋体" w:hAnsi="宋体" w:eastAsia="宋体"/>
                <w:sz w:val="24"/>
                <w:szCs w:val="24"/>
                <w:vertAlign w:val="subscript"/>
              </w:rPr>
              <w:t>2.5</w:t>
            </w:r>
            <w:r>
              <w:rPr>
                <w:rFonts w:hint="eastAsia" w:ascii="宋体" w:hAnsi="宋体" w:eastAsia="宋体"/>
                <w:sz w:val="24"/>
                <w:szCs w:val="24"/>
              </w:rPr>
              <w:t>分析仪及配套附件</w:t>
            </w:r>
          </w:p>
        </w:tc>
        <w:tc>
          <w:tcPr>
            <w:tcW w:w="851" w:type="dxa"/>
            <w:tcBorders>
              <w:top w:val="nil"/>
              <w:left w:val="nil"/>
              <w:bottom w:val="single" w:color="auto" w:sz="4" w:space="0"/>
              <w:right w:val="single" w:color="auto" w:sz="4" w:space="0"/>
            </w:tcBorders>
            <w:noWrap/>
            <w:vAlign w:val="center"/>
          </w:tcPr>
          <w:p w14:paraId="4D13311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850" w:type="dxa"/>
            <w:tcBorders>
              <w:top w:val="single" w:color="auto" w:sz="4" w:space="0"/>
              <w:left w:val="nil"/>
              <w:bottom w:val="single" w:color="auto" w:sz="4" w:space="0"/>
              <w:right w:val="single" w:color="auto" w:sz="4" w:space="0"/>
            </w:tcBorders>
          </w:tcPr>
          <w:p w14:paraId="1C2B643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701" w:type="dxa"/>
            <w:vMerge w:val="continue"/>
            <w:tcBorders>
              <w:left w:val="single" w:color="auto" w:sz="4" w:space="0"/>
              <w:right w:val="single" w:color="auto" w:sz="4" w:space="0"/>
            </w:tcBorders>
            <w:noWrap/>
            <w:vAlign w:val="bottom"/>
          </w:tcPr>
          <w:p w14:paraId="744FF88E">
            <w:pPr>
              <w:jc w:val="left"/>
              <w:rPr>
                <w:rFonts w:hint="eastAsia" w:ascii="宋体" w:hAnsi="宋体" w:eastAsia="宋体" w:cs="宋体"/>
                <w:kern w:val="0"/>
                <w:sz w:val="24"/>
                <w:szCs w:val="24"/>
              </w:rPr>
            </w:pPr>
          </w:p>
        </w:tc>
      </w:tr>
      <w:tr w14:paraId="13ADF6E4">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center"/>
          </w:tcPr>
          <w:p w14:paraId="756B15D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394" w:type="dxa"/>
            <w:tcBorders>
              <w:top w:val="nil"/>
              <w:left w:val="nil"/>
              <w:bottom w:val="single" w:color="auto" w:sz="4" w:space="0"/>
              <w:right w:val="single" w:color="auto" w:sz="4" w:space="0"/>
            </w:tcBorders>
            <w:noWrap/>
            <w:vAlign w:val="center"/>
          </w:tcPr>
          <w:p w14:paraId="283123FC">
            <w:pPr>
              <w:widowControl/>
              <w:jc w:val="center"/>
              <w:rPr>
                <w:rFonts w:hint="eastAsia" w:ascii="宋体" w:hAnsi="宋体" w:eastAsia="宋体" w:cs="宋体"/>
                <w:kern w:val="0"/>
                <w:sz w:val="24"/>
                <w:szCs w:val="24"/>
              </w:rPr>
            </w:pPr>
            <w:r>
              <w:rPr>
                <w:rFonts w:hint="eastAsia" w:ascii="宋体" w:hAnsi="宋体" w:eastAsia="宋体"/>
                <w:sz w:val="24"/>
                <w:szCs w:val="24"/>
              </w:rPr>
              <w:t>新建站房及辅助配套设施</w:t>
            </w:r>
          </w:p>
        </w:tc>
        <w:tc>
          <w:tcPr>
            <w:tcW w:w="851" w:type="dxa"/>
            <w:tcBorders>
              <w:top w:val="nil"/>
              <w:left w:val="nil"/>
              <w:bottom w:val="single" w:color="auto" w:sz="4" w:space="0"/>
              <w:right w:val="single" w:color="auto" w:sz="4" w:space="0"/>
            </w:tcBorders>
            <w:noWrap/>
            <w:vAlign w:val="center"/>
          </w:tcPr>
          <w:p w14:paraId="003E36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850" w:type="dxa"/>
            <w:tcBorders>
              <w:top w:val="single" w:color="auto" w:sz="4" w:space="0"/>
              <w:left w:val="nil"/>
              <w:bottom w:val="single" w:color="auto" w:sz="4" w:space="0"/>
              <w:right w:val="single" w:color="auto" w:sz="4" w:space="0"/>
            </w:tcBorders>
          </w:tcPr>
          <w:p w14:paraId="6DBA5F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701" w:type="dxa"/>
            <w:vMerge w:val="continue"/>
            <w:tcBorders>
              <w:left w:val="single" w:color="auto" w:sz="4" w:space="0"/>
              <w:right w:val="single" w:color="auto" w:sz="4" w:space="0"/>
            </w:tcBorders>
            <w:noWrap/>
            <w:vAlign w:val="bottom"/>
          </w:tcPr>
          <w:p w14:paraId="21E97158">
            <w:pPr>
              <w:jc w:val="left"/>
              <w:rPr>
                <w:rFonts w:hint="eastAsia" w:ascii="宋体" w:hAnsi="宋体" w:eastAsia="宋体" w:cs="宋体"/>
                <w:kern w:val="0"/>
                <w:sz w:val="24"/>
                <w:szCs w:val="24"/>
              </w:rPr>
            </w:pPr>
          </w:p>
        </w:tc>
      </w:tr>
      <w:tr w14:paraId="56D135A9">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noWrap/>
            <w:vAlign w:val="center"/>
          </w:tcPr>
          <w:p w14:paraId="6DC64B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394" w:type="dxa"/>
            <w:tcBorders>
              <w:top w:val="nil"/>
              <w:left w:val="nil"/>
              <w:bottom w:val="single" w:color="auto" w:sz="4" w:space="0"/>
              <w:right w:val="single" w:color="auto" w:sz="4" w:space="0"/>
            </w:tcBorders>
            <w:noWrap/>
            <w:vAlign w:val="center"/>
          </w:tcPr>
          <w:p w14:paraId="6B4295E4">
            <w:pPr>
              <w:widowControl/>
              <w:jc w:val="center"/>
              <w:rPr>
                <w:rFonts w:hint="eastAsia" w:ascii="宋体" w:hAnsi="宋体" w:eastAsia="宋体" w:cs="宋体"/>
                <w:kern w:val="0"/>
                <w:sz w:val="24"/>
                <w:szCs w:val="24"/>
              </w:rPr>
            </w:pPr>
            <w:r>
              <w:rPr>
                <w:rFonts w:hint="eastAsia" w:ascii="宋体" w:hAnsi="宋体" w:eastAsia="宋体"/>
                <w:sz w:val="24"/>
                <w:szCs w:val="24"/>
              </w:rPr>
              <w:t>站房改造及辅助配套设施</w:t>
            </w:r>
          </w:p>
        </w:tc>
        <w:tc>
          <w:tcPr>
            <w:tcW w:w="851" w:type="dxa"/>
            <w:tcBorders>
              <w:top w:val="nil"/>
              <w:left w:val="nil"/>
              <w:bottom w:val="single" w:color="auto" w:sz="4" w:space="0"/>
              <w:right w:val="single" w:color="auto" w:sz="4" w:space="0"/>
            </w:tcBorders>
            <w:noWrap/>
            <w:vAlign w:val="center"/>
          </w:tcPr>
          <w:p w14:paraId="747D47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850" w:type="dxa"/>
            <w:tcBorders>
              <w:top w:val="single" w:color="auto" w:sz="4" w:space="0"/>
              <w:left w:val="nil"/>
              <w:bottom w:val="single" w:color="auto" w:sz="4" w:space="0"/>
              <w:right w:val="single" w:color="auto" w:sz="4" w:space="0"/>
            </w:tcBorders>
          </w:tcPr>
          <w:p w14:paraId="62681BB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1701" w:type="dxa"/>
            <w:vMerge w:val="continue"/>
            <w:tcBorders>
              <w:left w:val="single" w:color="auto" w:sz="4" w:space="0"/>
              <w:bottom w:val="single" w:color="auto" w:sz="4" w:space="0"/>
              <w:right w:val="single" w:color="auto" w:sz="4" w:space="0"/>
            </w:tcBorders>
            <w:noWrap/>
            <w:vAlign w:val="bottom"/>
          </w:tcPr>
          <w:p w14:paraId="052E286B">
            <w:pPr>
              <w:widowControl/>
              <w:jc w:val="left"/>
              <w:rPr>
                <w:rFonts w:hint="eastAsia" w:ascii="宋体" w:hAnsi="宋体" w:eastAsia="宋体" w:cs="宋体"/>
                <w:kern w:val="0"/>
                <w:sz w:val="24"/>
                <w:szCs w:val="24"/>
              </w:rPr>
            </w:pPr>
          </w:p>
        </w:tc>
      </w:tr>
      <w:tr w14:paraId="5389AD58">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7657BA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4394" w:type="dxa"/>
            <w:tcBorders>
              <w:top w:val="single" w:color="auto" w:sz="4" w:space="0"/>
              <w:left w:val="nil"/>
              <w:bottom w:val="single" w:color="auto" w:sz="4" w:space="0"/>
              <w:right w:val="single" w:color="auto" w:sz="4" w:space="0"/>
            </w:tcBorders>
            <w:noWrap/>
            <w:vAlign w:val="center"/>
          </w:tcPr>
          <w:p w14:paraId="1E9FA7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道路积尘负荷走航</w:t>
            </w:r>
          </w:p>
        </w:tc>
        <w:tc>
          <w:tcPr>
            <w:tcW w:w="851" w:type="dxa"/>
            <w:tcBorders>
              <w:top w:val="single" w:color="auto" w:sz="4" w:space="0"/>
              <w:left w:val="nil"/>
              <w:bottom w:val="single" w:color="auto" w:sz="4" w:space="0"/>
              <w:right w:val="single" w:color="auto" w:sz="4" w:space="0"/>
            </w:tcBorders>
            <w:noWrap/>
            <w:vAlign w:val="center"/>
          </w:tcPr>
          <w:p w14:paraId="6DF354E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0" w:type="dxa"/>
            <w:tcBorders>
              <w:top w:val="single" w:color="auto" w:sz="4" w:space="0"/>
              <w:left w:val="nil"/>
              <w:bottom w:val="single" w:color="auto" w:sz="4" w:space="0"/>
              <w:right w:val="single" w:color="auto" w:sz="4" w:space="0"/>
            </w:tcBorders>
            <w:vAlign w:val="center"/>
          </w:tcPr>
          <w:p w14:paraId="6E16BA6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年</w:t>
            </w:r>
          </w:p>
        </w:tc>
        <w:tc>
          <w:tcPr>
            <w:tcW w:w="1701" w:type="dxa"/>
            <w:tcBorders>
              <w:top w:val="single" w:color="auto" w:sz="4" w:space="0"/>
              <w:left w:val="single" w:color="auto" w:sz="4" w:space="0"/>
              <w:bottom w:val="single" w:color="auto" w:sz="4" w:space="0"/>
              <w:right w:val="single" w:color="auto" w:sz="4" w:space="0"/>
            </w:tcBorders>
            <w:noWrap/>
            <w:vAlign w:val="center"/>
          </w:tcPr>
          <w:p w14:paraId="2B0E02A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每站每月一次</w:t>
            </w:r>
          </w:p>
        </w:tc>
      </w:tr>
      <w:tr w14:paraId="66BAB9D1">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031A39D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4394" w:type="dxa"/>
            <w:tcBorders>
              <w:top w:val="single" w:color="auto" w:sz="4" w:space="0"/>
              <w:left w:val="nil"/>
              <w:bottom w:val="single" w:color="auto" w:sz="4" w:space="0"/>
              <w:right w:val="single" w:color="auto" w:sz="4" w:space="0"/>
            </w:tcBorders>
            <w:noWrap/>
            <w:vAlign w:val="center"/>
          </w:tcPr>
          <w:p w14:paraId="20290EF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乡镇点高值溯源</w:t>
            </w:r>
          </w:p>
        </w:tc>
        <w:tc>
          <w:tcPr>
            <w:tcW w:w="851" w:type="dxa"/>
            <w:tcBorders>
              <w:top w:val="single" w:color="auto" w:sz="4" w:space="0"/>
              <w:left w:val="nil"/>
              <w:bottom w:val="single" w:color="auto" w:sz="4" w:space="0"/>
              <w:right w:val="single" w:color="auto" w:sz="4" w:space="0"/>
            </w:tcBorders>
            <w:noWrap/>
            <w:vAlign w:val="center"/>
          </w:tcPr>
          <w:p w14:paraId="6231211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850" w:type="dxa"/>
            <w:tcBorders>
              <w:top w:val="single" w:color="auto" w:sz="4" w:space="0"/>
              <w:left w:val="nil"/>
              <w:bottom w:val="single" w:color="auto" w:sz="4" w:space="0"/>
              <w:right w:val="single" w:color="auto" w:sz="4" w:space="0"/>
            </w:tcBorders>
          </w:tcPr>
          <w:p w14:paraId="11CF08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年</w:t>
            </w:r>
          </w:p>
        </w:tc>
        <w:tc>
          <w:tcPr>
            <w:tcW w:w="1701" w:type="dxa"/>
            <w:tcBorders>
              <w:top w:val="single" w:color="auto" w:sz="4" w:space="0"/>
              <w:left w:val="single" w:color="auto" w:sz="4" w:space="0"/>
              <w:bottom w:val="single" w:color="auto" w:sz="4" w:space="0"/>
              <w:right w:val="single" w:color="auto" w:sz="4" w:space="0"/>
            </w:tcBorders>
            <w:noWrap/>
            <w:vAlign w:val="bottom"/>
          </w:tcPr>
          <w:p w14:paraId="4E7E84D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每站每月一次</w:t>
            </w:r>
          </w:p>
        </w:tc>
      </w:tr>
      <w:tr w14:paraId="7C6C0AEB">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54A7B3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4394" w:type="dxa"/>
            <w:tcBorders>
              <w:top w:val="single" w:color="auto" w:sz="4" w:space="0"/>
              <w:left w:val="nil"/>
              <w:bottom w:val="single" w:color="auto" w:sz="4" w:space="0"/>
              <w:right w:val="single" w:color="auto" w:sz="4" w:space="0"/>
            </w:tcBorders>
            <w:noWrap/>
            <w:vAlign w:val="center"/>
          </w:tcPr>
          <w:p w14:paraId="408BFDC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运维服务</w:t>
            </w:r>
          </w:p>
        </w:tc>
        <w:tc>
          <w:tcPr>
            <w:tcW w:w="851" w:type="dxa"/>
            <w:tcBorders>
              <w:top w:val="single" w:color="auto" w:sz="4" w:space="0"/>
              <w:left w:val="nil"/>
              <w:bottom w:val="single" w:color="auto" w:sz="4" w:space="0"/>
              <w:right w:val="single" w:color="auto" w:sz="4" w:space="0"/>
            </w:tcBorders>
            <w:noWrap/>
            <w:vAlign w:val="center"/>
          </w:tcPr>
          <w:p w14:paraId="55941D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50" w:type="dxa"/>
            <w:tcBorders>
              <w:top w:val="single" w:color="auto" w:sz="4" w:space="0"/>
              <w:left w:val="nil"/>
              <w:bottom w:val="single" w:color="auto" w:sz="4" w:space="0"/>
              <w:right w:val="single" w:color="auto" w:sz="4" w:space="0"/>
            </w:tcBorders>
          </w:tcPr>
          <w:p w14:paraId="2C61A86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年</w:t>
            </w:r>
          </w:p>
        </w:tc>
        <w:tc>
          <w:tcPr>
            <w:tcW w:w="1701" w:type="dxa"/>
            <w:tcBorders>
              <w:top w:val="single" w:color="auto" w:sz="4" w:space="0"/>
              <w:left w:val="single" w:color="auto" w:sz="4" w:space="0"/>
              <w:bottom w:val="single" w:color="auto" w:sz="4" w:space="0"/>
              <w:right w:val="single" w:color="auto" w:sz="4" w:space="0"/>
            </w:tcBorders>
            <w:noWrap/>
            <w:vAlign w:val="bottom"/>
          </w:tcPr>
          <w:p w14:paraId="2E4DDEE0">
            <w:pPr>
              <w:widowControl/>
              <w:jc w:val="left"/>
              <w:rPr>
                <w:rFonts w:hint="eastAsia" w:ascii="宋体" w:hAnsi="宋体" w:eastAsia="宋体" w:cs="宋体"/>
                <w:kern w:val="0"/>
                <w:sz w:val="24"/>
                <w:szCs w:val="24"/>
              </w:rPr>
            </w:pPr>
          </w:p>
        </w:tc>
      </w:tr>
    </w:tbl>
    <w:p w14:paraId="0FFED666">
      <w:pPr>
        <w:adjustRightInd w:val="0"/>
        <w:snapToGrid w:val="0"/>
        <w:spacing w:line="360" w:lineRule="auto"/>
        <w:ind w:firstLine="482" w:firstLineChars="200"/>
        <w:rPr>
          <w:rFonts w:hint="eastAsia" w:ascii="宋体" w:hAnsi="宋体" w:eastAsia="宋体" w:cs="仿宋_GB2312"/>
          <w:color w:val="000000"/>
          <w:sz w:val="24"/>
        </w:rPr>
      </w:pPr>
      <w:r>
        <w:rPr>
          <w:rFonts w:hint="eastAsia" w:ascii="宋体" w:hAnsi="宋体" w:eastAsia="宋体" w:cs="仿宋_GB2312"/>
          <w:b/>
          <w:bCs/>
          <w:color w:val="000000"/>
          <w:sz w:val="24"/>
        </w:rPr>
        <w:t>三、项目总体要求</w:t>
      </w:r>
    </w:p>
    <w:p w14:paraId="46E9B213">
      <w:pPr>
        <w:autoSpaceDE w:val="0"/>
        <w:autoSpaceDN w:val="0"/>
        <w:adjustRightInd w:val="0"/>
        <w:snapToGrid w:val="0"/>
        <w:spacing w:line="360" w:lineRule="auto"/>
        <w:ind w:firstLine="480" w:firstLineChars="200"/>
        <w:jc w:val="left"/>
        <w:rPr>
          <w:rStyle w:val="33"/>
          <w:rFonts w:hint="default" w:ascii="宋体" w:hAnsi="宋体" w:eastAsia="宋体"/>
        </w:rPr>
      </w:pPr>
      <w:r>
        <w:rPr>
          <w:rStyle w:val="33"/>
          <w:rFonts w:hint="default" w:ascii="宋体" w:hAnsi="宋体" w:eastAsia="宋体"/>
        </w:rPr>
        <w:t>1、各项监测设备性能指标均达到国家标准分析方法、中国环保行业分析方法的要求。</w:t>
      </w:r>
    </w:p>
    <w:p w14:paraId="51F54A6E">
      <w:pPr>
        <w:autoSpaceDE w:val="0"/>
        <w:autoSpaceDN w:val="0"/>
        <w:adjustRightInd w:val="0"/>
        <w:snapToGrid w:val="0"/>
        <w:spacing w:line="360" w:lineRule="auto"/>
        <w:ind w:firstLine="480" w:firstLineChars="200"/>
        <w:jc w:val="left"/>
        <w:rPr>
          <w:rStyle w:val="33"/>
          <w:rFonts w:hint="default" w:ascii="宋体" w:hAnsi="宋体" w:eastAsia="宋体"/>
        </w:rPr>
      </w:pPr>
      <w:r>
        <w:rPr>
          <w:rStyle w:val="33"/>
          <w:rFonts w:hint="default" w:ascii="宋体" w:hAnsi="宋体" w:eastAsia="宋体"/>
        </w:rPr>
        <w:t>2、采用点式仪器组成自动监测系统。</w:t>
      </w:r>
    </w:p>
    <w:p w14:paraId="1334DC9E">
      <w:pPr>
        <w:autoSpaceDE w:val="0"/>
        <w:autoSpaceDN w:val="0"/>
        <w:adjustRightInd w:val="0"/>
        <w:snapToGrid w:val="0"/>
        <w:spacing w:line="360" w:lineRule="auto"/>
        <w:ind w:firstLine="480" w:firstLineChars="200"/>
        <w:jc w:val="left"/>
        <w:rPr>
          <w:rStyle w:val="33"/>
          <w:rFonts w:hint="default" w:ascii="宋体" w:hAnsi="宋体" w:eastAsia="宋体"/>
        </w:rPr>
      </w:pPr>
      <w:r>
        <w:rPr>
          <w:rStyle w:val="33"/>
          <w:rFonts w:hint="default" w:ascii="宋体" w:hAnsi="宋体" w:eastAsia="宋体"/>
        </w:rPr>
        <w:t>3、系统可以自动采样。</w:t>
      </w:r>
    </w:p>
    <w:p w14:paraId="5CCF4866">
      <w:pPr>
        <w:autoSpaceDE w:val="0"/>
        <w:autoSpaceDN w:val="0"/>
        <w:adjustRightInd w:val="0"/>
        <w:snapToGrid w:val="0"/>
        <w:spacing w:line="360" w:lineRule="auto"/>
        <w:ind w:firstLine="480" w:firstLineChars="200"/>
        <w:jc w:val="left"/>
        <w:rPr>
          <w:rStyle w:val="33"/>
          <w:rFonts w:hint="default" w:ascii="宋体" w:hAnsi="宋体" w:eastAsia="宋体"/>
        </w:rPr>
      </w:pPr>
      <w:r>
        <w:rPr>
          <w:rStyle w:val="33"/>
          <w:rFonts w:hint="default" w:ascii="宋体" w:hAnsi="宋体" w:eastAsia="宋体"/>
        </w:rPr>
        <w:t>4、所有仪器均具有良好的抗干扰能力。</w:t>
      </w:r>
    </w:p>
    <w:p w14:paraId="140B62FF">
      <w:pPr>
        <w:autoSpaceDE w:val="0"/>
        <w:autoSpaceDN w:val="0"/>
        <w:adjustRightInd w:val="0"/>
        <w:snapToGrid w:val="0"/>
        <w:spacing w:line="360" w:lineRule="auto"/>
        <w:ind w:firstLine="480" w:firstLineChars="200"/>
        <w:jc w:val="left"/>
        <w:rPr>
          <w:rStyle w:val="33"/>
          <w:rFonts w:hint="default" w:ascii="宋体" w:hAnsi="宋体" w:eastAsia="宋体"/>
        </w:rPr>
      </w:pPr>
      <w:r>
        <w:rPr>
          <w:rStyle w:val="33"/>
          <w:rFonts w:hint="default" w:ascii="宋体" w:hAnsi="宋体" w:eastAsia="宋体"/>
        </w:rPr>
        <w:t>5、所有监测分析仪输出的数据能够自动换算为标态浓度。</w:t>
      </w:r>
    </w:p>
    <w:p w14:paraId="1351B5D0">
      <w:pPr>
        <w:autoSpaceDE w:val="0"/>
        <w:autoSpaceDN w:val="0"/>
        <w:adjustRightInd w:val="0"/>
        <w:snapToGrid w:val="0"/>
        <w:spacing w:line="360" w:lineRule="auto"/>
        <w:ind w:firstLine="480" w:firstLineChars="200"/>
        <w:jc w:val="left"/>
        <w:rPr>
          <w:rStyle w:val="33"/>
          <w:rFonts w:hint="default" w:ascii="宋体" w:hAnsi="宋体" w:eastAsia="宋体"/>
        </w:rPr>
      </w:pPr>
      <w:r>
        <w:rPr>
          <w:rStyle w:val="33"/>
          <w:rFonts w:hint="default" w:ascii="宋体" w:hAnsi="宋体" w:eastAsia="宋体"/>
        </w:rPr>
        <w:t>6、具有0-100mv,0-1,0-5,0-10V模拟输出方式，提供RS232/485双向数字通讯接口，各分析仪自带网络接口。</w:t>
      </w:r>
    </w:p>
    <w:p w14:paraId="69524F68">
      <w:pPr>
        <w:autoSpaceDE w:val="0"/>
        <w:autoSpaceDN w:val="0"/>
        <w:adjustRightInd w:val="0"/>
        <w:snapToGrid w:val="0"/>
        <w:spacing w:line="360" w:lineRule="auto"/>
        <w:ind w:firstLine="480" w:firstLineChars="200"/>
        <w:jc w:val="left"/>
        <w:rPr>
          <w:rStyle w:val="33"/>
          <w:rFonts w:hint="default" w:ascii="宋体" w:hAnsi="宋体" w:eastAsia="宋体"/>
        </w:rPr>
      </w:pPr>
      <w:r>
        <w:rPr>
          <w:rStyle w:val="33"/>
          <w:rFonts w:hint="default" w:ascii="宋体" w:hAnsi="宋体" w:eastAsia="宋体"/>
        </w:rPr>
        <w:t>7、整套大气自动监测系统满足自动连续进行正常、稳定大气监测要求；具有各项资料自动传输、远程自动和手动控制、诊断、现场手动控制及故障显示等基本功能。整套系统的有效数据运行率优于95%。</w:t>
      </w:r>
    </w:p>
    <w:p w14:paraId="54953253">
      <w:pPr>
        <w:autoSpaceDE w:val="0"/>
        <w:autoSpaceDN w:val="0"/>
        <w:adjustRightInd w:val="0"/>
        <w:snapToGrid w:val="0"/>
        <w:spacing w:line="360" w:lineRule="auto"/>
        <w:ind w:firstLine="480" w:firstLineChars="200"/>
        <w:jc w:val="left"/>
        <w:rPr>
          <w:rFonts w:hint="eastAsia" w:ascii="宋体" w:hAnsi="宋体" w:eastAsia="宋体"/>
          <w:color w:val="000000"/>
          <w:sz w:val="24"/>
          <w:szCs w:val="24"/>
        </w:rPr>
      </w:pPr>
      <w:r>
        <w:rPr>
          <w:rStyle w:val="33"/>
          <w:rFonts w:hint="default" w:ascii="宋体" w:hAnsi="宋体" w:eastAsia="宋体"/>
        </w:rPr>
        <w:t>8、每套系统应附有单机和系统的中文的安装说明书及使用说明书。</w:t>
      </w:r>
    </w:p>
    <w:p w14:paraId="79F2A815">
      <w:pPr>
        <w:adjustRightInd w:val="0"/>
        <w:snapToGrid w:val="0"/>
        <w:spacing w:line="360" w:lineRule="auto"/>
        <w:ind w:firstLine="482" w:firstLineChars="200"/>
        <w:rPr>
          <w:rFonts w:hint="eastAsia" w:ascii="宋体" w:hAnsi="宋体" w:eastAsia="宋体"/>
          <w:b/>
          <w:bCs/>
          <w:sz w:val="24"/>
          <w:szCs w:val="24"/>
          <w:lang w:val="zh-CN"/>
        </w:rPr>
      </w:pPr>
      <w:r>
        <w:rPr>
          <w:rFonts w:hint="eastAsia" w:ascii="宋体" w:hAnsi="宋体" w:eastAsia="宋体"/>
          <w:b/>
          <w:bCs/>
          <w:sz w:val="24"/>
          <w:szCs w:val="24"/>
          <w:lang w:val="zh-CN"/>
        </w:rPr>
        <w:t>四、设备主要技术指标</w:t>
      </w:r>
    </w:p>
    <w:p w14:paraId="01FE55D6">
      <w:pPr>
        <w:pStyle w:val="35"/>
        <w:shd w:val="clear" w:color="auto" w:fill="FFFFFF"/>
        <w:adjustRightInd w:val="0"/>
        <w:snapToGrid w:val="0"/>
        <w:spacing w:before="0" w:beforeAutospacing="0" w:after="0" w:afterAutospacing="0" w:line="360" w:lineRule="auto"/>
        <w:ind w:firstLine="482" w:firstLineChars="200"/>
        <w:rPr>
          <w:rFonts w:hint="eastAsia"/>
          <w:b/>
          <w:bCs/>
          <w:color w:val="000000"/>
          <w:sz w:val="24"/>
          <w:szCs w:val="24"/>
        </w:rPr>
      </w:pPr>
      <w:r>
        <w:rPr>
          <w:rFonts w:hint="eastAsia"/>
          <w:b/>
          <w:bCs/>
          <w:color w:val="000000"/>
          <w:sz w:val="24"/>
          <w:szCs w:val="24"/>
        </w:rPr>
        <w:t>1、SO</w:t>
      </w:r>
      <w:r>
        <w:rPr>
          <w:rFonts w:hint="eastAsia"/>
          <w:b/>
          <w:bCs/>
          <w:color w:val="000000"/>
          <w:sz w:val="24"/>
          <w:szCs w:val="24"/>
          <w:vertAlign w:val="subscript"/>
        </w:rPr>
        <w:t>2</w:t>
      </w:r>
      <w:r>
        <w:rPr>
          <w:b/>
          <w:bCs/>
          <w:color w:val="000000"/>
          <w:sz w:val="24"/>
          <w:szCs w:val="24"/>
        </w:rPr>
        <w:t>自动</w:t>
      </w:r>
      <w:r>
        <w:rPr>
          <w:rFonts w:hint="eastAsia"/>
          <w:b/>
          <w:bCs/>
          <w:color w:val="000000"/>
          <w:sz w:val="24"/>
          <w:szCs w:val="24"/>
        </w:rPr>
        <w:t xml:space="preserve">分析仪 </w:t>
      </w:r>
    </w:p>
    <w:p w14:paraId="152F9BBB">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（1）分析方法：</w:t>
      </w:r>
      <w:r>
        <w:rPr>
          <w:rFonts w:hint="eastAsia" w:cs="Times New Roman"/>
          <w:color w:val="000000"/>
          <w:sz w:val="24"/>
          <w:szCs w:val="24"/>
        </w:rPr>
        <w:t>脉冲</w:t>
      </w:r>
      <w:r>
        <w:rPr>
          <w:rFonts w:cs="Times New Roman"/>
          <w:color w:val="000000"/>
          <w:sz w:val="24"/>
          <w:szCs w:val="24"/>
        </w:rPr>
        <w:t>紫外荧光法</w:t>
      </w:r>
    </w:p>
    <w:p w14:paraId="5E76161F">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（2）量程：0-500ppb或更多可选量程</w:t>
      </w:r>
    </w:p>
    <w:p w14:paraId="733B9526">
      <w:pPr>
        <w:adjustRightInd w:val="0"/>
        <w:snapToGrid w:val="0"/>
        <w:spacing w:line="360" w:lineRule="auto"/>
        <w:ind w:firstLine="480" w:firstLineChars="200"/>
        <w:rPr>
          <w:rFonts w:hint="eastAsia" w:ascii="宋体" w:hAnsi="宋体" w:eastAsia="宋体"/>
          <w:color w:val="000000"/>
          <w:sz w:val="24"/>
          <w:szCs w:val="24"/>
        </w:rPr>
      </w:pPr>
      <w:r>
        <w:rPr>
          <w:rFonts w:ascii="宋体" w:hAnsi="宋体" w:eastAsia="宋体"/>
          <w:color w:val="000000"/>
          <w:sz w:val="24"/>
          <w:szCs w:val="24"/>
        </w:rPr>
        <w:t>（3）零点噪声：</w:t>
      </w:r>
      <w:r>
        <w:rPr>
          <w:rFonts w:hint="eastAsia" w:ascii="宋体" w:hAnsi="宋体" w:eastAsia="宋体"/>
          <w:color w:val="000000"/>
          <w:sz w:val="24"/>
          <w:szCs w:val="24"/>
        </w:rPr>
        <w:t>≤</w:t>
      </w:r>
      <w:r>
        <w:rPr>
          <w:rFonts w:ascii="宋体" w:hAnsi="宋体" w:eastAsia="宋体"/>
          <w:color w:val="000000"/>
          <w:sz w:val="24"/>
          <w:szCs w:val="24"/>
        </w:rPr>
        <w:t>0.3ppb</w:t>
      </w:r>
    </w:p>
    <w:p w14:paraId="4FD5D69A">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（4）最低检测限：</w:t>
      </w:r>
      <w:r>
        <w:rPr>
          <w:rFonts w:hint="eastAsia" w:cs="Times New Roman"/>
          <w:color w:val="000000"/>
          <w:sz w:val="24"/>
          <w:szCs w:val="24"/>
        </w:rPr>
        <w:t>≤</w:t>
      </w:r>
      <w:r>
        <w:rPr>
          <w:rFonts w:cs="Times New Roman"/>
          <w:color w:val="000000"/>
          <w:sz w:val="24"/>
          <w:szCs w:val="24"/>
        </w:rPr>
        <w:t>0.6ppb</w:t>
      </w:r>
    </w:p>
    <w:p w14:paraId="5996BF44">
      <w:pPr>
        <w:adjustRightInd w:val="0"/>
        <w:snapToGrid w:val="0"/>
        <w:spacing w:line="360" w:lineRule="auto"/>
        <w:ind w:firstLine="480" w:firstLineChars="200"/>
        <w:rPr>
          <w:rFonts w:hint="eastAsia" w:ascii="宋体" w:hAnsi="宋体" w:eastAsia="宋体"/>
          <w:sz w:val="24"/>
          <w:szCs w:val="24"/>
        </w:rPr>
      </w:pPr>
      <w:r>
        <w:rPr>
          <w:rFonts w:ascii="宋体" w:hAnsi="宋体" w:eastAsia="宋体"/>
          <w:color w:val="000000"/>
          <w:sz w:val="24"/>
          <w:szCs w:val="24"/>
        </w:rPr>
        <w:t>（5）量程噪声：</w:t>
      </w:r>
      <w:r>
        <w:rPr>
          <w:rFonts w:hint="eastAsia" w:ascii="宋体" w:hAnsi="宋体" w:eastAsia="宋体"/>
          <w:color w:val="000000"/>
          <w:sz w:val="24"/>
          <w:szCs w:val="24"/>
        </w:rPr>
        <w:t>≤</w:t>
      </w:r>
      <w:r>
        <w:rPr>
          <w:rFonts w:ascii="宋体" w:hAnsi="宋体" w:eastAsia="宋体"/>
          <w:color w:val="000000"/>
          <w:sz w:val="24"/>
          <w:szCs w:val="24"/>
        </w:rPr>
        <w:t>0.6ppb</w:t>
      </w:r>
    </w:p>
    <w:p w14:paraId="07346E12">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（6）示值误差：±0.1%满量程 </w:t>
      </w:r>
    </w:p>
    <w:p w14:paraId="50ACD5D8">
      <w:pPr>
        <w:adjustRightInd w:val="0"/>
        <w:snapToGrid w:val="0"/>
        <w:spacing w:line="360" w:lineRule="auto"/>
        <w:ind w:firstLine="480" w:firstLineChars="200"/>
        <w:rPr>
          <w:rFonts w:hint="eastAsia" w:ascii="宋体" w:hAnsi="宋体" w:eastAsia="宋体"/>
          <w:color w:val="000000"/>
          <w:sz w:val="24"/>
          <w:szCs w:val="24"/>
        </w:rPr>
      </w:pPr>
      <w:r>
        <w:rPr>
          <w:rFonts w:ascii="宋体" w:hAnsi="宋体" w:eastAsia="宋体"/>
          <w:color w:val="000000"/>
          <w:sz w:val="24"/>
          <w:szCs w:val="24"/>
        </w:rPr>
        <w:t>（7）</w:t>
      </w:r>
      <w:r>
        <w:rPr>
          <w:rFonts w:hint="eastAsia" w:ascii="宋体" w:hAnsi="宋体" w:eastAsia="宋体"/>
          <w:color w:val="000000"/>
          <w:sz w:val="24"/>
          <w:szCs w:val="24"/>
        </w:rPr>
        <w:t>2</w:t>
      </w:r>
      <w:r>
        <w:rPr>
          <w:rFonts w:ascii="宋体" w:hAnsi="宋体" w:eastAsia="宋体"/>
          <w:color w:val="000000"/>
          <w:sz w:val="24"/>
          <w:szCs w:val="24"/>
        </w:rPr>
        <w:t>0%量程精密度：</w:t>
      </w:r>
      <w:r>
        <w:rPr>
          <w:rFonts w:hint="eastAsia" w:ascii="宋体" w:hAnsi="宋体" w:eastAsia="宋体"/>
          <w:color w:val="000000"/>
          <w:sz w:val="24"/>
          <w:szCs w:val="24"/>
        </w:rPr>
        <w:t>≤</w:t>
      </w:r>
      <w:r>
        <w:rPr>
          <w:rFonts w:ascii="宋体" w:hAnsi="宋体" w:eastAsia="宋体"/>
          <w:color w:val="000000"/>
          <w:sz w:val="24"/>
          <w:szCs w:val="24"/>
        </w:rPr>
        <w:t>0.</w:t>
      </w:r>
      <w:r>
        <w:rPr>
          <w:rFonts w:hint="eastAsia" w:ascii="宋体" w:hAnsi="宋体" w:eastAsia="宋体"/>
          <w:color w:val="000000"/>
          <w:sz w:val="24"/>
          <w:szCs w:val="24"/>
        </w:rPr>
        <w:t>8</w:t>
      </w:r>
      <w:r>
        <w:rPr>
          <w:rFonts w:ascii="宋体" w:hAnsi="宋体" w:eastAsia="宋体"/>
          <w:color w:val="000000"/>
          <w:sz w:val="24"/>
          <w:szCs w:val="24"/>
        </w:rPr>
        <w:t>ppb</w:t>
      </w:r>
    </w:p>
    <w:p w14:paraId="016F5E4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color w:val="000000"/>
          <w:sz w:val="24"/>
          <w:szCs w:val="24"/>
        </w:rPr>
        <w:t>（8）</w:t>
      </w:r>
      <w:r>
        <w:rPr>
          <w:rFonts w:ascii="宋体" w:hAnsi="宋体" w:eastAsia="宋体"/>
          <w:color w:val="000000"/>
          <w:sz w:val="24"/>
          <w:szCs w:val="24"/>
        </w:rPr>
        <w:t>80%量程精密度：</w:t>
      </w:r>
      <w:r>
        <w:rPr>
          <w:rFonts w:hint="eastAsia" w:ascii="宋体" w:hAnsi="宋体" w:eastAsia="宋体"/>
          <w:color w:val="000000"/>
          <w:sz w:val="24"/>
          <w:szCs w:val="24"/>
        </w:rPr>
        <w:t>≤</w:t>
      </w:r>
      <w:r>
        <w:rPr>
          <w:rFonts w:ascii="宋体" w:hAnsi="宋体" w:eastAsia="宋体"/>
          <w:color w:val="000000"/>
          <w:sz w:val="24"/>
          <w:szCs w:val="24"/>
        </w:rPr>
        <w:t>0.5ppb</w:t>
      </w:r>
    </w:p>
    <w:p w14:paraId="2880133F">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w:t>
      </w:r>
      <w:r>
        <w:rPr>
          <w:rFonts w:hint="eastAsia" w:cs="Times New Roman"/>
          <w:color w:val="000000"/>
          <w:sz w:val="24"/>
          <w:szCs w:val="24"/>
        </w:rPr>
        <w:t>9</w:t>
      </w:r>
      <w:r>
        <w:rPr>
          <w:rFonts w:cs="Times New Roman"/>
          <w:color w:val="000000"/>
          <w:sz w:val="24"/>
          <w:szCs w:val="24"/>
        </w:rPr>
        <w:t>）24h零点漂移：±</w:t>
      </w:r>
      <w:r>
        <w:rPr>
          <w:rFonts w:hint="eastAsia" w:cs="Times New Roman"/>
          <w:color w:val="000000"/>
          <w:sz w:val="24"/>
          <w:szCs w:val="24"/>
        </w:rPr>
        <w:t>1.8</w:t>
      </w:r>
      <w:r>
        <w:rPr>
          <w:rFonts w:cs="Times New Roman"/>
          <w:color w:val="000000"/>
          <w:sz w:val="24"/>
          <w:szCs w:val="24"/>
        </w:rPr>
        <w:t>ppb</w:t>
      </w:r>
    </w:p>
    <w:p w14:paraId="73ABD50F">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10</w:t>
      </w:r>
      <w:r>
        <w:rPr>
          <w:rFonts w:ascii="宋体" w:hAnsi="宋体" w:eastAsia="宋体"/>
          <w:sz w:val="24"/>
          <w:szCs w:val="24"/>
        </w:rPr>
        <w:t xml:space="preserve">）24h </w:t>
      </w:r>
      <w:r>
        <w:rPr>
          <w:rFonts w:hint="eastAsia" w:ascii="宋体" w:hAnsi="宋体" w:eastAsia="宋体"/>
          <w:sz w:val="24"/>
          <w:szCs w:val="24"/>
        </w:rPr>
        <w:t>2</w:t>
      </w:r>
      <w:r>
        <w:rPr>
          <w:rFonts w:ascii="宋体" w:hAnsi="宋体" w:eastAsia="宋体"/>
          <w:sz w:val="24"/>
          <w:szCs w:val="24"/>
        </w:rPr>
        <w:t>0%量程漂移：±</w:t>
      </w:r>
      <w:r>
        <w:rPr>
          <w:rFonts w:hint="eastAsia" w:ascii="宋体" w:hAnsi="宋体" w:eastAsia="宋体"/>
          <w:sz w:val="24"/>
          <w:szCs w:val="24"/>
        </w:rPr>
        <w:t>1.4</w:t>
      </w:r>
      <w:r>
        <w:rPr>
          <w:rFonts w:ascii="宋体" w:hAnsi="宋体" w:eastAsia="宋体"/>
          <w:sz w:val="24"/>
          <w:szCs w:val="24"/>
        </w:rPr>
        <w:t>ppb</w:t>
      </w:r>
    </w:p>
    <w:p w14:paraId="546F28B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（11）</w:t>
      </w:r>
      <w:r>
        <w:rPr>
          <w:rFonts w:ascii="宋体" w:hAnsi="宋体" w:eastAsia="宋体"/>
          <w:sz w:val="24"/>
          <w:szCs w:val="24"/>
        </w:rPr>
        <w:t>24h 80%量程漂移：±2.5ppb</w:t>
      </w:r>
    </w:p>
    <w:p w14:paraId="477A9943">
      <w:pPr>
        <w:pStyle w:val="34"/>
        <w:shd w:val="clear" w:color="auto" w:fill="FFFFFF"/>
        <w:adjustRightInd w:val="0"/>
        <w:snapToGrid w:val="0"/>
        <w:spacing w:before="0" w:beforeAutospacing="0" w:after="0" w:afterAutospacing="0" w:line="360" w:lineRule="auto"/>
        <w:ind w:left="480"/>
        <w:rPr>
          <w:rFonts w:hint="eastAsia" w:cs="Times New Roman"/>
          <w:color w:val="000000"/>
          <w:sz w:val="24"/>
          <w:szCs w:val="24"/>
        </w:rPr>
      </w:pPr>
      <w:r>
        <w:rPr>
          <w:rFonts w:hint="eastAsia" w:cs="Times New Roman"/>
          <w:color w:val="000000"/>
          <w:sz w:val="24"/>
          <w:szCs w:val="24"/>
        </w:rPr>
        <w:t>（12）</w:t>
      </w:r>
      <w:r>
        <w:rPr>
          <w:rFonts w:cs="Times New Roman"/>
          <w:color w:val="000000"/>
          <w:sz w:val="24"/>
          <w:szCs w:val="24"/>
        </w:rPr>
        <w:t>响应时间（上升/下降）：</w:t>
      </w:r>
      <w:r>
        <w:rPr>
          <w:rFonts w:hint="eastAsia" w:cs="Times New Roman"/>
          <w:color w:val="000000"/>
          <w:sz w:val="24"/>
          <w:szCs w:val="24"/>
        </w:rPr>
        <w:t>≤5</w:t>
      </w:r>
      <w:r>
        <w:rPr>
          <w:rFonts w:cs="Times New Roman"/>
          <w:color w:val="000000"/>
          <w:sz w:val="24"/>
          <w:szCs w:val="24"/>
        </w:rPr>
        <w:t>0s</w:t>
      </w:r>
    </w:p>
    <w:p w14:paraId="2AC349A9">
      <w:pPr>
        <w:adjustRightInd w:val="0"/>
        <w:snapToGrid w:val="0"/>
        <w:spacing w:line="360" w:lineRule="auto"/>
        <w:ind w:left="480"/>
        <w:rPr>
          <w:rFonts w:hint="eastAsia" w:ascii="宋体" w:hAnsi="宋体" w:eastAsia="宋体"/>
          <w:sz w:val="24"/>
          <w:szCs w:val="24"/>
        </w:rPr>
      </w:pPr>
      <w:r>
        <w:rPr>
          <w:rFonts w:hint="eastAsia" w:ascii="宋体" w:hAnsi="宋体" w:eastAsia="宋体"/>
          <w:sz w:val="24"/>
          <w:szCs w:val="24"/>
        </w:rPr>
        <w:t>（13）</w:t>
      </w:r>
      <w:r>
        <w:rPr>
          <w:rFonts w:ascii="宋体" w:hAnsi="宋体" w:eastAsia="宋体"/>
          <w:sz w:val="24"/>
          <w:szCs w:val="24"/>
        </w:rPr>
        <w:t>零点漂移/7天：±</w:t>
      </w:r>
      <w:r>
        <w:rPr>
          <w:rFonts w:hint="eastAsia" w:ascii="宋体" w:hAnsi="宋体" w:eastAsia="宋体"/>
          <w:sz w:val="24"/>
          <w:szCs w:val="24"/>
        </w:rPr>
        <w:t>3.1</w:t>
      </w:r>
      <w:r>
        <w:rPr>
          <w:rFonts w:ascii="宋体" w:hAnsi="宋体" w:eastAsia="宋体"/>
          <w:sz w:val="24"/>
          <w:szCs w:val="24"/>
        </w:rPr>
        <w:t>ppb</w:t>
      </w:r>
    </w:p>
    <w:p w14:paraId="22F1FA2F">
      <w:pPr>
        <w:adjustRightInd w:val="0"/>
        <w:snapToGrid w:val="0"/>
        <w:spacing w:line="360" w:lineRule="auto"/>
        <w:ind w:left="480"/>
        <w:rPr>
          <w:rFonts w:hint="eastAsia" w:ascii="宋体" w:hAnsi="宋体" w:eastAsia="宋体"/>
          <w:sz w:val="24"/>
          <w:szCs w:val="24"/>
        </w:rPr>
      </w:pPr>
      <w:r>
        <w:rPr>
          <w:rFonts w:hint="eastAsia" w:ascii="宋体" w:hAnsi="宋体" w:eastAsia="宋体" w:cs="Times New Roman"/>
          <w:color w:val="000000"/>
          <w:sz w:val="24"/>
          <w:szCs w:val="24"/>
        </w:rPr>
        <w:t>（14）</w:t>
      </w:r>
      <w:r>
        <w:rPr>
          <w:rFonts w:ascii="宋体" w:hAnsi="宋体" w:eastAsia="宋体" w:cs="Times New Roman"/>
          <w:color w:val="000000"/>
          <w:sz w:val="24"/>
          <w:szCs w:val="24"/>
        </w:rPr>
        <w:t>量程漂移/7天：</w:t>
      </w:r>
      <w:r>
        <w:rPr>
          <w:rFonts w:ascii="宋体" w:hAnsi="宋体" w:eastAsia="宋体" w:cs="Times New Roman"/>
          <w:sz w:val="24"/>
          <w:szCs w:val="24"/>
        </w:rPr>
        <w:t>±</w:t>
      </w:r>
      <w:r>
        <w:rPr>
          <w:rFonts w:hint="eastAsia" w:ascii="宋体" w:hAnsi="宋体" w:eastAsia="宋体" w:cs="Times New Roman"/>
          <w:sz w:val="24"/>
          <w:szCs w:val="24"/>
        </w:rPr>
        <w:t>3.9</w:t>
      </w:r>
      <w:r>
        <w:rPr>
          <w:rFonts w:ascii="宋体" w:hAnsi="宋体" w:eastAsia="宋体" w:cs="Times New Roman"/>
          <w:sz w:val="24"/>
          <w:szCs w:val="24"/>
        </w:rPr>
        <w:t>ppb</w:t>
      </w:r>
    </w:p>
    <w:p w14:paraId="3817AB73">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（1</w:t>
      </w:r>
      <w:r>
        <w:rPr>
          <w:rFonts w:hint="eastAsia" w:cs="Times New Roman"/>
          <w:color w:val="000000"/>
          <w:sz w:val="24"/>
          <w:szCs w:val="24"/>
        </w:rPr>
        <w:t>5）</w:t>
      </w:r>
      <w:r>
        <w:rPr>
          <w:rFonts w:cs="Times New Roman"/>
          <w:color w:val="000000"/>
          <w:sz w:val="24"/>
          <w:szCs w:val="24"/>
        </w:rPr>
        <w:t>诊断功能：仪器有自诊断及报警功能</w:t>
      </w:r>
    </w:p>
    <w:p w14:paraId="7F193477">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（1</w:t>
      </w:r>
      <w:r>
        <w:rPr>
          <w:rFonts w:hint="eastAsia" w:cs="Times New Roman"/>
          <w:color w:val="000000"/>
          <w:sz w:val="24"/>
          <w:szCs w:val="24"/>
        </w:rPr>
        <w:t>6</w:t>
      </w:r>
      <w:r>
        <w:rPr>
          <w:rFonts w:cs="Times New Roman"/>
          <w:color w:val="000000"/>
          <w:sz w:val="24"/>
          <w:szCs w:val="24"/>
        </w:rPr>
        <w:t>）电源要求：AC(220±22)V，</w:t>
      </w:r>
      <w:r>
        <w:rPr>
          <w:rFonts w:hint="eastAsia" w:cs="Times New Roman"/>
          <w:color w:val="000000"/>
          <w:sz w:val="24"/>
          <w:szCs w:val="24"/>
        </w:rPr>
        <w:t>（</w:t>
      </w:r>
      <w:r>
        <w:rPr>
          <w:rFonts w:cs="Times New Roman"/>
          <w:color w:val="000000"/>
          <w:sz w:val="24"/>
          <w:szCs w:val="24"/>
        </w:rPr>
        <w:t>50Hz±1</w:t>
      </w:r>
      <w:r>
        <w:rPr>
          <w:rFonts w:hint="eastAsia" w:cs="Times New Roman"/>
          <w:color w:val="000000"/>
          <w:sz w:val="24"/>
          <w:szCs w:val="24"/>
        </w:rPr>
        <w:t>）</w:t>
      </w:r>
      <w:r>
        <w:rPr>
          <w:rFonts w:cs="Times New Roman"/>
          <w:color w:val="000000"/>
          <w:sz w:val="24"/>
          <w:szCs w:val="24"/>
        </w:rPr>
        <w:t>Hz  </w:t>
      </w:r>
    </w:p>
    <w:p w14:paraId="04FEA355">
      <w:pPr>
        <w:adjustRightInd w:val="0"/>
        <w:snapToGrid w:val="0"/>
        <w:spacing w:line="360" w:lineRule="auto"/>
        <w:ind w:firstLine="482" w:firstLineChars="200"/>
        <w:rPr>
          <w:rFonts w:hint="eastAsia" w:ascii="宋体" w:hAnsi="宋体" w:eastAsia="宋体"/>
          <w:b/>
          <w:bCs/>
          <w:color w:val="000000"/>
          <w:sz w:val="24"/>
          <w:szCs w:val="24"/>
        </w:rPr>
      </w:pPr>
      <w:r>
        <w:rPr>
          <w:rFonts w:ascii="宋体" w:hAnsi="宋体" w:eastAsia="宋体"/>
          <w:b/>
          <w:bCs/>
          <w:sz w:val="24"/>
          <w:szCs w:val="24"/>
        </w:rPr>
        <w:t>▲（1</w:t>
      </w:r>
      <w:r>
        <w:rPr>
          <w:rFonts w:hint="eastAsia" w:ascii="宋体" w:hAnsi="宋体" w:eastAsia="宋体"/>
          <w:b/>
          <w:bCs/>
          <w:sz w:val="24"/>
          <w:szCs w:val="24"/>
        </w:rPr>
        <w:t>7</w:t>
      </w:r>
      <w:r>
        <w:rPr>
          <w:rFonts w:ascii="宋体" w:hAnsi="宋体" w:eastAsia="宋体"/>
          <w:b/>
          <w:bCs/>
          <w:sz w:val="24"/>
          <w:szCs w:val="24"/>
        </w:rPr>
        <w:t>）</w:t>
      </w:r>
      <w:r>
        <w:rPr>
          <w:rFonts w:hint="eastAsia" w:ascii="宋体" w:hAnsi="宋体" w:eastAsia="宋体"/>
          <w:b/>
          <w:bCs/>
          <w:sz w:val="24"/>
          <w:szCs w:val="24"/>
        </w:rPr>
        <w:t>长寿命脉冲氙灯，瞬时功率强，检出限更低，可设定光强目标值，实时监测并自动追踪调节，保证测量精度。</w:t>
      </w:r>
      <w:r>
        <w:rPr>
          <w:rFonts w:ascii="宋体" w:hAnsi="宋体" w:eastAsia="宋体"/>
          <w:b/>
          <w:bCs/>
          <w:sz w:val="24"/>
          <w:szCs w:val="24"/>
        </w:rPr>
        <w:t>（需提供</w:t>
      </w:r>
      <w:r>
        <w:rPr>
          <w:rFonts w:hint="eastAsia" w:ascii="宋体" w:hAnsi="宋体" w:eastAsia="宋体"/>
          <w:b/>
          <w:bCs/>
          <w:sz w:val="24"/>
          <w:szCs w:val="24"/>
        </w:rPr>
        <w:t>佐证材料加盖制造商公章彩色扫描件</w:t>
      </w:r>
      <w:r>
        <w:rPr>
          <w:rFonts w:ascii="宋体" w:hAnsi="宋体" w:eastAsia="宋体"/>
          <w:b/>
          <w:bCs/>
          <w:sz w:val="24"/>
          <w:szCs w:val="24"/>
        </w:rPr>
        <w:t>）</w:t>
      </w:r>
    </w:p>
    <w:p w14:paraId="5105B9AA">
      <w:pPr>
        <w:adjustRightInd w:val="0"/>
        <w:snapToGrid w:val="0"/>
        <w:spacing w:line="360" w:lineRule="auto"/>
        <w:ind w:firstLine="482" w:firstLineChars="200"/>
        <w:rPr>
          <w:rFonts w:hint="eastAsia" w:ascii="宋体" w:hAnsi="宋体" w:eastAsia="宋体"/>
          <w:b/>
          <w:bCs/>
          <w:sz w:val="24"/>
          <w:szCs w:val="24"/>
        </w:rPr>
      </w:pPr>
      <w:bookmarkStart w:id="0" w:name="_Hlk144831878"/>
      <w:r>
        <w:rPr>
          <w:rFonts w:ascii="宋体" w:hAnsi="宋体" w:eastAsia="宋体"/>
          <w:b/>
          <w:bCs/>
          <w:sz w:val="24"/>
          <w:szCs w:val="24"/>
        </w:rPr>
        <w:t>▲（1</w:t>
      </w:r>
      <w:r>
        <w:rPr>
          <w:rFonts w:hint="eastAsia" w:ascii="宋体" w:hAnsi="宋体" w:eastAsia="宋体"/>
          <w:b/>
          <w:bCs/>
          <w:sz w:val="24"/>
          <w:szCs w:val="24"/>
        </w:rPr>
        <w:t>8</w:t>
      </w:r>
      <w:r>
        <w:rPr>
          <w:rFonts w:ascii="宋体" w:hAnsi="宋体" w:eastAsia="宋体"/>
          <w:b/>
          <w:bCs/>
          <w:sz w:val="24"/>
          <w:szCs w:val="24"/>
        </w:rPr>
        <w:t>）分析仪具有网线接口及无线网卡卡槽，单台分析仪接入网线或无线网卡后数据无需经由数采仪即可实现数据上传。（需提供SO</w:t>
      </w:r>
      <w:r>
        <w:rPr>
          <w:rFonts w:ascii="宋体" w:hAnsi="宋体" w:eastAsia="宋体"/>
          <w:b/>
          <w:bCs/>
          <w:sz w:val="24"/>
          <w:szCs w:val="24"/>
          <w:vertAlign w:val="subscript"/>
        </w:rPr>
        <w:t>2</w:t>
      </w:r>
      <w:r>
        <w:rPr>
          <w:rFonts w:ascii="宋体" w:hAnsi="宋体" w:eastAsia="宋体"/>
          <w:b/>
          <w:bCs/>
          <w:sz w:val="24"/>
          <w:szCs w:val="24"/>
        </w:rPr>
        <w:t>分析仪网线接口、无线网卡卡槽实物图及软件界面截图作为证明材料</w:t>
      </w:r>
      <w:r>
        <w:rPr>
          <w:rFonts w:hint="eastAsia" w:ascii="宋体" w:hAnsi="宋体" w:eastAsia="宋体"/>
          <w:b/>
          <w:bCs/>
          <w:sz w:val="24"/>
          <w:szCs w:val="24"/>
        </w:rPr>
        <w:t>并加盖制造商公章彩色扫描件</w:t>
      </w:r>
      <w:r>
        <w:rPr>
          <w:rFonts w:ascii="宋体" w:hAnsi="宋体" w:eastAsia="宋体"/>
          <w:b/>
          <w:bCs/>
          <w:sz w:val="24"/>
          <w:szCs w:val="24"/>
        </w:rPr>
        <w:t>）</w:t>
      </w:r>
      <w:bookmarkEnd w:id="0"/>
    </w:p>
    <w:p w14:paraId="42681248">
      <w:pPr>
        <w:shd w:val="clear" w:color="auto" w:fill="FFFFFF"/>
        <w:adjustRightInd w:val="0"/>
        <w:snapToGrid w:val="0"/>
        <w:spacing w:line="360" w:lineRule="auto"/>
        <w:ind w:firstLine="482" w:firstLineChars="200"/>
        <w:rPr>
          <w:rFonts w:hint="eastAsia" w:ascii="宋体" w:hAnsi="宋体" w:eastAsia="宋体"/>
          <w:color w:val="000000"/>
          <w:sz w:val="24"/>
          <w:szCs w:val="24"/>
        </w:rPr>
      </w:pPr>
      <w:r>
        <w:rPr>
          <w:rFonts w:ascii="宋体" w:hAnsi="宋体" w:eastAsia="宋体"/>
          <w:b/>
          <w:bCs/>
          <w:color w:val="000000"/>
          <w:sz w:val="24"/>
          <w:szCs w:val="24"/>
        </w:rPr>
        <w:t>2、NO</w:t>
      </w:r>
      <w:r>
        <w:rPr>
          <w:rFonts w:ascii="宋体" w:hAnsi="宋体" w:eastAsia="宋体"/>
          <w:b/>
          <w:bCs/>
          <w:color w:val="000000"/>
          <w:sz w:val="24"/>
          <w:szCs w:val="24"/>
          <w:vertAlign w:val="subscript"/>
        </w:rPr>
        <w:t>X</w:t>
      </w:r>
      <w:r>
        <w:rPr>
          <w:rFonts w:ascii="宋体" w:hAnsi="宋体" w:eastAsia="宋体"/>
          <w:b/>
          <w:bCs/>
          <w:color w:val="000000"/>
          <w:sz w:val="24"/>
          <w:szCs w:val="24"/>
        </w:rPr>
        <w:t>自动分析仪</w:t>
      </w:r>
    </w:p>
    <w:p w14:paraId="2D9226F4">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（1）分析方法：化学发光法</w:t>
      </w:r>
    </w:p>
    <w:p w14:paraId="5AED2D77">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（2）量程：0-500ppb或更多可选量程</w:t>
      </w:r>
    </w:p>
    <w:p w14:paraId="57F60B5D">
      <w:pPr>
        <w:adjustRightInd w:val="0"/>
        <w:snapToGrid w:val="0"/>
        <w:spacing w:line="360" w:lineRule="auto"/>
        <w:ind w:firstLine="480" w:firstLineChars="200"/>
        <w:rPr>
          <w:rFonts w:hint="eastAsia" w:ascii="宋体" w:hAnsi="宋体" w:eastAsia="宋体"/>
          <w:color w:val="000000"/>
          <w:sz w:val="24"/>
          <w:szCs w:val="24"/>
        </w:rPr>
      </w:pPr>
      <w:r>
        <w:rPr>
          <w:rFonts w:ascii="宋体" w:hAnsi="宋体" w:eastAsia="宋体"/>
          <w:color w:val="000000"/>
          <w:sz w:val="24"/>
          <w:szCs w:val="24"/>
        </w:rPr>
        <w:t>（3）零点噪声：</w:t>
      </w:r>
      <w:r>
        <w:rPr>
          <w:rFonts w:hint="eastAsia" w:ascii="宋体" w:hAnsi="宋体" w:eastAsia="宋体"/>
          <w:color w:val="000000"/>
          <w:sz w:val="24"/>
          <w:szCs w:val="24"/>
        </w:rPr>
        <w:t>≤</w:t>
      </w:r>
      <w:r>
        <w:rPr>
          <w:rFonts w:ascii="宋体" w:hAnsi="宋体" w:eastAsia="宋体"/>
          <w:color w:val="000000"/>
          <w:sz w:val="24"/>
          <w:szCs w:val="24"/>
        </w:rPr>
        <w:t>0.</w:t>
      </w:r>
      <w:r>
        <w:rPr>
          <w:rFonts w:hint="eastAsia" w:ascii="宋体" w:hAnsi="宋体" w:eastAsia="宋体"/>
          <w:color w:val="000000"/>
          <w:sz w:val="24"/>
          <w:szCs w:val="24"/>
        </w:rPr>
        <w:t>1</w:t>
      </w:r>
      <w:r>
        <w:rPr>
          <w:rFonts w:ascii="宋体" w:hAnsi="宋体" w:eastAsia="宋体"/>
          <w:color w:val="000000"/>
          <w:sz w:val="24"/>
          <w:szCs w:val="24"/>
        </w:rPr>
        <w:t>ppb</w:t>
      </w:r>
    </w:p>
    <w:p w14:paraId="151EE686">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（4）最低检测限：</w:t>
      </w:r>
      <w:r>
        <w:rPr>
          <w:rFonts w:hint="eastAsia" w:cs="Times New Roman"/>
          <w:color w:val="000000"/>
          <w:sz w:val="24"/>
          <w:szCs w:val="24"/>
        </w:rPr>
        <w:t>≤</w:t>
      </w:r>
      <w:r>
        <w:rPr>
          <w:rFonts w:cs="Times New Roman"/>
          <w:color w:val="000000"/>
          <w:sz w:val="24"/>
          <w:szCs w:val="24"/>
        </w:rPr>
        <w:t>0.</w:t>
      </w:r>
      <w:r>
        <w:rPr>
          <w:rFonts w:hint="eastAsia" w:cs="Times New Roman"/>
          <w:color w:val="000000"/>
          <w:sz w:val="24"/>
          <w:szCs w:val="24"/>
        </w:rPr>
        <w:t>2</w:t>
      </w:r>
      <w:r>
        <w:rPr>
          <w:rFonts w:cs="Times New Roman"/>
          <w:color w:val="000000"/>
          <w:sz w:val="24"/>
          <w:szCs w:val="24"/>
        </w:rPr>
        <w:t>ppb</w:t>
      </w:r>
    </w:p>
    <w:p w14:paraId="5D7E6032">
      <w:pPr>
        <w:adjustRightInd w:val="0"/>
        <w:snapToGrid w:val="0"/>
        <w:spacing w:line="360" w:lineRule="auto"/>
        <w:ind w:firstLine="480" w:firstLineChars="200"/>
        <w:rPr>
          <w:rFonts w:hint="eastAsia" w:ascii="宋体" w:hAnsi="宋体" w:eastAsia="宋体"/>
          <w:sz w:val="24"/>
          <w:szCs w:val="24"/>
        </w:rPr>
      </w:pPr>
      <w:r>
        <w:rPr>
          <w:rFonts w:ascii="宋体" w:hAnsi="宋体" w:eastAsia="宋体"/>
          <w:color w:val="000000"/>
          <w:sz w:val="24"/>
          <w:szCs w:val="24"/>
        </w:rPr>
        <w:t>（5）量程噪声：</w:t>
      </w:r>
      <w:r>
        <w:rPr>
          <w:rFonts w:hint="eastAsia" w:ascii="宋体" w:hAnsi="宋体" w:eastAsia="宋体"/>
          <w:color w:val="000000"/>
          <w:sz w:val="24"/>
          <w:szCs w:val="24"/>
        </w:rPr>
        <w:t>≤</w:t>
      </w:r>
      <w:r>
        <w:rPr>
          <w:rFonts w:ascii="宋体" w:hAnsi="宋体" w:eastAsia="宋体"/>
          <w:color w:val="000000"/>
          <w:sz w:val="24"/>
          <w:szCs w:val="24"/>
        </w:rPr>
        <w:t>0.</w:t>
      </w:r>
      <w:r>
        <w:rPr>
          <w:rFonts w:hint="eastAsia" w:ascii="宋体" w:hAnsi="宋体" w:eastAsia="宋体"/>
          <w:color w:val="000000"/>
          <w:sz w:val="24"/>
          <w:szCs w:val="24"/>
        </w:rPr>
        <w:t>3</w:t>
      </w:r>
      <w:r>
        <w:rPr>
          <w:rFonts w:ascii="宋体" w:hAnsi="宋体" w:eastAsia="宋体"/>
          <w:color w:val="000000"/>
          <w:sz w:val="24"/>
          <w:szCs w:val="24"/>
        </w:rPr>
        <w:t>ppb</w:t>
      </w:r>
    </w:p>
    <w:p w14:paraId="543D3CDF">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（6）示值误差：±0.</w:t>
      </w:r>
      <w:r>
        <w:rPr>
          <w:rFonts w:hint="eastAsia" w:cs="Times New Roman"/>
          <w:color w:val="000000"/>
          <w:sz w:val="24"/>
          <w:szCs w:val="24"/>
        </w:rPr>
        <w:t>2</w:t>
      </w:r>
      <w:r>
        <w:rPr>
          <w:rFonts w:cs="Times New Roman"/>
          <w:color w:val="000000"/>
          <w:sz w:val="24"/>
          <w:szCs w:val="24"/>
        </w:rPr>
        <w:t>%满量程 </w:t>
      </w:r>
    </w:p>
    <w:p w14:paraId="5EB24D89">
      <w:pPr>
        <w:adjustRightInd w:val="0"/>
        <w:snapToGrid w:val="0"/>
        <w:spacing w:line="360" w:lineRule="auto"/>
        <w:ind w:firstLine="482" w:firstLineChars="200"/>
        <w:rPr>
          <w:rFonts w:hint="eastAsia" w:ascii="宋体" w:hAnsi="宋体" w:eastAsia="宋体"/>
          <w:b/>
          <w:bCs/>
          <w:sz w:val="24"/>
          <w:szCs w:val="24"/>
        </w:rPr>
      </w:pPr>
      <w:r>
        <w:rPr>
          <w:rFonts w:ascii="宋体" w:hAnsi="宋体" w:eastAsia="宋体"/>
          <w:b/>
          <w:bCs/>
          <w:sz w:val="24"/>
          <w:szCs w:val="24"/>
        </w:rPr>
        <w:t>▲</w:t>
      </w:r>
      <w:r>
        <w:rPr>
          <w:rFonts w:ascii="宋体" w:hAnsi="宋体" w:eastAsia="宋体"/>
          <w:b/>
          <w:bCs/>
          <w:color w:val="000000"/>
          <w:sz w:val="24"/>
          <w:szCs w:val="24"/>
        </w:rPr>
        <w:t>（7）</w:t>
      </w:r>
      <w:r>
        <w:rPr>
          <w:rFonts w:hint="eastAsia" w:ascii="宋体" w:hAnsi="宋体" w:eastAsia="宋体"/>
          <w:b/>
          <w:bCs/>
          <w:color w:val="000000"/>
          <w:sz w:val="24"/>
          <w:szCs w:val="24"/>
        </w:rPr>
        <w:t>2</w:t>
      </w:r>
      <w:r>
        <w:rPr>
          <w:rFonts w:ascii="宋体" w:hAnsi="宋体" w:eastAsia="宋体"/>
          <w:b/>
          <w:bCs/>
          <w:color w:val="000000"/>
          <w:sz w:val="24"/>
          <w:szCs w:val="24"/>
        </w:rPr>
        <w:t>0%量程精密度：</w:t>
      </w:r>
      <w:r>
        <w:rPr>
          <w:rFonts w:hint="eastAsia" w:ascii="宋体" w:hAnsi="宋体" w:eastAsia="宋体"/>
          <w:b/>
          <w:bCs/>
          <w:color w:val="000000"/>
          <w:sz w:val="24"/>
          <w:szCs w:val="24"/>
        </w:rPr>
        <w:t>≤</w:t>
      </w:r>
      <w:r>
        <w:rPr>
          <w:rFonts w:ascii="宋体" w:hAnsi="宋体" w:eastAsia="宋体"/>
          <w:b/>
          <w:bCs/>
          <w:color w:val="000000"/>
          <w:sz w:val="24"/>
          <w:szCs w:val="24"/>
        </w:rPr>
        <w:t>0.</w:t>
      </w:r>
      <w:r>
        <w:rPr>
          <w:rFonts w:hint="eastAsia" w:ascii="宋体" w:hAnsi="宋体" w:eastAsia="宋体"/>
          <w:b/>
          <w:bCs/>
          <w:color w:val="000000"/>
          <w:sz w:val="24"/>
          <w:szCs w:val="24"/>
        </w:rPr>
        <w:t>1</w:t>
      </w:r>
      <w:r>
        <w:rPr>
          <w:rFonts w:ascii="宋体" w:hAnsi="宋体" w:eastAsia="宋体"/>
          <w:b/>
          <w:bCs/>
          <w:color w:val="000000"/>
          <w:sz w:val="24"/>
          <w:szCs w:val="24"/>
        </w:rPr>
        <w:t>ppb</w:t>
      </w:r>
      <w:r>
        <w:rPr>
          <w:rFonts w:hint="eastAsia" w:ascii="宋体" w:hAnsi="宋体" w:eastAsia="宋体"/>
          <w:b/>
          <w:bCs/>
          <w:sz w:val="24"/>
          <w:szCs w:val="24"/>
        </w:rPr>
        <w:t>（提供环境保护部环境监测仪器质量监督检验中心检测报告加盖制造商公章彩色扫描件）</w:t>
      </w:r>
    </w:p>
    <w:p w14:paraId="4C5527A1">
      <w:pPr>
        <w:adjustRightInd w:val="0"/>
        <w:snapToGrid w:val="0"/>
        <w:spacing w:line="360" w:lineRule="auto"/>
        <w:ind w:firstLine="482" w:firstLineChars="200"/>
        <w:rPr>
          <w:rFonts w:hint="eastAsia" w:ascii="宋体" w:hAnsi="宋体" w:eastAsia="宋体"/>
          <w:b/>
          <w:bCs/>
          <w:sz w:val="24"/>
          <w:szCs w:val="24"/>
        </w:rPr>
      </w:pPr>
      <w:r>
        <w:rPr>
          <w:rFonts w:ascii="宋体" w:hAnsi="宋体" w:eastAsia="宋体"/>
          <w:b/>
          <w:bCs/>
          <w:sz w:val="24"/>
          <w:szCs w:val="24"/>
        </w:rPr>
        <w:t>▲</w:t>
      </w:r>
      <w:r>
        <w:rPr>
          <w:rFonts w:hint="eastAsia" w:ascii="宋体" w:hAnsi="宋体" w:eastAsia="宋体"/>
          <w:b/>
          <w:bCs/>
          <w:color w:val="000000"/>
          <w:sz w:val="24"/>
          <w:szCs w:val="24"/>
        </w:rPr>
        <w:t>（8）</w:t>
      </w:r>
      <w:r>
        <w:rPr>
          <w:rFonts w:ascii="宋体" w:hAnsi="宋体" w:eastAsia="宋体"/>
          <w:b/>
          <w:bCs/>
          <w:color w:val="000000"/>
          <w:sz w:val="24"/>
          <w:szCs w:val="24"/>
        </w:rPr>
        <w:t>80%量程精密度：</w:t>
      </w:r>
      <w:r>
        <w:rPr>
          <w:rFonts w:hint="eastAsia" w:ascii="宋体" w:hAnsi="宋体" w:eastAsia="宋体"/>
          <w:b/>
          <w:bCs/>
          <w:color w:val="000000"/>
          <w:sz w:val="24"/>
          <w:szCs w:val="24"/>
        </w:rPr>
        <w:t>≤</w:t>
      </w:r>
      <w:r>
        <w:rPr>
          <w:rFonts w:ascii="宋体" w:hAnsi="宋体" w:eastAsia="宋体"/>
          <w:b/>
          <w:bCs/>
          <w:color w:val="000000"/>
          <w:sz w:val="24"/>
          <w:szCs w:val="24"/>
        </w:rPr>
        <w:t>0.</w:t>
      </w:r>
      <w:r>
        <w:rPr>
          <w:rFonts w:hint="eastAsia" w:ascii="宋体" w:hAnsi="宋体" w:eastAsia="宋体"/>
          <w:b/>
          <w:bCs/>
          <w:color w:val="000000"/>
          <w:sz w:val="24"/>
          <w:szCs w:val="24"/>
        </w:rPr>
        <w:t>2</w:t>
      </w:r>
      <w:r>
        <w:rPr>
          <w:rFonts w:ascii="宋体" w:hAnsi="宋体" w:eastAsia="宋体"/>
          <w:b/>
          <w:bCs/>
          <w:color w:val="000000"/>
          <w:sz w:val="24"/>
          <w:szCs w:val="24"/>
        </w:rPr>
        <w:t>ppb</w:t>
      </w:r>
      <w:r>
        <w:rPr>
          <w:rFonts w:hint="eastAsia" w:ascii="宋体" w:hAnsi="宋体" w:eastAsia="宋体"/>
          <w:b/>
          <w:bCs/>
          <w:sz w:val="24"/>
          <w:szCs w:val="24"/>
        </w:rPr>
        <w:t>（提供环境保护部环境监测仪器质量监督检验中心检测报告加盖制造商公章彩色扫描件）</w:t>
      </w:r>
    </w:p>
    <w:p w14:paraId="79DE258D">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w:t>
      </w:r>
      <w:r>
        <w:rPr>
          <w:rFonts w:hint="eastAsia" w:cs="Times New Roman"/>
          <w:color w:val="000000"/>
          <w:sz w:val="24"/>
          <w:szCs w:val="24"/>
        </w:rPr>
        <w:t>9</w:t>
      </w:r>
      <w:r>
        <w:rPr>
          <w:rFonts w:cs="Times New Roman"/>
          <w:color w:val="000000"/>
          <w:sz w:val="24"/>
          <w:szCs w:val="24"/>
        </w:rPr>
        <w:t>）24h零点漂移：±</w:t>
      </w:r>
      <w:r>
        <w:rPr>
          <w:rFonts w:hint="eastAsia" w:cs="Times New Roman"/>
          <w:color w:val="000000"/>
          <w:sz w:val="24"/>
          <w:szCs w:val="24"/>
        </w:rPr>
        <w:t>0.5</w:t>
      </w:r>
      <w:r>
        <w:rPr>
          <w:rFonts w:cs="Times New Roman"/>
          <w:color w:val="000000"/>
          <w:sz w:val="24"/>
          <w:szCs w:val="24"/>
        </w:rPr>
        <w:t>ppb</w:t>
      </w:r>
    </w:p>
    <w:p w14:paraId="6E0F815C">
      <w:pPr>
        <w:adjustRightInd w:val="0"/>
        <w:snapToGrid w:val="0"/>
        <w:spacing w:line="360" w:lineRule="auto"/>
        <w:ind w:firstLine="480" w:firstLineChars="200"/>
        <w:rPr>
          <w:rFonts w:hint="eastAsia" w:ascii="宋体" w:hAnsi="宋体" w:eastAsia="宋体"/>
          <w:color w:val="000000"/>
          <w:sz w:val="24"/>
          <w:szCs w:val="24"/>
        </w:rPr>
      </w:pPr>
      <w:r>
        <w:rPr>
          <w:rFonts w:ascii="宋体" w:hAnsi="宋体" w:eastAsia="宋体"/>
          <w:sz w:val="24"/>
          <w:szCs w:val="24"/>
        </w:rPr>
        <w:t>（</w:t>
      </w:r>
      <w:r>
        <w:rPr>
          <w:rFonts w:hint="eastAsia" w:ascii="宋体" w:hAnsi="宋体" w:eastAsia="宋体"/>
          <w:sz w:val="24"/>
          <w:szCs w:val="24"/>
        </w:rPr>
        <w:t>10</w:t>
      </w:r>
      <w:r>
        <w:rPr>
          <w:rFonts w:ascii="宋体" w:hAnsi="宋体" w:eastAsia="宋体"/>
          <w:sz w:val="24"/>
          <w:szCs w:val="24"/>
        </w:rPr>
        <w:t>）2</w:t>
      </w:r>
      <w:r>
        <w:rPr>
          <w:rFonts w:ascii="宋体" w:hAnsi="宋体" w:eastAsia="宋体"/>
          <w:color w:val="000000"/>
          <w:sz w:val="24"/>
          <w:szCs w:val="24"/>
        </w:rPr>
        <w:t>4h</w:t>
      </w:r>
      <w:r>
        <w:rPr>
          <w:rFonts w:hint="eastAsia" w:ascii="宋体" w:hAnsi="宋体" w:eastAsia="宋体"/>
          <w:color w:val="000000"/>
          <w:sz w:val="24"/>
          <w:szCs w:val="24"/>
        </w:rPr>
        <w:t xml:space="preserve"> 2</w:t>
      </w:r>
      <w:r>
        <w:rPr>
          <w:rFonts w:ascii="宋体" w:hAnsi="宋体" w:eastAsia="宋体"/>
          <w:color w:val="000000"/>
          <w:sz w:val="24"/>
          <w:szCs w:val="24"/>
        </w:rPr>
        <w:t>0%量程漂移：±</w:t>
      </w:r>
      <w:r>
        <w:rPr>
          <w:rFonts w:hint="eastAsia" w:ascii="宋体" w:hAnsi="宋体" w:eastAsia="宋体"/>
          <w:color w:val="000000"/>
          <w:sz w:val="24"/>
          <w:szCs w:val="24"/>
        </w:rPr>
        <w:t>1.2</w:t>
      </w:r>
      <w:r>
        <w:rPr>
          <w:rFonts w:ascii="宋体" w:hAnsi="宋体" w:eastAsia="宋体"/>
          <w:color w:val="000000"/>
          <w:sz w:val="24"/>
          <w:szCs w:val="24"/>
        </w:rPr>
        <w:t>ppb</w:t>
      </w:r>
    </w:p>
    <w:p w14:paraId="4DB393EB">
      <w:pPr>
        <w:adjustRightInd w:val="0"/>
        <w:snapToGrid w:val="0"/>
        <w:spacing w:line="360" w:lineRule="auto"/>
        <w:ind w:firstLine="480" w:firstLineChars="200"/>
        <w:rPr>
          <w:rFonts w:hint="eastAsia" w:ascii="宋体" w:hAnsi="宋体" w:eastAsia="宋体"/>
          <w:color w:val="000000"/>
          <w:sz w:val="24"/>
          <w:szCs w:val="24"/>
        </w:rPr>
      </w:pPr>
      <w:r>
        <w:rPr>
          <w:rFonts w:hint="eastAsia" w:ascii="宋体" w:hAnsi="宋体" w:eastAsia="宋体"/>
          <w:sz w:val="24"/>
          <w:szCs w:val="24"/>
        </w:rPr>
        <w:t>（11）</w:t>
      </w:r>
      <w:r>
        <w:rPr>
          <w:rFonts w:ascii="宋体" w:hAnsi="宋体" w:eastAsia="宋体"/>
          <w:sz w:val="24"/>
          <w:szCs w:val="24"/>
        </w:rPr>
        <w:t>2</w:t>
      </w:r>
      <w:r>
        <w:rPr>
          <w:rFonts w:ascii="宋体" w:hAnsi="宋体" w:eastAsia="宋体"/>
          <w:color w:val="000000"/>
          <w:sz w:val="24"/>
          <w:szCs w:val="24"/>
        </w:rPr>
        <w:t>4h 80%量程漂移：±3ppb</w:t>
      </w:r>
    </w:p>
    <w:p w14:paraId="35C150C7">
      <w:pPr>
        <w:adjustRightInd w:val="0"/>
        <w:snapToGrid w:val="0"/>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（12）</w:t>
      </w:r>
      <w:r>
        <w:rPr>
          <w:rFonts w:ascii="宋体" w:hAnsi="宋体" w:eastAsia="宋体" w:cs="Times New Roman"/>
          <w:color w:val="000000"/>
          <w:sz w:val="24"/>
          <w:szCs w:val="24"/>
        </w:rPr>
        <w:t>响应时间（上升/下降）：</w:t>
      </w:r>
      <w:r>
        <w:rPr>
          <w:rFonts w:hint="eastAsia" w:ascii="宋体" w:hAnsi="宋体" w:eastAsia="宋体"/>
          <w:color w:val="000000"/>
          <w:sz w:val="24"/>
          <w:szCs w:val="24"/>
        </w:rPr>
        <w:t>≤</w:t>
      </w:r>
      <w:r>
        <w:rPr>
          <w:rFonts w:ascii="宋体" w:hAnsi="宋体" w:eastAsia="宋体" w:cs="Times New Roman"/>
          <w:color w:val="000000"/>
          <w:sz w:val="24"/>
          <w:szCs w:val="24"/>
        </w:rPr>
        <w:t>80s</w:t>
      </w:r>
    </w:p>
    <w:p w14:paraId="578AB977">
      <w:pPr>
        <w:adjustRightInd w:val="0"/>
        <w:snapToGrid w:val="0"/>
        <w:spacing w:line="360" w:lineRule="auto"/>
        <w:ind w:firstLine="480" w:firstLineChars="200"/>
        <w:rPr>
          <w:rFonts w:hint="eastAsia" w:ascii="宋体" w:hAnsi="宋体" w:eastAsia="宋体"/>
          <w:color w:val="000000"/>
          <w:sz w:val="24"/>
          <w:szCs w:val="24"/>
        </w:rPr>
      </w:pPr>
      <w:r>
        <w:rPr>
          <w:rFonts w:hint="eastAsia" w:ascii="宋体" w:hAnsi="宋体" w:eastAsia="宋体" w:cs="Times New Roman"/>
          <w:color w:val="000000"/>
          <w:sz w:val="24"/>
          <w:szCs w:val="24"/>
        </w:rPr>
        <w:t>（13）</w:t>
      </w:r>
      <w:r>
        <w:rPr>
          <w:rFonts w:ascii="宋体" w:hAnsi="宋体" w:eastAsia="宋体" w:cs="Times New Roman"/>
          <w:color w:val="000000"/>
          <w:sz w:val="24"/>
          <w:szCs w:val="24"/>
        </w:rPr>
        <w:t>转换效率：＞99%</w:t>
      </w:r>
    </w:p>
    <w:p w14:paraId="3457A358">
      <w:pPr>
        <w:adjustRightInd w:val="0"/>
        <w:snapToGrid w:val="0"/>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（14）</w:t>
      </w:r>
      <w:r>
        <w:rPr>
          <w:rFonts w:ascii="宋体" w:hAnsi="宋体" w:eastAsia="宋体"/>
          <w:color w:val="000000"/>
          <w:sz w:val="24"/>
          <w:szCs w:val="24"/>
        </w:rPr>
        <w:t>零点漂移/7天：±</w:t>
      </w:r>
      <w:r>
        <w:rPr>
          <w:rFonts w:hint="eastAsia" w:ascii="宋体" w:hAnsi="宋体" w:eastAsia="宋体"/>
          <w:color w:val="000000"/>
          <w:sz w:val="24"/>
          <w:szCs w:val="24"/>
        </w:rPr>
        <w:t>1.3</w:t>
      </w:r>
      <w:r>
        <w:rPr>
          <w:rFonts w:ascii="宋体" w:hAnsi="宋体" w:eastAsia="宋体"/>
          <w:color w:val="000000"/>
          <w:sz w:val="24"/>
          <w:szCs w:val="24"/>
        </w:rPr>
        <w:t>ppb</w:t>
      </w:r>
    </w:p>
    <w:p w14:paraId="63054CB1">
      <w:pPr>
        <w:adjustRightInd w:val="0"/>
        <w:snapToGrid w:val="0"/>
        <w:spacing w:line="360" w:lineRule="auto"/>
        <w:ind w:firstLine="480" w:firstLineChars="200"/>
        <w:rPr>
          <w:rFonts w:hint="eastAsia" w:ascii="宋体" w:hAnsi="宋体" w:eastAsia="宋体"/>
          <w:color w:val="000000"/>
          <w:sz w:val="24"/>
          <w:szCs w:val="24"/>
        </w:rPr>
      </w:pPr>
      <w:r>
        <w:rPr>
          <w:rFonts w:hint="eastAsia" w:ascii="宋体" w:hAnsi="宋体" w:eastAsia="宋体" w:cs="Times New Roman"/>
          <w:color w:val="000000"/>
          <w:sz w:val="24"/>
          <w:szCs w:val="24"/>
        </w:rPr>
        <w:t>（15）</w:t>
      </w:r>
      <w:r>
        <w:rPr>
          <w:rFonts w:ascii="宋体" w:hAnsi="宋体" w:eastAsia="宋体" w:cs="Times New Roman"/>
          <w:color w:val="000000"/>
          <w:sz w:val="24"/>
          <w:szCs w:val="24"/>
        </w:rPr>
        <w:t>量程漂移/7天：</w:t>
      </w:r>
      <w:r>
        <w:rPr>
          <w:rFonts w:ascii="宋体" w:hAnsi="宋体" w:eastAsia="宋体" w:cs="Times New Roman"/>
          <w:sz w:val="24"/>
          <w:szCs w:val="24"/>
        </w:rPr>
        <w:t>±</w:t>
      </w:r>
      <w:r>
        <w:rPr>
          <w:rFonts w:hint="eastAsia" w:ascii="宋体" w:hAnsi="宋体" w:eastAsia="宋体" w:cs="Times New Roman"/>
          <w:sz w:val="24"/>
          <w:szCs w:val="24"/>
        </w:rPr>
        <w:t>6.1</w:t>
      </w:r>
      <w:r>
        <w:rPr>
          <w:rFonts w:ascii="宋体" w:hAnsi="宋体" w:eastAsia="宋体" w:cs="Times New Roman"/>
          <w:sz w:val="24"/>
          <w:szCs w:val="24"/>
        </w:rPr>
        <w:t>ppb</w:t>
      </w:r>
    </w:p>
    <w:p w14:paraId="5D5C1C48">
      <w:pPr>
        <w:pStyle w:val="34"/>
        <w:shd w:val="clear" w:color="auto" w:fill="FFFFFF"/>
        <w:adjustRightInd w:val="0"/>
        <w:snapToGrid w:val="0"/>
        <w:spacing w:before="0" w:beforeAutospacing="0" w:after="0" w:afterAutospacing="0" w:line="360" w:lineRule="auto"/>
        <w:ind w:left="480"/>
        <w:rPr>
          <w:rFonts w:hint="eastAsia" w:cs="Times New Roman"/>
          <w:color w:val="000000"/>
          <w:sz w:val="24"/>
          <w:szCs w:val="24"/>
        </w:rPr>
      </w:pPr>
      <w:r>
        <w:rPr>
          <w:rFonts w:hint="eastAsia" w:cs="Times New Roman"/>
          <w:color w:val="000000"/>
          <w:sz w:val="24"/>
          <w:szCs w:val="24"/>
        </w:rPr>
        <w:t>（16）</w:t>
      </w:r>
      <w:r>
        <w:rPr>
          <w:rFonts w:cs="Times New Roman"/>
          <w:color w:val="000000"/>
          <w:sz w:val="24"/>
          <w:szCs w:val="24"/>
        </w:rPr>
        <w:t>诊断功能：仪器有自诊断及报警功能</w:t>
      </w:r>
    </w:p>
    <w:p w14:paraId="31B5EB45">
      <w:pPr>
        <w:pStyle w:val="34"/>
        <w:shd w:val="clear" w:color="auto" w:fill="FFFFFF"/>
        <w:adjustRightInd w:val="0"/>
        <w:snapToGrid w:val="0"/>
        <w:spacing w:before="0" w:beforeAutospacing="0" w:after="0" w:afterAutospacing="0" w:line="360" w:lineRule="auto"/>
        <w:ind w:left="480"/>
        <w:rPr>
          <w:rFonts w:hint="eastAsia" w:cs="Times New Roman"/>
          <w:color w:val="000000"/>
          <w:sz w:val="24"/>
          <w:szCs w:val="24"/>
        </w:rPr>
      </w:pPr>
      <w:r>
        <w:rPr>
          <w:rFonts w:hint="eastAsia" w:cs="Times New Roman"/>
          <w:color w:val="000000"/>
          <w:sz w:val="24"/>
          <w:szCs w:val="24"/>
        </w:rPr>
        <w:t>（17）</w:t>
      </w:r>
      <w:r>
        <w:rPr>
          <w:rFonts w:cs="Times New Roman"/>
          <w:color w:val="000000"/>
          <w:sz w:val="24"/>
          <w:szCs w:val="24"/>
        </w:rPr>
        <w:t>电源要求：AC(220±22)V，</w:t>
      </w:r>
      <w:r>
        <w:rPr>
          <w:rFonts w:hint="eastAsia" w:cs="Times New Roman"/>
          <w:color w:val="000000"/>
          <w:sz w:val="24"/>
          <w:szCs w:val="24"/>
        </w:rPr>
        <w:t>（</w:t>
      </w:r>
      <w:r>
        <w:rPr>
          <w:rFonts w:cs="Times New Roman"/>
          <w:color w:val="000000"/>
          <w:sz w:val="24"/>
          <w:szCs w:val="24"/>
        </w:rPr>
        <w:t>50Hz±1</w:t>
      </w:r>
      <w:r>
        <w:rPr>
          <w:rFonts w:hint="eastAsia" w:cs="Times New Roman"/>
          <w:color w:val="000000"/>
          <w:sz w:val="24"/>
          <w:szCs w:val="24"/>
        </w:rPr>
        <w:t>）</w:t>
      </w:r>
      <w:r>
        <w:rPr>
          <w:rFonts w:cs="Times New Roman"/>
          <w:color w:val="000000"/>
          <w:sz w:val="24"/>
          <w:szCs w:val="24"/>
        </w:rPr>
        <w:t>Hz   </w:t>
      </w:r>
    </w:p>
    <w:p w14:paraId="2B0F8C3C">
      <w:pPr>
        <w:adjustRightInd w:val="0"/>
        <w:snapToGrid w:val="0"/>
        <w:spacing w:line="360" w:lineRule="auto"/>
        <w:ind w:firstLine="482" w:firstLineChars="200"/>
        <w:rPr>
          <w:rFonts w:hint="eastAsia" w:ascii="宋体" w:hAnsi="宋体" w:eastAsia="宋体"/>
          <w:b/>
          <w:bCs/>
          <w:sz w:val="24"/>
          <w:szCs w:val="24"/>
        </w:rPr>
      </w:pPr>
      <w:r>
        <w:rPr>
          <w:rFonts w:ascii="宋体" w:hAnsi="宋体" w:eastAsia="宋体"/>
          <w:b/>
          <w:bCs/>
          <w:sz w:val="24"/>
          <w:szCs w:val="24"/>
        </w:rPr>
        <w:t>▲（1</w:t>
      </w:r>
      <w:r>
        <w:rPr>
          <w:rFonts w:hint="eastAsia" w:ascii="宋体" w:hAnsi="宋体" w:eastAsia="宋体"/>
          <w:b/>
          <w:bCs/>
          <w:sz w:val="24"/>
          <w:szCs w:val="24"/>
        </w:rPr>
        <w:t>8</w:t>
      </w:r>
      <w:r>
        <w:rPr>
          <w:rFonts w:ascii="宋体" w:hAnsi="宋体" w:eastAsia="宋体"/>
          <w:b/>
          <w:bCs/>
          <w:sz w:val="24"/>
          <w:szCs w:val="24"/>
        </w:rPr>
        <w:t>）臭氧祛除器前端除水装置为纳分材料而非变色硅胶，一年内无需更换。（需提供该除水装置的结构图及实物图作为证明材料</w:t>
      </w:r>
      <w:r>
        <w:rPr>
          <w:rFonts w:hint="eastAsia" w:ascii="宋体" w:hAnsi="宋体" w:eastAsia="宋体"/>
          <w:b/>
          <w:bCs/>
          <w:sz w:val="24"/>
          <w:szCs w:val="24"/>
        </w:rPr>
        <w:t>并加盖制造商公章彩色扫描件</w:t>
      </w:r>
      <w:r>
        <w:rPr>
          <w:rFonts w:ascii="宋体" w:hAnsi="宋体" w:eastAsia="宋体"/>
          <w:b/>
          <w:bCs/>
          <w:sz w:val="24"/>
          <w:szCs w:val="24"/>
        </w:rPr>
        <w:t>）</w:t>
      </w:r>
    </w:p>
    <w:p w14:paraId="0E83AF4B">
      <w:pPr>
        <w:adjustRightInd w:val="0"/>
        <w:snapToGrid w:val="0"/>
        <w:spacing w:line="360" w:lineRule="auto"/>
        <w:ind w:firstLine="482" w:firstLineChars="200"/>
        <w:rPr>
          <w:rFonts w:hint="eastAsia" w:ascii="宋体" w:hAnsi="宋体" w:eastAsia="宋体"/>
          <w:b/>
          <w:bCs/>
          <w:sz w:val="24"/>
          <w:szCs w:val="24"/>
        </w:rPr>
      </w:pPr>
      <w:bookmarkStart w:id="1" w:name="_Hlk144832480"/>
      <w:r>
        <w:rPr>
          <w:rFonts w:ascii="宋体" w:hAnsi="宋体" w:eastAsia="宋体"/>
          <w:b/>
          <w:bCs/>
          <w:sz w:val="24"/>
          <w:szCs w:val="24"/>
        </w:rPr>
        <w:t>▲（1</w:t>
      </w:r>
      <w:r>
        <w:rPr>
          <w:rFonts w:hint="eastAsia" w:ascii="宋体" w:hAnsi="宋体" w:eastAsia="宋体"/>
          <w:b/>
          <w:bCs/>
          <w:sz w:val="24"/>
          <w:szCs w:val="24"/>
        </w:rPr>
        <w:t>9</w:t>
      </w:r>
      <w:r>
        <w:rPr>
          <w:rFonts w:ascii="宋体" w:hAnsi="宋体" w:eastAsia="宋体"/>
          <w:b/>
          <w:bCs/>
          <w:sz w:val="24"/>
          <w:szCs w:val="24"/>
        </w:rPr>
        <w:t>）</w:t>
      </w:r>
      <w:r>
        <w:rPr>
          <w:rFonts w:hint="eastAsia" w:ascii="宋体" w:hAnsi="宋体" w:eastAsia="宋体"/>
          <w:b/>
          <w:bCs/>
          <w:sz w:val="24"/>
          <w:szCs w:val="24"/>
        </w:rPr>
        <w:t>端窗式光电倍增管，零下2℃制冷，检出限更低。</w:t>
      </w:r>
      <w:r>
        <w:rPr>
          <w:rFonts w:ascii="宋体" w:hAnsi="宋体" w:eastAsia="宋体"/>
          <w:b/>
          <w:bCs/>
          <w:sz w:val="24"/>
          <w:szCs w:val="24"/>
        </w:rPr>
        <w:t>（需提供软件界面截图作为证明材料</w:t>
      </w:r>
      <w:r>
        <w:rPr>
          <w:rFonts w:hint="eastAsia" w:ascii="宋体" w:hAnsi="宋体" w:eastAsia="宋体"/>
          <w:b/>
          <w:bCs/>
          <w:sz w:val="24"/>
          <w:szCs w:val="24"/>
        </w:rPr>
        <w:t>并加盖制造商公章彩色扫描件</w:t>
      </w:r>
      <w:r>
        <w:rPr>
          <w:rFonts w:ascii="宋体" w:hAnsi="宋体" w:eastAsia="宋体"/>
          <w:b/>
          <w:bCs/>
          <w:sz w:val="24"/>
          <w:szCs w:val="24"/>
        </w:rPr>
        <w:t>）</w:t>
      </w:r>
    </w:p>
    <w:p w14:paraId="62E39FFC">
      <w:pPr>
        <w:adjustRightInd w:val="0"/>
        <w:snapToGrid w:val="0"/>
        <w:spacing w:line="360" w:lineRule="auto"/>
        <w:ind w:firstLine="482" w:firstLineChars="200"/>
        <w:rPr>
          <w:rFonts w:hint="eastAsia" w:ascii="宋体" w:hAnsi="宋体" w:eastAsia="宋体"/>
          <w:b/>
          <w:bCs/>
          <w:sz w:val="24"/>
          <w:szCs w:val="24"/>
        </w:rPr>
      </w:pPr>
      <w:r>
        <w:rPr>
          <w:rFonts w:ascii="宋体" w:hAnsi="宋体" w:eastAsia="宋体"/>
          <w:b/>
          <w:bCs/>
          <w:sz w:val="24"/>
          <w:szCs w:val="24"/>
        </w:rPr>
        <w:t>▲（</w:t>
      </w:r>
      <w:r>
        <w:rPr>
          <w:rFonts w:hint="eastAsia" w:ascii="宋体" w:hAnsi="宋体" w:eastAsia="宋体"/>
          <w:b/>
          <w:bCs/>
          <w:sz w:val="24"/>
          <w:szCs w:val="24"/>
        </w:rPr>
        <w:t>20</w:t>
      </w:r>
      <w:r>
        <w:rPr>
          <w:rFonts w:ascii="宋体" w:hAnsi="宋体" w:eastAsia="宋体"/>
          <w:b/>
          <w:bCs/>
          <w:sz w:val="24"/>
          <w:szCs w:val="24"/>
        </w:rPr>
        <w:t>）分析仪具有网线接口及无线网卡卡槽，单台分析仪接入网线或无线网卡后数据无需经由数采仪即可实现数据上传。（需提供NO</w:t>
      </w:r>
      <w:r>
        <w:rPr>
          <w:rFonts w:ascii="宋体" w:hAnsi="宋体" w:eastAsia="宋体"/>
          <w:b/>
          <w:bCs/>
          <w:sz w:val="24"/>
          <w:szCs w:val="24"/>
          <w:vertAlign w:val="subscript"/>
        </w:rPr>
        <w:t>X</w:t>
      </w:r>
      <w:r>
        <w:rPr>
          <w:rFonts w:ascii="宋体" w:hAnsi="宋体" w:eastAsia="宋体"/>
          <w:b/>
          <w:bCs/>
          <w:sz w:val="24"/>
          <w:szCs w:val="24"/>
        </w:rPr>
        <w:t>分析仪网线接口、无线网卡卡槽实物图及软件界面截图作为证明材料</w:t>
      </w:r>
      <w:r>
        <w:rPr>
          <w:rFonts w:hint="eastAsia" w:ascii="宋体" w:hAnsi="宋体" w:eastAsia="宋体"/>
          <w:b/>
          <w:bCs/>
          <w:sz w:val="24"/>
          <w:szCs w:val="24"/>
        </w:rPr>
        <w:t>并加盖制造商公章彩色扫描件</w:t>
      </w:r>
      <w:r>
        <w:rPr>
          <w:rFonts w:ascii="宋体" w:hAnsi="宋体" w:eastAsia="宋体"/>
          <w:b/>
          <w:bCs/>
          <w:sz w:val="24"/>
          <w:szCs w:val="24"/>
        </w:rPr>
        <w:t>）</w:t>
      </w:r>
      <w:bookmarkEnd w:id="1"/>
    </w:p>
    <w:p w14:paraId="3084F132">
      <w:pPr>
        <w:shd w:val="clear" w:color="auto" w:fill="FFFFFF"/>
        <w:adjustRightInd w:val="0"/>
        <w:snapToGrid w:val="0"/>
        <w:spacing w:line="360" w:lineRule="auto"/>
        <w:ind w:firstLine="482" w:firstLineChars="200"/>
        <w:rPr>
          <w:rFonts w:hint="eastAsia" w:ascii="宋体" w:hAnsi="宋体" w:eastAsia="宋体"/>
          <w:b/>
          <w:bCs/>
          <w:color w:val="000000"/>
          <w:sz w:val="24"/>
          <w:szCs w:val="24"/>
        </w:rPr>
      </w:pPr>
      <w:r>
        <w:rPr>
          <w:rFonts w:ascii="宋体" w:hAnsi="宋体" w:eastAsia="宋体"/>
          <w:b/>
          <w:bCs/>
          <w:color w:val="000000"/>
          <w:sz w:val="24"/>
          <w:szCs w:val="24"/>
        </w:rPr>
        <w:t>3、CO自动分析仪</w:t>
      </w:r>
    </w:p>
    <w:p w14:paraId="7725EA18">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bookmarkStart w:id="2" w:name="_Toc327255411"/>
      <w:bookmarkEnd w:id="2"/>
      <w:bookmarkStart w:id="3" w:name="_Toc327255588"/>
      <w:bookmarkEnd w:id="3"/>
      <w:r>
        <w:rPr>
          <w:rFonts w:cs="Times New Roman"/>
          <w:color w:val="000000"/>
          <w:sz w:val="24"/>
          <w:szCs w:val="24"/>
        </w:rPr>
        <w:t>（1）分析方法：</w:t>
      </w:r>
      <w:r>
        <w:rPr>
          <w:rFonts w:cs="Times New Roman"/>
          <w:sz w:val="24"/>
          <w:szCs w:val="24"/>
        </w:rPr>
        <w:t>红外吸收相关法（气体滤光相关法）</w:t>
      </w:r>
    </w:p>
    <w:p w14:paraId="0492A03F">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（2）量程：0-50 ppm或更多可选量程</w:t>
      </w:r>
    </w:p>
    <w:p w14:paraId="081A3861">
      <w:pPr>
        <w:adjustRightInd w:val="0"/>
        <w:snapToGrid w:val="0"/>
        <w:spacing w:line="360" w:lineRule="auto"/>
        <w:ind w:firstLine="480" w:firstLineChars="200"/>
        <w:rPr>
          <w:rFonts w:hint="eastAsia" w:ascii="宋体" w:hAnsi="宋体" w:eastAsia="宋体"/>
          <w:color w:val="000000"/>
          <w:sz w:val="24"/>
          <w:szCs w:val="24"/>
        </w:rPr>
      </w:pPr>
      <w:r>
        <w:rPr>
          <w:rFonts w:ascii="宋体" w:hAnsi="宋体" w:eastAsia="宋体"/>
          <w:color w:val="000000"/>
          <w:sz w:val="24"/>
          <w:szCs w:val="24"/>
        </w:rPr>
        <w:t>（3）零点噪声：</w:t>
      </w:r>
      <w:r>
        <w:rPr>
          <w:rFonts w:hint="eastAsia" w:ascii="宋体" w:hAnsi="宋体" w:eastAsia="宋体"/>
          <w:color w:val="000000"/>
          <w:sz w:val="24"/>
          <w:szCs w:val="24"/>
        </w:rPr>
        <w:t>≤</w:t>
      </w:r>
      <w:r>
        <w:rPr>
          <w:rFonts w:ascii="宋体" w:hAnsi="宋体" w:eastAsia="宋体"/>
          <w:color w:val="000000"/>
          <w:sz w:val="24"/>
          <w:szCs w:val="24"/>
        </w:rPr>
        <w:t>0.</w:t>
      </w:r>
      <w:r>
        <w:rPr>
          <w:rFonts w:hint="eastAsia" w:ascii="宋体" w:hAnsi="宋体" w:eastAsia="宋体"/>
          <w:color w:val="000000"/>
          <w:sz w:val="24"/>
          <w:szCs w:val="24"/>
        </w:rPr>
        <w:t>01</w:t>
      </w:r>
      <w:r>
        <w:rPr>
          <w:rFonts w:ascii="宋体" w:hAnsi="宋体" w:eastAsia="宋体"/>
          <w:color w:val="000000"/>
          <w:sz w:val="24"/>
          <w:szCs w:val="24"/>
        </w:rPr>
        <w:t>pp</w:t>
      </w:r>
      <w:r>
        <w:rPr>
          <w:rFonts w:hint="eastAsia" w:ascii="宋体" w:hAnsi="宋体" w:eastAsia="宋体"/>
          <w:color w:val="000000"/>
          <w:sz w:val="24"/>
          <w:szCs w:val="24"/>
        </w:rPr>
        <w:t>m</w:t>
      </w:r>
    </w:p>
    <w:p w14:paraId="70F18A25">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（4）最低检测限：</w:t>
      </w:r>
      <w:r>
        <w:rPr>
          <w:rFonts w:hint="eastAsia" w:cs="Times New Roman"/>
          <w:color w:val="000000"/>
          <w:sz w:val="24"/>
          <w:szCs w:val="24"/>
        </w:rPr>
        <w:t>≤</w:t>
      </w:r>
      <w:r>
        <w:rPr>
          <w:rFonts w:cs="Times New Roman"/>
          <w:color w:val="000000"/>
          <w:sz w:val="24"/>
          <w:szCs w:val="24"/>
        </w:rPr>
        <w:t>0.</w:t>
      </w:r>
      <w:r>
        <w:rPr>
          <w:rFonts w:hint="eastAsia" w:cs="Times New Roman"/>
          <w:color w:val="000000"/>
          <w:sz w:val="24"/>
          <w:szCs w:val="24"/>
        </w:rPr>
        <w:t>02</w:t>
      </w:r>
      <w:r>
        <w:rPr>
          <w:rFonts w:cs="Times New Roman"/>
          <w:color w:val="000000"/>
          <w:sz w:val="24"/>
          <w:szCs w:val="24"/>
        </w:rPr>
        <w:t>pp</w:t>
      </w:r>
      <w:r>
        <w:rPr>
          <w:rFonts w:hint="eastAsia" w:cs="Times New Roman"/>
          <w:color w:val="000000"/>
          <w:sz w:val="24"/>
          <w:szCs w:val="24"/>
        </w:rPr>
        <w:t>m</w:t>
      </w:r>
    </w:p>
    <w:p w14:paraId="7D4DB462">
      <w:pPr>
        <w:adjustRightInd w:val="0"/>
        <w:snapToGrid w:val="0"/>
        <w:spacing w:line="360" w:lineRule="auto"/>
        <w:ind w:firstLine="480" w:firstLineChars="200"/>
        <w:rPr>
          <w:rFonts w:hint="eastAsia" w:ascii="宋体" w:hAnsi="宋体" w:eastAsia="宋体"/>
          <w:sz w:val="24"/>
          <w:szCs w:val="24"/>
        </w:rPr>
      </w:pPr>
      <w:r>
        <w:rPr>
          <w:rFonts w:ascii="宋体" w:hAnsi="宋体" w:eastAsia="宋体"/>
          <w:color w:val="000000"/>
          <w:sz w:val="24"/>
          <w:szCs w:val="24"/>
        </w:rPr>
        <w:t>（5）量程噪声：</w:t>
      </w:r>
      <w:r>
        <w:rPr>
          <w:rFonts w:hint="eastAsia" w:ascii="宋体" w:hAnsi="宋体" w:eastAsia="宋体"/>
          <w:color w:val="000000"/>
          <w:sz w:val="24"/>
          <w:szCs w:val="24"/>
        </w:rPr>
        <w:t>≤</w:t>
      </w:r>
      <w:r>
        <w:rPr>
          <w:rFonts w:ascii="宋体" w:hAnsi="宋体" w:eastAsia="宋体"/>
          <w:color w:val="000000"/>
          <w:sz w:val="24"/>
          <w:szCs w:val="24"/>
        </w:rPr>
        <w:t>0.</w:t>
      </w:r>
      <w:r>
        <w:rPr>
          <w:rFonts w:hint="eastAsia" w:ascii="宋体" w:hAnsi="宋体" w:eastAsia="宋体"/>
          <w:color w:val="000000"/>
          <w:sz w:val="24"/>
          <w:szCs w:val="24"/>
        </w:rPr>
        <w:t>03</w:t>
      </w:r>
      <w:r>
        <w:rPr>
          <w:rFonts w:ascii="宋体" w:hAnsi="宋体" w:eastAsia="宋体"/>
          <w:color w:val="000000"/>
          <w:sz w:val="24"/>
          <w:szCs w:val="24"/>
        </w:rPr>
        <w:t>pp</w:t>
      </w:r>
      <w:r>
        <w:rPr>
          <w:rFonts w:hint="eastAsia" w:ascii="宋体" w:hAnsi="宋体" w:eastAsia="宋体"/>
          <w:color w:val="000000"/>
          <w:sz w:val="24"/>
          <w:szCs w:val="24"/>
        </w:rPr>
        <w:t>m</w:t>
      </w:r>
    </w:p>
    <w:p w14:paraId="290E190D">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（6）示值误差：±0.</w:t>
      </w:r>
      <w:r>
        <w:rPr>
          <w:rFonts w:hint="eastAsia" w:cs="Times New Roman"/>
          <w:color w:val="000000"/>
          <w:sz w:val="24"/>
          <w:szCs w:val="24"/>
        </w:rPr>
        <w:t>04</w:t>
      </w:r>
      <w:r>
        <w:rPr>
          <w:rFonts w:cs="Times New Roman"/>
          <w:color w:val="000000"/>
          <w:sz w:val="24"/>
          <w:szCs w:val="24"/>
        </w:rPr>
        <w:t>%满量程 </w:t>
      </w:r>
    </w:p>
    <w:p w14:paraId="47F2B3BD">
      <w:pPr>
        <w:adjustRightInd w:val="0"/>
        <w:snapToGrid w:val="0"/>
        <w:spacing w:line="360" w:lineRule="auto"/>
        <w:ind w:firstLine="480" w:firstLineChars="200"/>
        <w:rPr>
          <w:rFonts w:hint="eastAsia" w:ascii="宋体" w:hAnsi="宋体" w:eastAsia="宋体"/>
          <w:b/>
          <w:bCs/>
          <w:sz w:val="24"/>
          <w:szCs w:val="24"/>
        </w:rPr>
      </w:pPr>
      <w:r>
        <w:rPr>
          <w:rFonts w:cs="Times New Roman"/>
          <w:b/>
          <w:bCs/>
          <w:color w:val="000000"/>
          <w:sz w:val="24"/>
          <w:szCs w:val="24"/>
        </w:rPr>
        <w:t>▲</w:t>
      </w:r>
      <w:r>
        <w:rPr>
          <w:rFonts w:ascii="宋体" w:hAnsi="宋体" w:eastAsia="宋体"/>
          <w:b/>
          <w:bCs/>
          <w:color w:val="000000"/>
          <w:sz w:val="24"/>
          <w:szCs w:val="24"/>
        </w:rPr>
        <w:t>（7）</w:t>
      </w:r>
      <w:r>
        <w:rPr>
          <w:rFonts w:hint="eastAsia" w:ascii="宋体" w:hAnsi="宋体" w:eastAsia="宋体"/>
          <w:b/>
          <w:bCs/>
          <w:color w:val="000000"/>
          <w:sz w:val="24"/>
          <w:szCs w:val="24"/>
        </w:rPr>
        <w:t>2</w:t>
      </w:r>
      <w:r>
        <w:rPr>
          <w:rFonts w:ascii="宋体" w:hAnsi="宋体" w:eastAsia="宋体"/>
          <w:b/>
          <w:bCs/>
          <w:color w:val="000000"/>
          <w:sz w:val="24"/>
          <w:szCs w:val="24"/>
        </w:rPr>
        <w:t>0%量程精密度：</w:t>
      </w:r>
      <w:r>
        <w:rPr>
          <w:rFonts w:hint="eastAsia" w:ascii="宋体" w:hAnsi="宋体" w:eastAsia="宋体"/>
          <w:b/>
          <w:bCs/>
          <w:color w:val="000000"/>
          <w:sz w:val="24"/>
          <w:szCs w:val="24"/>
        </w:rPr>
        <w:t>≤</w:t>
      </w:r>
      <w:r>
        <w:rPr>
          <w:rFonts w:ascii="宋体" w:hAnsi="宋体" w:eastAsia="宋体"/>
          <w:b/>
          <w:bCs/>
          <w:color w:val="000000"/>
          <w:sz w:val="24"/>
          <w:szCs w:val="24"/>
        </w:rPr>
        <w:t>0.</w:t>
      </w:r>
      <w:r>
        <w:rPr>
          <w:rFonts w:hint="eastAsia" w:ascii="宋体" w:hAnsi="宋体" w:eastAsia="宋体"/>
          <w:b/>
          <w:bCs/>
          <w:color w:val="000000"/>
          <w:sz w:val="24"/>
          <w:szCs w:val="24"/>
        </w:rPr>
        <w:t>07</w:t>
      </w:r>
      <w:r>
        <w:rPr>
          <w:rFonts w:ascii="宋体" w:hAnsi="宋体" w:eastAsia="宋体"/>
          <w:b/>
          <w:bCs/>
          <w:color w:val="000000"/>
          <w:sz w:val="24"/>
          <w:szCs w:val="24"/>
        </w:rPr>
        <w:t>pp</w:t>
      </w:r>
      <w:r>
        <w:rPr>
          <w:rFonts w:hint="eastAsia" w:ascii="宋体" w:hAnsi="宋体" w:eastAsia="宋体"/>
          <w:b/>
          <w:bCs/>
          <w:color w:val="000000"/>
          <w:sz w:val="24"/>
          <w:szCs w:val="24"/>
        </w:rPr>
        <w:t>m</w:t>
      </w:r>
      <w:bookmarkStart w:id="4" w:name="OLE_LINK5"/>
      <w:r>
        <w:rPr>
          <w:rFonts w:hint="eastAsia" w:ascii="宋体" w:hAnsi="宋体" w:eastAsia="宋体"/>
          <w:b/>
          <w:bCs/>
          <w:sz w:val="24"/>
          <w:szCs w:val="24"/>
        </w:rPr>
        <w:t>（提供环境保护部环境监测仪器质量监督检验中心检测报告加盖制造商公章彩色扫描件）</w:t>
      </w:r>
      <w:bookmarkEnd w:id="4"/>
    </w:p>
    <w:p w14:paraId="1CE3CE88">
      <w:pPr>
        <w:adjustRightInd w:val="0"/>
        <w:snapToGrid w:val="0"/>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（8）</w:t>
      </w:r>
      <w:r>
        <w:rPr>
          <w:rFonts w:ascii="宋体" w:hAnsi="宋体" w:eastAsia="宋体"/>
          <w:color w:val="000000"/>
          <w:sz w:val="24"/>
          <w:szCs w:val="24"/>
        </w:rPr>
        <w:t>80%量程精密度：</w:t>
      </w:r>
      <w:r>
        <w:rPr>
          <w:rFonts w:hint="eastAsia" w:ascii="宋体" w:hAnsi="宋体" w:eastAsia="宋体"/>
          <w:color w:val="000000"/>
          <w:sz w:val="24"/>
          <w:szCs w:val="24"/>
        </w:rPr>
        <w:t>≤</w:t>
      </w:r>
      <w:r>
        <w:rPr>
          <w:rFonts w:ascii="宋体" w:hAnsi="宋体" w:eastAsia="宋体"/>
          <w:color w:val="000000"/>
          <w:sz w:val="24"/>
          <w:szCs w:val="24"/>
        </w:rPr>
        <w:t>0.</w:t>
      </w:r>
      <w:r>
        <w:rPr>
          <w:rFonts w:hint="eastAsia" w:ascii="宋体" w:hAnsi="宋体" w:eastAsia="宋体"/>
          <w:color w:val="000000"/>
          <w:sz w:val="24"/>
          <w:szCs w:val="24"/>
        </w:rPr>
        <w:t>2</w:t>
      </w:r>
      <w:r>
        <w:rPr>
          <w:rFonts w:ascii="宋体" w:hAnsi="宋体" w:eastAsia="宋体"/>
          <w:color w:val="000000"/>
          <w:sz w:val="24"/>
          <w:szCs w:val="24"/>
        </w:rPr>
        <w:t>pp</w:t>
      </w:r>
      <w:r>
        <w:rPr>
          <w:rFonts w:hint="eastAsia" w:ascii="宋体" w:hAnsi="宋体" w:eastAsia="宋体"/>
          <w:color w:val="000000"/>
          <w:sz w:val="24"/>
          <w:szCs w:val="24"/>
        </w:rPr>
        <w:t>m</w:t>
      </w:r>
    </w:p>
    <w:p w14:paraId="6A7703D5">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w:t>
      </w:r>
      <w:r>
        <w:rPr>
          <w:rFonts w:hint="eastAsia" w:cs="Times New Roman"/>
          <w:color w:val="000000"/>
          <w:sz w:val="24"/>
          <w:szCs w:val="24"/>
        </w:rPr>
        <w:t>9</w:t>
      </w:r>
      <w:r>
        <w:rPr>
          <w:rFonts w:cs="Times New Roman"/>
          <w:color w:val="000000"/>
          <w:sz w:val="24"/>
          <w:szCs w:val="24"/>
        </w:rPr>
        <w:t>）24h零点漂移：±</w:t>
      </w:r>
      <w:r>
        <w:rPr>
          <w:rFonts w:hint="eastAsia" w:cs="Times New Roman"/>
          <w:color w:val="000000"/>
          <w:sz w:val="24"/>
          <w:szCs w:val="24"/>
        </w:rPr>
        <w:t>0.6</w:t>
      </w:r>
      <w:r>
        <w:rPr>
          <w:rFonts w:cs="Times New Roman"/>
          <w:color w:val="000000"/>
          <w:sz w:val="24"/>
          <w:szCs w:val="24"/>
        </w:rPr>
        <w:t>pp</w:t>
      </w:r>
      <w:r>
        <w:rPr>
          <w:rFonts w:hint="eastAsia" w:cs="Times New Roman"/>
          <w:color w:val="000000"/>
          <w:sz w:val="24"/>
          <w:szCs w:val="24"/>
        </w:rPr>
        <w:t>m</w:t>
      </w:r>
    </w:p>
    <w:p w14:paraId="72DAE6B5">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10</w:t>
      </w:r>
      <w:r>
        <w:rPr>
          <w:rFonts w:ascii="宋体" w:hAnsi="宋体" w:eastAsia="宋体"/>
          <w:sz w:val="24"/>
          <w:szCs w:val="24"/>
        </w:rPr>
        <w:t>）24h 80%量程漂移：±</w:t>
      </w:r>
      <w:r>
        <w:rPr>
          <w:rFonts w:hint="eastAsia" w:ascii="宋体" w:hAnsi="宋体" w:eastAsia="宋体"/>
          <w:sz w:val="24"/>
          <w:szCs w:val="24"/>
        </w:rPr>
        <w:t>0.2</w:t>
      </w:r>
      <w:r>
        <w:rPr>
          <w:rFonts w:ascii="宋体" w:hAnsi="宋体" w:eastAsia="宋体"/>
          <w:sz w:val="24"/>
          <w:szCs w:val="24"/>
        </w:rPr>
        <w:t>pp</w:t>
      </w:r>
      <w:r>
        <w:rPr>
          <w:rFonts w:hint="eastAsia" w:ascii="宋体" w:hAnsi="宋体" w:eastAsia="宋体"/>
          <w:sz w:val="24"/>
          <w:szCs w:val="24"/>
        </w:rPr>
        <w:t>m</w:t>
      </w:r>
    </w:p>
    <w:p w14:paraId="4EF921D4">
      <w:pPr>
        <w:pStyle w:val="34"/>
        <w:shd w:val="clear" w:color="auto" w:fill="FFFFFF"/>
        <w:adjustRightInd w:val="0"/>
        <w:snapToGrid w:val="0"/>
        <w:spacing w:before="0" w:beforeAutospacing="0" w:after="0" w:afterAutospacing="0" w:line="360" w:lineRule="auto"/>
        <w:ind w:left="480"/>
        <w:rPr>
          <w:rFonts w:hint="eastAsia" w:cs="Times New Roman"/>
          <w:color w:val="000000"/>
          <w:sz w:val="24"/>
          <w:szCs w:val="24"/>
        </w:rPr>
      </w:pPr>
      <w:r>
        <w:rPr>
          <w:rFonts w:hint="eastAsia" w:cs="Times New Roman"/>
          <w:color w:val="000000"/>
          <w:sz w:val="24"/>
          <w:szCs w:val="24"/>
        </w:rPr>
        <w:t>（11）</w:t>
      </w:r>
      <w:r>
        <w:rPr>
          <w:rFonts w:cs="Times New Roman"/>
          <w:color w:val="000000"/>
          <w:sz w:val="24"/>
          <w:szCs w:val="24"/>
        </w:rPr>
        <w:t>响应时间（上升/下降）：</w:t>
      </w:r>
      <w:r>
        <w:rPr>
          <w:rFonts w:hint="eastAsia"/>
          <w:color w:val="000000"/>
          <w:sz w:val="24"/>
          <w:szCs w:val="24"/>
        </w:rPr>
        <w:t>≤</w:t>
      </w:r>
      <w:r>
        <w:rPr>
          <w:rFonts w:hint="eastAsia" w:cs="Times New Roman"/>
          <w:color w:val="000000"/>
          <w:sz w:val="24"/>
          <w:szCs w:val="24"/>
        </w:rPr>
        <w:t>9</w:t>
      </w:r>
      <w:r>
        <w:rPr>
          <w:rFonts w:cs="Times New Roman"/>
          <w:color w:val="000000"/>
          <w:sz w:val="24"/>
          <w:szCs w:val="24"/>
        </w:rPr>
        <w:t>0s</w:t>
      </w:r>
    </w:p>
    <w:p w14:paraId="15CA9F74">
      <w:pPr>
        <w:pStyle w:val="34"/>
        <w:shd w:val="clear" w:color="auto" w:fill="FFFFFF"/>
        <w:adjustRightInd w:val="0"/>
        <w:snapToGrid w:val="0"/>
        <w:spacing w:before="0" w:beforeAutospacing="0" w:after="0" w:afterAutospacing="0" w:line="360" w:lineRule="auto"/>
        <w:ind w:left="480"/>
        <w:rPr>
          <w:rFonts w:hint="eastAsia" w:cs="Times New Roman"/>
          <w:color w:val="000000"/>
          <w:sz w:val="24"/>
          <w:szCs w:val="24"/>
        </w:rPr>
      </w:pPr>
      <w:r>
        <w:rPr>
          <w:rFonts w:hint="eastAsia"/>
          <w:sz w:val="24"/>
          <w:szCs w:val="24"/>
        </w:rPr>
        <w:t>（12）</w:t>
      </w:r>
      <w:r>
        <w:rPr>
          <w:sz w:val="24"/>
          <w:szCs w:val="24"/>
        </w:rPr>
        <w:t>零点漂移/7天：±</w:t>
      </w:r>
      <w:r>
        <w:rPr>
          <w:rFonts w:hint="eastAsia"/>
          <w:sz w:val="24"/>
          <w:szCs w:val="24"/>
        </w:rPr>
        <w:t>0.4</w:t>
      </w:r>
      <w:r>
        <w:rPr>
          <w:sz w:val="24"/>
          <w:szCs w:val="24"/>
        </w:rPr>
        <w:t>pp</w:t>
      </w:r>
      <w:r>
        <w:rPr>
          <w:rFonts w:hint="eastAsia"/>
          <w:sz w:val="24"/>
          <w:szCs w:val="24"/>
        </w:rPr>
        <w:t>m</w:t>
      </w:r>
    </w:p>
    <w:p w14:paraId="0068E4D4">
      <w:pPr>
        <w:pStyle w:val="34"/>
        <w:shd w:val="clear" w:color="auto" w:fill="FFFFFF"/>
        <w:adjustRightInd w:val="0"/>
        <w:snapToGrid w:val="0"/>
        <w:spacing w:before="0" w:beforeAutospacing="0" w:after="0" w:afterAutospacing="0" w:line="360" w:lineRule="auto"/>
        <w:ind w:left="480"/>
        <w:rPr>
          <w:rFonts w:hint="eastAsia" w:cs="Times New Roman"/>
          <w:color w:val="000000"/>
          <w:sz w:val="24"/>
          <w:szCs w:val="24"/>
        </w:rPr>
      </w:pPr>
      <w:r>
        <w:rPr>
          <w:rFonts w:hint="eastAsia" w:cs="Times New Roman"/>
          <w:color w:val="000000"/>
          <w:sz w:val="24"/>
          <w:szCs w:val="24"/>
        </w:rPr>
        <w:t>（13）</w:t>
      </w:r>
      <w:r>
        <w:rPr>
          <w:rFonts w:cs="Times New Roman"/>
          <w:color w:val="000000"/>
          <w:sz w:val="24"/>
          <w:szCs w:val="24"/>
        </w:rPr>
        <w:t>量程漂移/7天：</w:t>
      </w:r>
      <w:r>
        <w:rPr>
          <w:rFonts w:cs="Times New Roman"/>
          <w:sz w:val="24"/>
          <w:szCs w:val="24"/>
        </w:rPr>
        <w:t>±</w:t>
      </w:r>
      <w:r>
        <w:rPr>
          <w:rFonts w:hint="eastAsia" w:cs="Times New Roman"/>
          <w:sz w:val="24"/>
          <w:szCs w:val="24"/>
        </w:rPr>
        <w:t>0.2</w:t>
      </w:r>
      <w:r>
        <w:rPr>
          <w:rFonts w:cs="Times New Roman"/>
          <w:sz w:val="24"/>
          <w:szCs w:val="24"/>
        </w:rPr>
        <w:t>pp</w:t>
      </w:r>
      <w:r>
        <w:rPr>
          <w:rFonts w:hint="eastAsia" w:cs="Times New Roman"/>
          <w:sz w:val="24"/>
          <w:szCs w:val="24"/>
        </w:rPr>
        <w:t>m</w:t>
      </w:r>
    </w:p>
    <w:p w14:paraId="0DDD4106">
      <w:pPr>
        <w:pStyle w:val="34"/>
        <w:shd w:val="clear" w:color="auto" w:fill="FFFFFF"/>
        <w:adjustRightInd w:val="0"/>
        <w:snapToGrid w:val="0"/>
        <w:spacing w:before="0" w:beforeAutospacing="0" w:after="0" w:afterAutospacing="0" w:line="360" w:lineRule="auto"/>
        <w:ind w:left="480"/>
        <w:rPr>
          <w:rFonts w:hint="eastAsia" w:cs="Times New Roman"/>
          <w:color w:val="000000"/>
          <w:sz w:val="24"/>
          <w:szCs w:val="24"/>
        </w:rPr>
      </w:pPr>
      <w:r>
        <w:rPr>
          <w:rFonts w:hint="eastAsia" w:cs="Times New Roman"/>
          <w:color w:val="000000"/>
          <w:sz w:val="24"/>
          <w:szCs w:val="24"/>
        </w:rPr>
        <w:t>（14）</w:t>
      </w:r>
      <w:r>
        <w:rPr>
          <w:rFonts w:cs="Times New Roman"/>
          <w:color w:val="000000"/>
          <w:sz w:val="24"/>
          <w:szCs w:val="24"/>
        </w:rPr>
        <w:t>诊断功能：仪器有自诊断及报警功能</w:t>
      </w:r>
    </w:p>
    <w:p w14:paraId="70482C28">
      <w:pPr>
        <w:pStyle w:val="34"/>
        <w:shd w:val="clear" w:color="auto" w:fill="FFFFFF"/>
        <w:adjustRightInd w:val="0"/>
        <w:snapToGrid w:val="0"/>
        <w:spacing w:before="0" w:beforeAutospacing="0" w:after="0" w:afterAutospacing="0" w:line="360" w:lineRule="auto"/>
        <w:ind w:left="480"/>
        <w:rPr>
          <w:rFonts w:hint="eastAsia" w:cs="Times New Roman"/>
          <w:color w:val="000000"/>
          <w:sz w:val="24"/>
          <w:szCs w:val="24"/>
        </w:rPr>
      </w:pPr>
      <w:r>
        <w:rPr>
          <w:rFonts w:hint="eastAsia" w:cs="Times New Roman"/>
          <w:color w:val="000000"/>
          <w:sz w:val="24"/>
          <w:szCs w:val="24"/>
        </w:rPr>
        <w:t>（15）</w:t>
      </w:r>
      <w:r>
        <w:rPr>
          <w:rFonts w:cs="Times New Roman"/>
          <w:color w:val="000000"/>
          <w:sz w:val="24"/>
          <w:szCs w:val="24"/>
        </w:rPr>
        <w:t>电源要求：AC(220±22)V，</w:t>
      </w:r>
      <w:r>
        <w:rPr>
          <w:rFonts w:hint="eastAsia" w:cs="Times New Roman"/>
          <w:color w:val="000000"/>
          <w:sz w:val="24"/>
          <w:szCs w:val="24"/>
        </w:rPr>
        <w:t>（</w:t>
      </w:r>
      <w:r>
        <w:rPr>
          <w:rFonts w:cs="Times New Roman"/>
          <w:color w:val="000000"/>
          <w:sz w:val="24"/>
          <w:szCs w:val="24"/>
        </w:rPr>
        <w:t>50Hz±1</w:t>
      </w:r>
      <w:r>
        <w:rPr>
          <w:rFonts w:hint="eastAsia" w:cs="Times New Roman"/>
          <w:color w:val="000000"/>
          <w:sz w:val="24"/>
          <w:szCs w:val="24"/>
        </w:rPr>
        <w:t>）</w:t>
      </w:r>
      <w:r>
        <w:rPr>
          <w:rFonts w:cs="Times New Roman"/>
          <w:color w:val="000000"/>
          <w:sz w:val="24"/>
          <w:szCs w:val="24"/>
        </w:rPr>
        <w:t>Hz</w:t>
      </w:r>
    </w:p>
    <w:p w14:paraId="1BD2DC77">
      <w:pPr>
        <w:pStyle w:val="34"/>
        <w:shd w:val="clear" w:color="auto" w:fill="FFFFFF"/>
        <w:adjustRightInd w:val="0"/>
        <w:snapToGrid w:val="0"/>
        <w:spacing w:before="0" w:beforeAutospacing="0" w:after="0" w:afterAutospacing="0" w:line="360" w:lineRule="auto"/>
        <w:ind w:firstLine="482" w:firstLineChars="200"/>
        <w:rPr>
          <w:rFonts w:hint="eastAsia" w:cs="Times New Roman"/>
          <w:b/>
          <w:bCs/>
          <w:color w:val="000000"/>
          <w:sz w:val="24"/>
          <w:szCs w:val="24"/>
        </w:rPr>
      </w:pPr>
      <w:r>
        <w:rPr>
          <w:rFonts w:cs="Times New Roman"/>
          <w:b/>
          <w:bCs/>
          <w:color w:val="000000"/>
          <w:sz w:val="24"/>
          <w:szCs w:val="24"/>
        </w:rPr>
        <w:t>▲（</w:t>
      </w:r>
      <w:r>
        <w:rPr>
          <w:rFonts w:hint="eastAsia" w:cs="Times New Roman"/>
          <w:b/>
          <w:bCs/>
          <w:color w:val="000000"/>
          <w:sz w:val="24"/>
          <w:szCs w:val="24"/>
        </w:rPr>
        <w:t>16</w:t>
      </w:r>
      <w:r>
        <w:rPr>
          <w:rFonts w:cs="Times New Roman"/>
          <w:b/>
          <w:bCs/>
          <w:color w:val="000000"/>
          <w:sz w:val="24"/>
          <w:szCs w:val="24"/>
        </w:rPr>
        <w:t>）</w:t>
      </w:r>
      <w:r>
        <w:rPr>
          <w:rFonts w:hint="eastAsia" w:cs="Times New Roman"/>
          <w:b/>
          <w:bCs/>
          <w:color w:val="000000"/>
          <w:sz w:val="24"/>
          <w:szCs w:val="24"/>
        </w:rPr>
        <w:t>光强自动增益调节，测量值不受光源衰减影响。</w:t>
      </w:r>
      <w:r>
        <w:rPr>
          <w:b/>
          <w:bCs/>
          <w:sz w:val="24"/>
          <w:szCs w:val="24"/>
        </w:rPr>
        <w:t>（需提供</w:t>
      </w:r>
      <w:r>
        <w:rPr>
          <w:rFonts w:hint="eastAsia"/>
          <w:b/>
          <w:bCs/>
          <w:sz w:val="24"/>
          <w:szCs w:val="24"/>
        </w:rPr>
        <w:t>佐证材料加盖制造商公章彩色扫描件</w:t>
      </w:r>
      <w:r>
        <w:rPr>
          <w:b/>
          <w:bCs/>
          <w:sz w:val="24"/>
          <w:szCs w:val="24"/>
        </w:rPr>
        <w:t>）</w:t>
      </w:r>
    </w:p>
    <w:p w14:paraId="0360844C">
      <w:pPr>
        <w:pStyle w:val="34"/>
        <w:shd w:val="clear" w:color="auto" w:fill="FFFFFF"/>
        <w:adjustRightInd w:val="0"/>
        <w:snapToGrid w:val="0"/>
        <w:spacing w:before="0" w:beforeAutospacing="0" w:after="0" w:afterAutospacing="0" w:line="360" w:lineRule="auto"/>
        <w:ind w:firstLine="482" w:firstLineChars="200"/>
        <w:rPr>
          <w:rFonts w:hint="eastAsia" w:cs="Times New Roman"/>
          <w:sz w:val="24"/>
          <w:szCs w:val="24"/>
        </w:rPr>
      </w:pPr>
      <w:r>
        <w:rPr>
          <w:rFonts w:cs="Times New Roman"/>
          <w:b/>
          <w:bCs/>
          <w:color w:val="000000"/>
          <w:sz w:val="24"/>
          <w:szCs w:val="24"/>
        </w:rPr>
        <w:t>▲（</w:t>
      </w:r>
      <w:r>
        <w:rPr>
          <w:rFonts w:hint="eastAsia" w:cs="Times New Roman"/>
          <w:b/>
          <w:bCs/>
          <w:color w:val="000000"/>
          <w:sz w:val="24"/>
          <w:szCs w:val="24"/>
        </w:rPr>
        <w:t>17</w:t>
      </w:r>
      <w:r>
        <w:rPr>
          <w:rFonts w:cs="Times New Roman"/>
          <w:b/>
          <w:bCs/>
          <w:color w:val="000000"/>
          <w:sz w:val="24"/>
          <w:szCs w:val="24"/>
        </w:rPr>
        <w:t>）分析仪具有网线接口及无线网卡卡槽，单台分析仪接入网线或无线网卡后数据无需经由数采仪即可实现数据上传。（需提供CO分析仪网线接口、无线网卡卡槽实物图及软件界面截图作为证明材料</w:t>
      </w:r>
      <w:r>
        <w:rPr>
          <w:rFonts w:hint="eastAsia"/>
          <w:b/>
          <w:bCs/>
          <w:sz w:val="24"/>
          <w:szCs w:val="24"/>
        </w:rPr>
        <w:t>并加盖制造商公章彩色扫描件</w:t>
      </w:r>
      <w:r>
        <w:rPr>
          <w:rFonts w:cs="Times New Roman"/>
          <w:b/>
          <w:bCs/>
          <w:color w:val="000000"/>
          <w:sz w:val="24"/>
          <w:szCs w:val="24"/>
        </w:rPr>
        <w:t>）</w:t>
      </w:r>
    </w:p>
    <w:p w14:paraId="28BFFA87">
      <w:pPr>
        <w:shd w:val="clear" w:color="auto" w:fill="FFFFFF"/>
        <w:adjustRightInd w:val="0"/>
        <w:snapToGrid w:val="0"/>
        <w:spacing w:line="360" w:lineRule="auto"/>
        <w:ind w:firstLine="482" w:firstLineChars="200"/>
        <w:rPr>
          <w:rFonts w:hint="eastAsia" w:ascii="宋体" w:hAnsi="宋体" w:eastAsia="宋体"/>
          <w:color w:val="000000"/>
          <w:sz w:val="24"/>
          <w:szCs w:val="24"/>
        </w:rPr>
      </w:pPr>
      <w:r>
        <w:rPr>
          <w:rFonts w:ascii="宋体" w:hAnsi="宋体" w:eastAsia="宋体"/>
          <w:b/>
          <w:bCs/>
          <w:color w:val="000000"/>
          <w:sz w:val="24"/>
          <w:szCs w:val="24"/>
        </w:rPr>
        <w:t>4、O</w:t>
      </w:r>
      <w:r>
        <w:rPr>
          <w:rFonts w:ascii="宋体" w:hAnsi="宋体" w:eastAsia="宋体"/>
          <w:b/>
          <w:bCs/>
          <w:color w:val="000000"/>
          <w:sz w:val="24"/>
          <w:szCs w:val="24"/>
          <w:vertAlign w:val="subscript"/>
        </w:rPr>
        <w:t>3</w:t>
      </w:r>
      <w:r>
        <w:rPr>
          <w:rFonts w:ascii="宋体" w:hAnsi="宋体" w:eastAsia="宋体"/>
          <w:b/>
          <w:bCs/>
          <w:color w:val="000000"/>
          <w:sz w:val="24"/>
          <w:szCs w:val="24"/>
        </w:rPr>
        <w:t>自动分析仪</w:t>
      </w:r>
    </w:p>
    <w:p w14:paraId="67FAD93E">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bookmarkStart w:id="5" w:name="_Toc327255415"/>
      <w:bookmarkEnd w:id="5"/>
      <w:bookmarkStart w:id="6" w:name="_Toc327255592"/>
      <w:bookmarkEnd w:id="6"/>
      <w:r>
        <w:rPr>
          <w:rFonts w:cs="Times New Roman"/>
          <w:color w:val="000000"/>
          <w:sz w:val="24"/>
          <w:szCs w:val="24"/>
        </w:rPr>
        <w:t>（1）分析方法：紫外光度法</w:t>
      </w:r>
    </w:p>
    <w:p w14:paraId="1D6D1550">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vertAlign w:val="superscript"/>
        </w:rPr>
      </w:pPr>
      <w:r>
        <w:rPr>
          <w:rFonts w:cs="Times New Roman"/>
          <w:color w:val="000000"/>
          <w:sz w:val="24"/>
          <w:szCs w:val="24"/>
        </w:rPr>
        <w:t>（2）量程： 0-500ppb或更多可选量程</w:t>
      </w:r>
    </w:p>
    <w:p w14:paraId="7CD76637">
      <w:pPr>
        <w:adjustRightInd w:val="0"/>
        <w:snapToGrid w:val="0"/>
        <w:spacing w:line="360" w:lineRule="auto"/>
        <w:ind w:firstLine="480" w:firstLineChars="200"/>
        <w:rPr>
          <w:rFonts w:hint="eastAsia" w:ascii="宋体" w:hAnsi="宋体" w:eastAsia="宋体"/>
          <w:color w:val="000000"/>
          <w:sz w:val="24"/>
          <w:szCs w:val="24"/>
        </w:rPr>
      </w:pPr>
      <w:r>
        <w:rPr>
          <w:rFonts w:ascii="宋体" w:hAnsi="宋体" w:eastAsia="宋体"/>
          <w:color w:val="000000"/>
          <w:sz w:val="24"/>
          <w:szCs w:val="24"/>
        </w:rPr>
        <w:t>（3）零点噪声：</w:t>
      </w:r>
      <w:r>
        <w:rPr>
          <w:rFonts w:hint="eastAsia" w:ascii="宋体" w:hAnsi="宋体" w:eastAsia="宋体"/>
          <w:color w:val="000000"/>
          <w:sz w:val="24"/>
          <w:szCs w:val="24"/>
        </w:rPr>
        <w:t>≤</w:t>
      </w:r>
      <w:r>
        <w:rPr>
          <w:rFonts w:ascii="宋体" w:hAnsi="宋体" w:eastAsia="宋体"/>
          <w:color w:val="000000"/>
          <w:sz w:val="24"/>
          <w:szCs w:val="24"/>
        </w:rPr>
        <w:t>0.</w:t>
      </w:r>
      <w:r>
        <w:rPr>
          <w:rFonts w:hint="eastAsia" w:ascii="宋体" w:hAnsi="宋体" w:eastAsia="宋体"/>
          <w:color w:val="000000"/>
          <w:sz w:val="24"/>
          <w:szCs w:val="24"/>
        </w:rPr>
        <w:t>1</w:t>
      </w:r>
      <w:r>
        <w:rPr>
          <w:rFonts w:ascii="宋体" w:hAnsi="宋体" w:eastAsia="宋体"/>
          <w:color w:val="000000"/>
          <w:sz w:val="24"/>
          <w:szCs w:val="24"/>
        </w:rPr>
        <w:t>pp</w:t>
      </w:r>
      <w:r>
        <w:rPr>
          <w:rFonts w:hint="eastAsia" w:ascii="宋体" w:hAnsi="宋体" w:eastAsia="宋体"/>
          <w:color w:val="000000"/>
          <w:sz w:val="24"/>
          <w:szCs w:val="24"/>
        </w:rPr>
        <w:t>b</w:t>
      </w:r>
    </w:p>
    <w:p w14:paraId="6E79491C">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（4）最低检测限：</w:t>
      </w:r>
      <w:r>
        <w:rPr>
          <w:rFonts w:hint="eastAsia" w:cs="Times New Roman"/>
          <w:color w:val="000000"/>
          <w:sz w:val="24"/>
          <w:szCs w:val="24"/>
        </w:rPr>
        <w:t>≤</w:t>
      </w:r>
      <w:r>
        <w:rPr>
          <w:rFonts w:cs="Times New Roman"/>
          <w:color w:val="000000"/>
          <w:sz w:val="24"/>
          <w:szCs w:val="24"/>
        </w:rPr>
        <w:t>0.</w:t>
      </w:r>
      <w:r>
        <w:rPr>
          <w:rFonts w:hint="eastAsia" w:cs="Times New Roman"/>
          <w:color w:val="000000"/>
          <w:sz w:val="24"/>
          <w:szCs w:val="24"/>
        </w:rPr>
        <w:t>2</w:t>
      </w:r>
      <w:r>
        <w:rPr>
          <w:rFonts w:cs="Times New Roman"/>
          <w:color w:val="000000"/>
          <w:sz w:val="24"/>
          <w:szCs w:val="24"/>
        </w:rPr>
        <w:t>pp</w:t>
      </w:r>
      <w:r>
        <w:rPr>
          <w:rFonts w:hint="eastAsia" w:cs="Times New Roman"/>
          <w:color w:val="000000"/>
          <w:sz w:val="24"/>
          <w:szCs w:val="24"/>
        </w:rPr>
        <w:t>b</w:t>
      </w:r>
    </w:p>
    <w:p w14:paraId="3DF69E33">
      <w:pPr>
        <w:adjustRightInd w:val="0"/>
        <w:snapToGrid w:val="0"/>
        <w:spacing w:line="360" w:lineRule="auto"/>
        <w:ind w:firstLine="480" w:firstLineChars="200"/>
        <w:rPr>
          <w:rFonts w:hint="eastAsia" w:ascii="宋体" w:hAnsi="宋体" w:eastAsia="宋体"/>
          <w:sz w:val="24"/>
          <w:szCs w:val="24"/>
        </w:rPr>
      </w:pPr>
      <w:r>
        <w:rPr>
          <w:rFonts w:ascii="宋体" w:hAnsi="宋体" w:eastAsia="宋体"/>
          <w:color w:val="000000"/>
          <w:sz w:val="24"/>
          <w:szCs w:val="24"/>
        </w:rPr>
        <w:t>（5）量程噪声：</w:t>
      </w:r>
      <w:r>
        <w:rPr>
          <w:rFonts w:hint="eastAsia" w:ascii="宋体" w:hAnsi="宋体" w:eastAsia="宋体"/>
          <w:color w:val="000000"/>
          <w:sz w:val="24"/>
          <w:szCs w:val="24"/>
        </w:rPr>
        <w:t>≤</w:t>
      </w:r>
      <w:r>
        <w:rPr>
          <w:rFonts w:ascii="宋体" w:hAnsi="宋体" w:eastAsia="宋体"/>
          <w:color w:val="000000"/>
          <w:sz w:val="24"/>
          <w:szCs w:val="24"/>
        </w:rPr>
        <w:t>0.</w:t>
      </w:r>
      <w:r>
        <w:rPr>
          <w:rFonts w:hint="eastAsia" w:ascii="宋体" w:hAnsi="宋体" w:eastAsia="宋体"/>
          <w:color w:val="000000"/>
          <w:sz w:val="24"/>
          <w:szCs w:val="24"/>
        </w:rPr>
        <w:t>1</w:t>
      </w:r>
      <w:r>
        <w:rPr>
          <w:rFonts w:ascii="宋体" w:hAnsi="宋体" w:eastAsia="宋体"/>
          <w:color w:val="000000"/>
          <w:sz w:val="24"/>
          <w:szCs w:val="24"/>
        </w:rPr>
        <w:t>pp</w:t>
      </w:r>
      <w:r>
        <w:rPr>
          <w:rFonts w:hint="eastAsia" w:ascii="宋体" w:hAnsi="宋体" w:eastAsia="宋体"/>
          <w:color w:val="000000"/>
          <w:sz w:val="24"/>
          <w:szCs w:val="24"/>
        </w:rPr>
        <w:t>b</w:t>
      </w:r>
    </w:p>
    <w:p w14:paraId="391FDB13">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（6）示值误差：±0.</w:t>
      </w:r>
      <w:r>
        <w:rPr>
          <w:rFonts w:hint="eastAsia" w:cs="Times New Roman"/>
          <w:color w:val="000000"/>
          <w:sz w:val="24"/>
          <w:szCs w:val="24"/>
        </w:rPr>
        <w:t>4</w:t>
      </w:r>
      <w:r>
        <w:rPr>
          <w:rFonts w:cs="Times New Roman"/>
          <w:color w:val="000000"/>
          <w:sz w:val="24"/>
          <w:szCs w:val="24"/>
        </w:rPr>
        <w:t>%满量程 </w:t>
      </w:r>
    </w:p>
    <w:p w14:paraId="16244BDC">
      <w:pPr>
        <w:adjustRightInd w:val="0"/>
        <w:snapToGrid w:val="0"/>
        <w:spacing w:line="360" w:lineRule="auto"/>
        <w:ind w:firstLine="482" w:firstLineChars="200"/>
        <w:rPr>
          <w:rFonts w:hint="eastAsia" w:ascii="宋体" w:hAnsi="宋体" w:eastAsia="宋体"/>
          <w:sz w:val="24"/>
          <w:szCs w:val="24"/>
        </w:rPr>
      </w:pPr>
      <w:r>
        <w:rPr>
          <w:rFonts w:ascii="宋体" w:hAnsi="宋体" w:eastAsia="宋体"/>
          <w:b/>
          <w:bCs/>
          <w:color w:val="000000"/>
          <w:sz w:val="24"/>
          <w:szCs w:val="24"/>
        </w:rPr>
        <w:t>▲（7）80%量程精密度：</w:t>
      </w:r>
      <w:r>
        <w:rPr>
          <w:rFonts w:hint="eastAsia" w:ascii="宋体" w:hAnsi="宋体" w:eastAsia="宋体"/>
          <w:b/>
          <w:bCs/>
          <w:color w:val="000000"/>
          <w:sz w:val="24"/>
          <w:szCs w:val="24"/>
        </w:rPr>
        <w:t>≤</w:t>
      </w:r>
      <w:r>
        <w:rPr>
          <w:rFonts w:ascii="宋体" w:hAnsi="宋体" w:eastAsia="宋体"/>
          <w:b/>
          <w:bCs/>
          <w:color w:val="000000"/>
          <w:sz w:val="24"/>
          <w:szCs w:val="24"/>
        </w:rPr>
        <w:t>0.</w:t>
      </w:r>
      <w:r>
        <w:rPr>
          <w:rFonts w:hint="eastAsia" w:ascii="宋体" w:hAnsi="宋体" w:eastAsia="宋体"/>
          <w:b/>
          <w:bCs/>
          <w:color w:val="000000"/>
          <w:sz w:val="24"/>
          <w:szCs w:val="24"/>
        </w:rPr>
        <w:t>1</w:t>
      </w:r>
      <w:r>
        <w:rPr>
          <w:rFonts w:ascii="宋体" w:hAnsi="宋体" w:eastAsia="宋体"/>
          <w:b/>
          <w:bCs/>
          <w:color w:val="000000"/>
          <w:sz w:val="24"/>
          <w:szCs w:val="24"/>
        </w:rPr>
        <w:t>pp</w:t>
      </w:r>
      <w:r>
        <w:rPr>
          <w:rFonts w:hint="eastAsia" w:ascii="宋体" w:hAnsi="宋体" w:eastAsia="宋体"/>
          <w:b/>
          <w:bCs/>
          <w:color w:val="000000"/>
          <w:sz w:val="24"/>
          <w:szCs w:val="24"/>
        </w:rPr>
        <w:t>b</w:t>
      </w:r>
      <w:r>
        <w:rPr>
          <w:rFonts w:hint="eastAsia" w:ascii="宋体" w:hAnsi="宋体" w:eastAsia="宋体"/>
          <w:b/>
          <w:bCs/>
          <w:sz w:val="24"/>
          <w:szCs w:val="24"/>
        </w:rPr>
        <w:t>（提供环境保护部环境监测仪器质量监督检验中心检测报告加盖制造商公章彩色扫描件）</w:t>
      </w:r>
    </w:p>
    <w:p w14:paraId="097EF63D">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cs="Times New Roman"/>
          <w:color w:val="000000"/>
          <w:sz w:val="24"/>
          <w:szCs w:val="24"/>
        </w:rPr>
        <w:t>（8）24h零点漂移：±</w:t>
      </w:r>
      <w:r>
        <w:rPr>
          <w:rFonts w:hint="eastAsia" w:cs="Times New Roman"/>
          <w:color w:val="000000"/>
          <w:sz w:val="24"/>
          <w:szCs w:val="24"/>
        </w:rPr>
        <w:t>2.1</w:t>
      </w:r>
      <w:r>
        <w:rPr>
          <w:rFonts w:cs="Times New Roman"/>
          <w:color w:val="000000"/>
          <w:sz w:val="24"/>
          <w:szCs w:val="24"/>
        </w:rPr>
        <w:t>pp</w:t>
      </w:r>
      <w:r>
        <w:rPr>
          <w:rFonts w:hint="eastAsia" w:cs="Times New Roman"/>
          <w:color w:val="000000"/>
          <w:sz w:val="24"/>
          <w:szCs w:val="24"/>
        </w:rPr>
        <w:t>b</w:t>
      </w:r>
    </w:p>
    <w:p w14:paraId="66B9484A">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（9）24h 80%量程漂移：±</w:t>
      </w:r>
      <w:r>
        <w:rPr>
          <w:rFonts w:hint="eastAsia" w:ascii="宋体" w:hAnsi="宋体" w:eastAsia="宋体"/>
          <w:sz w:val="24"/>
          <w:szCs w:val="24"/>
        </w:rPr>
        <w:t>6.5</w:t>
      </w:r>
      <w:r>
        <w:rPr>
          <w:rFonts w:ascii="宋体" w:hAnsi="宋体" w:eastAsia="宋体"/>
          <w:sz w:val="24"/>
          <w:szCs w:val="24"/>
        </w:rPr>
        <w:t>pp</w:t>
      </w:r>
      <w:r>
        <w:rPr>
          <w:rFonts w:hint="eastAsia" w:ascii="宋体" w:hAnsi="宋体" w:eastAsia="宋体"/>
          <w:sz w:val="24"/>
          <w:szCs w:val="24"/>
        </w:rPr>
        <w:t>b</w:t>
      </w:r>
    </w:p>
    <w:p w14:paraId="6D173FAF">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hint="eastAsia" w:cs="Times New Roman"/>
          <w:color w:val="000000"/>
          <w:sz w:val="24"/>
          <w:szCs w:val="24"/>
        </w:rPr>
        <w:t>（10）</w:t>
      </w:r>
      <w:r>
        <w:rPr>
          <w:rFonts w:cs="Times New Roman"/>
          <w:color w:val="000000"/>
          <w:sz w:val="24"/>
          <w:szCs w:val="24"/>
        </w:rPr>
        <w:t>响应时间（上升/下降）：</w:t>
      </w:r>
      <w:r>
        <w:rPr>
          <w:rFonts w:hint="eastAsia"/>
          <w:color w:val="000000"/>
          <w:sz w:val="24"/>
          <w:szCs w:val="24"/>
        </w:rPr>
        <w:t>≤</w:t>
      </w:r>
      <w:r>
        <w:rPr>
          <w:rFonts w:hint="eastAsia" w:cs="Times New Roman"/>
          <w:color w:val="000000"/>
          <w:sz w:val="24"/>
          <w:szCs w:val="24"/>
        </w:rPr>
        <w:t>4</w:t>
      </w:r>
      <w:r>
        <w:rPr>
          <w:rFonts w:cs="Times New Roman"/>
          <w:color w:val="000000"/>
          <w:sz w:val="24"/>
          <w:szCs w:val="24"/>
        </w:rPr>
        <w:t>0s</w:t>
      </w:r>
    </w:p>
    <w:p w14:paraId="2FF2FFA1">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（11）</w:t>
      </w:r>
      <w:r>
        <w:rPr>
          <w:rFonts w:ascii="宋体" w:hAnsi="宋体" w:eastAsia="宋体"/>
          <w:sz w:val="24"/>
          <w:szCs w:val="24"/>
        </w:rPr>
        <w:t>零点漂移/7天：±</w:t>
      </w:r>
      <w:r>
        <w:rPr>
          <w:rFonts w:hint="eastAsia" w:ascii="宋体" w:hAnsi="宋体" w:eastAsia="宋体"/>
          <w:sz w:val="24"/>
          <w:szCs w:val="24"/>
        </w:rPr>
        <w:t>4.5</w:t>
      </w:r>
      <w:r>
        <w:rPr>
          <w:rFonts w:ascii="宋体" w:hAnsi="宋体" w:eastAsia="宋体"/>
          <w:sz w:val="24"/>
          <w:szCs w:val="24"/>
        </w:rPr>
        <w:t>pp</w:t>
      </w:r>
      <w:r>
        <w:rPr>
          <w:rFonts w:hint="eastAsia" w:ascii="宋体" w:hAnsi="宋体" w:eastAsia="宋体"/>
          <w:sz w:val="24"/>
          <w:szCs w:val="24"/>
        </w:rPr>
        <w:t>b</w:t>
      </w:r>
    </w:p>
    <w:p w14:paraId="1845A26D">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hint="eastAsia" w:cs="Times New Roman"/>
          <w:color w:val="000000"/>
          <w:sz w:val="24"/>
          <w:szCs w:val="24"/>
        </w:rPr>
        <w:t>（12）</w:t>
      </w:r>
      <w:r>
        <w:rPr>
          <w:rFonts w:cs="Times New Roman"/>
          <w:color w:val="000000"/>
          <w:sz w:val="24"/>
          <w:szCs w:val="24"/>
        </w:rPr>
        <w:t>量程漂移/7天：</w:t>
      </w:r>
      <w:r>
        <w:rPr>
          <w:rFonts w:cs="Times New Roman"/>
          <w:sz w:val="24"/>
          <w:szCs w:val="24"/>
        </w:rPr>
        <w:t>±</w:t>
      </w:r>
      <w:r>
        <w:rPr>
          <w:rFonts w:hint="eastAsia" w:cs="Times New Roman"/>
          <w:sz w:val="24"/>
          <w:szCs w:val="24"/>
        </w:rPr>
        <w:t>5.3</w:t>
      </w:r>
      <w:r>
        <w:rPr>
          <w:rFonts w:cs="Times New Roman"/>
          <w:sz w:val="24"/>
          <w:szCs w:val="24"/>
        </w:rPr>
        <w:t>pp</w:t>
      </w:r>
      <w:r>
        <w:rPr>
          <w:rFonts w:hint="eastAsia" w:cs="Times New Roman"/>
          <w:sz w:val="24"/>
          <w:szCs w:val="24"/>
        </w:rPr>
        <w:t>b</w:t>
      </w:r>
    </w:p>
    <w:p w14:paraId="4274E865">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hint="eastAsia" w:cs="Times New Roman"/>
          <w:color w:val="000000"/>
          <w:sz w:val="24"/>
          <w:szCs w:val="24"/>
        </w:rPr>
        <w:t>（13）</w:t>
      </w:r>
      <w:r>
        <w:rPr>
          <w:rFonts w:cs="Times New Roman"/>
          <w:color w:val="000000"/>
          <w:sz w:val="24"/>
          <w:szCs w:val="24"/>
        </w:rPr>
        <w:t>诊断功能：仪器有自诊断及报警功能</w:t>
      </w:r>
    </w:p>
    <w:p w14:paraId="1A043865">
      <w:pPr>
        <w:pStyle w:val="34"/>
        <w:shd w:val="clear" w:color="auto" w:fill="FFFFFF"/>
        <w:adjustRightInd w:val="0"/>
        <w:snapToGrid w:val="0"/>
        <w:spacing w:before="0" w:beforeAutospacing="0" w:after="0" w:afterAutospacing="0" w:line="360" w:lineRule="auto"/>
        <w:ind w:firstLine="480" w:firstLineChars="200"/>
        <w:rPr>
          <w:rFonts w:hint="eastAsia" w:cs="Times New Roman"/>
          <w:color w:val="000000"/>
          <w:sz w:val="24"/>
          <w:szCs w:val="24"/>
        </w:rPr>
      </w:pPr>
      <w:r>
        <w:rPr>
          <w:rFonts w:hint="eastAsia" w:cs="Times New Roman"/>
          <w:color w:val="000000"/>
          <w:sz w:val="24"/>
          <w:szCs w:val="24"/>
        </w:rPr>
        <w:t>（14）</w:t>
      </w:r>
      <w:r>
        <w:rPr>
          <w:rFonts w:cs="Times New Roman"/>
          <w:color w:val="000000"/>
          <w:sz w:val="24"/>
          <w:szCs w:val="24"/>
        </w:rPr>
        <w:t>电源要求：AC(220±22)V，</w:t>
      </w:r>
      <w:r>
        <w:rPr>
          <w:rFonts w:hint="eastAsia" w:cs="Times New Roman"/>
          <w:color w:val="000000"/>
          <w:sz w:val="24"/>
          <w:szCs w:val="24"/>
        </w:rPr>
        <w:t>（</w:t>
      </w:r>
      <w:r>
        <w:rPr>
          <w:rFonts w:cs="Times New Roman"/>
          <w:color w:val="000000"/>
          <w:sz w:val="24"/>
          <w:szCs w:val="24"/>
        </w:rPr>
        <w:t>50Hz±1</w:t>
      </w:r>
      <w:r>
        <w:rPr>
          <w:rFonts w:hint="eastAsia" w:cs="Times New Roman"/>
          <w:color w:val="000000"/>
          <w:sz w:val="24"/>
          <w:szCs w:val="24"/>
        </w:rPr>
        <w:t>）</w:t>
      </w:r>
      <w:r>
        <w:rPr>
          <w:rFonts w:cs="Times New Roman"/>
          <w:color w:val="000000"/>
          <w:sz w:val="24"/>
          <w:szCs w:val="24"/>
        </w:rPr>
        <w:t>Hz</w:t>
      </w:r>
    </w:p>
    <w:p w14:paraId="2EF43C08">
      <w:pPr>
        <w:shd w:val="clear" w:color="auto" w:fill="FFFFFF"/>
        <w:adjustRightInd w:val="0"/>
        <w:snapToGrid w:val="0"/>
        <w:spacing w:line="360" w:lineRule="auto"/>
        <w:ind w:firstLine="482" w:firstLineChars="200"/>
        <w:rPr>
          <w:rFonts w:hint="eastAsia" w:ascii="宋体" w:hAnsi="宋体" w:eastAsia="宋体"/>
          <w:b/>
          <w:bCs/>
          <w:color w:val="000000"/>
          <w:sz w:val="24"/>
          <w:szCs w:val="24"/>
        </w:rPr>
      </w:pPr>
      <w:r>
        <w:rPr>
          <w:rFonts w:ascii="宋体" w:hAnsi="宋体" w:eastAsia="宋体"/>
          <w:b/>
          <w:bCs/>
          <w:color w:val="000000"/>
          <w:sz w:val="24"/>
          <w:szCs w:val="24"/>
        </w:rPr>
        <w:t>▲（</w:t>
      </w:r>
      <w:r>
        <w:rPr>
          <w:rFonts w:hint="eastAsia" w:ascii="宋体" w:hAnsi="宋体" w:eastAsia="宋体"/>
          <w:b/>
          <w:bCs/>
          <w:color w:val="000000"/>
          <w:sz w:val="24"/>
          <w:szCs w:val="24"/>
        </w:rPr>
        <w:t>15</w:t>
      </w:r>
      <w:r>
        <w:rPr>
          <w:rFonts w:ascii="宋体" w:hAnsi="宋体" w:eastAsia="宋体"/>
          <w:b/>
          <w:bCs/>
          <w:color w:val="000000"/>
          <w:sz w:val="24"/>
          <w:szCs w:val="24"/>
        </w:rPr>
        <w:t>）</w:t>
      </w:r>
      <w:r>
        <w:rPr>
          <w:rFonts w:hint="eastAsia" w:ascii="宋体" w:hAnsi="宋体" w:eastAsia="宋体"/>
          <w:b/>
          <w:bCs/>
          <w:color w:val="000000"/>
          <w:sz w:val="24"/>
          <w:szCs w:val="24"/>
        </w:rPr>
        <w:t>可扩展双通道气室测量。</w:t>
      </w:r>
      <w:r>
        <w:rPr>
          <w:rFonts w:ascii="宋体" w:hAnsi="宋体" w:eastAsia="宋体"/>
          <w:b/>
          <w:bCs/>
          <w:sz w:val="24"/>
          <w:szCs w:val="24"/>
        </w:rPr>
        <w:t>（需提供</w:t>
      </w:r>
      <w:r>
        <w:rPr>
          <w:rFonts w:hint="eastAsia" w:ascii="宋体" w:hAnsi="宋体" w:eastAsia="宋体"/>
          <w:b/>
          <w:bCs/>
          <w:sz w:val="24"/>
          <w:szCs w:val="24"/>
        </w:rPr>
        <w:t>佐证材料加盖制造商公章彩色扫描件</w:t>
      </w:r>
      <w:r>
        <w:rPr>
          <w:rFonts w:ascii="宋体" w:hAnsi="宋体" w:eastAsia="宋体"/>
          <w:b/>
          <w:bCs/>
          <w:sz w:val="24"/>
          <w:szCs w:val="24"/>
        </w:rPr>
        <w:t>）</w:t>
      </w:r>
    </w:p>
    <w:p w14:paraId="6AAFC15E">
      <w:pPr>
        <w:shd w:val="clear" w:color="auto" w:fill="FFFFFF"/>
        <w:adjustRightInd w:val="0"/>
        <w:snapToGrid w:val="0"/>
        <w:spacing w:line="360" w:lineRule="auto"/>
        <w:ind w:firstLine="482" w:firstLineChars="200"/>
        <w:rPr>
          <w:rFonts w:hint="eastAsia" w:ascii="宋体" w:hAnsi="宋体" w:eastAsia="宋体"/>
          <w:b/>
          <w:bCs/>
          <w:color w:val="000000"/>
          <w:sz w:val="24"/>
          <w:szCs w:val="24"/>
        </w:rPr>
      </w:pPr>
      <w:r>
        <w:rPr>
          <w:rFonts w:ascii="宋体" w:hAnsi="宋体" w:eastAsia="宋体"/>
          <w:b/>
          <w:bCs/>
          <w:color w:val="000000"/>
          <w:sz w:val="24"/>
          <w:szCs w:val="24"/>
        </w:rPr>
        <w:t>▲（</w:t>
      </w:r>
      <w:r>
        <w:rPr>
          <w:rFonts w:hint="eastAsia" w:ascii="宋体" w:hAnsi="宋体" w:eastAsia="宋体"/>
          <w:b/>
          <w:bCs/>
          <w:color w:val="000000"/>
          <w:sz w:val="24"/>
          <w:szCs w:val="24"/>
        </w:rPr>
        <w:t>16</w:t>
      </w:r>
      <w:r>
        <w:rPr>
          <w:rFonts w:ascii="宋体" w:hAnsi="宋体" w:eastAsia="宋体"/>
          <w:b/>
          <w:bCs/>
          <w:color w:val="000000"/>
          <w:sz w:val="24"/>
          <w:szCs w:val="24"/>
        </w:rPr>
        <w:t>）</w:t>
      </w:r>
      <w:r>
        <w:rPr>
          <w:rFonts w:hint="eastAsia" w:ascii="宋体" w:hAnsi="宋体" w:eastAsia="宋体"/>
          <w:b/>
          <w:bCs/>
          <w:color w:val="000000"/>
          <w:sz w:val="24"/>
          <w:szCs w:val="24"/>
        </w:rPr>
        <w:t>铝合金气室，避免外界光线干扰。</w:t>
      </w:r>
      <w:r>
        <w:rPr>
          <w:rFonts w:ascii="宋体" w:hAnsi="宋体" w:eastAsia="宋体"/>
          <w:b/>
          <w:bCs/>
          <w:sz w:val="24"/>
          <w:szCs w:val="24"/>
        </w:rPr>
        <w:t>（需提供</w:t>
      </w:r>
      <w:r>
        <w:rPr>
          <w:rFonts w:hint="eastAsia" w:ascii="宋体" w:hAnsi="宋体" w:eastAsia="宋体"/>
          <w:b/>
          <w:bCs/>
          <w:sz w:val="24"/>
          <w:szCs w:val="24"/>
        </w:rPr>
        <w:t>佐证材料加盖制造商公章彩色扫描件</w:t>
      </w:r>
      <w:r>
        <w:rPr>
          <w:rFonts w:ascii="宋体" w:hAnsi="宋体" w:eastAsia="宋体"/>
          <w:b/>
          <w:bCs/>
          <w:sz w:val="24"/>
          <w:szCs w:val="24"/>
        </w:rPr>
        <w:t>）</w:t>
      </w:r>
    </w:p>
    <w:p w14:paraId="5BFB69C3">
      <w:pPr>
        <w:shd w:val="clear" w:color="auto" w:fill="FFFFFF"/>
        <w:adjustRightInd w:val="0"/>
        <w:snapToGrid w:val="0"/>
        <w:spacing w:line="360" w:lineRule="auto"/>
        <w:ind w:firstLine="482" w:firstLineChars="200"/>
        <w:rPr>
          <w:rFonts w:hint="eastAsia" w:ascii="宋体" w:hAnsi="宋体" w:eastAsia="宋体"/>
          <w:b/>
          <w:bCs/>
          <w:color w:val="000000"/>
          <w:sz w:val="24"/>
          <w:szCs w:val="24"/>
        </w:rPr>
      </w:pPr>
      <w:r>
        <w:rPr>
          <w:rFonts w:ascii="宋体" w:hAnsi="宋体" w:eastAsia="宋体"/>
          <w:b/>
          <w:bCs/>
          <w:color w:val="000000"/>
          <w:sz w:val="24"/>
          <w:szCs w:val="24"/>
        </w:rPr>
        <w:t>▲（</w:t>
      </w:r>
      <w:r>
        <w:rPr>
          <w:rFonts w:hint="eastAsia" w:ascii="宋体" w:hAnsi="宋体" w:eastAsia="宋体"/>
          <w:b/>
          <w:bCs/>
          <w:color w:val="000000"/>
          <w:sz w:val="24"/>
          <w:szCs w:val="24"/>
        </w:rPr>
        <w:t>17</w:t>
      </w:r>
      <w:r>
        <w:rPr>
          <w:rFonts w:ascii="宋体" w:hAnsi="宋体" w:eastAsia="宋体"/>
          <w:b/>
          <w:bCs/>
          <w:color w:val="000000"/>
          <w:sz w:val="24"/>
          <w:szCs w:val="24"/>
        </w:rPr>
        <w:t>）分析仪具有网线接口及无线网卡卡槽，单台分析仪接入网线或无线网卡后数据无需经由数采仪即可实现数据上传。（需提供O</w:t>
      </w:r>
      <w:r>
        <w:rPr>
          <w:rFonts w:ascii="宋体" w:hAnsi="宋体" w:eastAsia="宋体"/>
          <w:b/>
          <w:bCs/>
          <w:color w:val="000000"/>
          <w:sz w:val="24"/>
          <w:szCs w:val="24"/>
          <w:vertAlign w:val="subscript"/>
        </w:rPr>
        <w:t>3</w:t>
      </w:r>
      <w:r>
        <w:rPr>
          <w:rFonts w:ascii="宋体" w:hAnsi="宋体" w:eastAsia="宋体"/>
          <w:b/>
          <w:bCs/>
          <w:color w:val="000000"/>
          <w:sz w:val="24"/>
          <w:szCs w:val="24"/>
        </w:rPr>
        <w:t>分析仪网线接口、无线网卡卡槽实物图及软件界面截图作为证明材料</w:t>
      </w:r>
      <w:r>
        <w:rPr>
          <w:rFonts w:hint="eastAsia" w:ascii="宋体" w:hAnsi="宋体" w:eastAsia="宋体"/>
          <w:b/>
          <w:bCs/>
          <w:sz w:val="24"/>
          <w:szCs w:val="24"/>
        </w:rPr>
        <w:t>并加盖制造商公章彩色扫描件</w:t>
      </w:r>
      <w:r>
        <w:rPr>
          <w:rFonts w:ascii="宋体" w:hAnsi="宋体" w:eastAsia="宋体"/>
          <w:b/>
          <w:bCs/>
          <w:color w:val="000000"/>
          <w:sz w:val="24"/>
          <w:szCs w:val="24"/>
        </w:rPr>
        <w:t>）</w:t>
      </w:r>
    </w:p>
    <w:p w14:paraId="768E3E93">
      <w:pPr>
        <w:adjustRightInd w:val="0"/>
        <w:snapToGrid w:val="0"/>
        <w:spacing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b/>
          <w:bCs/>
          <w:sz w:val="24"/>
          <w:szCs w:val="24"/>
          <w:lang w:val="zh-CN"/>
        </w:rPr>
        <w:t>5、</w:t>
      </w:r>
      <w:r>
        <w:rPr>
          <w:rFonts w:hint="eastAsia" w:ascii="宋体" w:hAnsi="宋体" w:eastAsia="宋体" w:cs="宋体"/>
          <w:b/>
          <w:bCs/>
          <w:color w:val="000000"/>
          <w:kern w:val="0"/>
          <w:sz w:val="24"/>
          <w:szCs w:val="24"/>
        </w:rPr>
        <w:t>BETA射线法颗粒物(PM</w:t>
      </w:r>
      <w:r>
        <w:rPr>
          <w:rFonts w:hint="eastAsia" w:ascii="宋体" w:hAnsi="宋体" w:eastAsia="宋体" w:cs="宋体"/>
          <w:b/>
          <w:bCs/>
          <w:color w:val="000000"/>
          <w:kern w:val="0"/>
          <w:sz w:val="24"/>
          <w:szCs w:val="24"/>
          <w:vertAlign w:val="subscript"/>
        </w:rPr>
        <w:t>10</w:t>
      </w:r>
      <w:r>
        <w:rPr>
          <w:rFonts w:hint="eastAsia" w:ascii="宋体" w:hAnsi="宋体" w:eastAsia="宋体" w:cs="宋体"/>
          <w:b/>
          <w:bCs/>
          <w:color w:val="000000"/>
          <w:kern w:val="0"/>
          <w:sz w:val="24"/>
          <w:szCs w:val="24"/>
        </w:rPr>
        <w:t>)分析仪</w:t>
      </w:r>
    </w:p>
    <w:p w14:paraId="1830DEE9">
      <w:pPr>
        <w:adjustRightInd w:val="0"/>
        <w:snapToGrid w:val="0"/>
        <w:spacing w:line="360" w:lineRule="auto"/>
        <w:ind w:firstLine="480" w:firstLineChars="200"/>
        <w:rPr>
          <w:rFonts w:hint="eastAsia" w:ascii="宋体" w:hAnsi="宋体" w:eastAsia="宋体" w:cs="宋体"/>
          <w:b/>
          <w:bCs/>
          <w:color w:val="000000"/>
          <w:kern w:val="0"/>
          <w:sz w:val="24"/>
          <w:szCs w:val="24"/>
        </w:rPr>
      </w:pPr>
      <w:r>
        <w:rPr>
          <w:rFonts w:hint="eastAsia" w:ascii="宋体" w:hAnsi="宋体" w:eastAsia="宋体"/>
          <w:sz w:val="24"/>
          <w:szCs w:val="24"/>
        </w:rPr>
        <w:t>（1）设备用途：用于环境空气中PM</w:t>
      </w:r>
      <w:r>
        <w:rPr>
          <w:rFonts w:hint="eastAsia" w:ascii="宋体" w:hAnsi="宋体" w:eastAsia="宋体"/>
          <w:sz w:val="24"/>
          <w:szCs w:val="24"/>
          <w:vertAlign w:val="subscript"/>
        </w:rPr>
        <w:t>10</w:t>
      </w:r>
      <w:r>
        <w:rPr>
          <w:rFonts w:hint="eastAsia" w:ascii="宋体" w:hAnsi="宋体" w:eastAsia="宋体"/>
          <w:sz w:val="24"/>
          <w:szCs w:val="24"/>
        </w:rPr>
        <w:t>浓度的监测</w:t>
      </w:r>
    </w:p>
    <w:p w14:paraId="72EC8CCE">
      <w:pPr>
        <w:adjustRightInd w:val="0"/>
        <w:snapToGrid w:val="0"/>
        <w:spacing w:line="360" w:lineRule="auto"/>
        <w:ind w:firstLine="480" w:firstLineChars="200"/>
        <w:rPr>
          <w:rFonts w:hint="eastAsia" w:ascii="宋体" w:hAnsi="宋体" w:eastAsia="宋体" w:cs="宋体"/>
          <w:b/>
          <w:bCs/>
          <w:color w:val="000000"/>
          <w:kern w:val="0"/>
          <w:sz w:val="24"/>
          <w:szCs w:val="24"/>
        </w:rPr>
      </w:pPr>
      <w:r>
        <w:rPr>
          <w:rFonts w:hint="eastAsia" w:ascii="宋体" w:hAnsi="宋体" w:eastAsia="宋体"/>
          <w:sz w:val="24"/>
          <w:szCs w:val="24"/>
        </w:rPr>
        <w:t>（2）测量范围：0～10mg/m</w:t>
      </w:r>
      <w:r>
        <w:rPr>
          <w:rFonts w:hint="eastAsia" w:ascii="宋体" w:hAnsi="宋体" w:eastAsia="宋体"/>
          <w:sz w:val="24"/>
          <w:szCs w:val="24"/>
          <w:vertAlign w:val="superscript"/>
        </w:rPr>
        <w:t>3</w:t>
      </w:r>
      <w:r>
        <w:rPr>
          <w:rFonts w:hint="eastAsia" w:ascii="宋体" w:hAnsi="宋体" w:eastAsia="宋体"/>
          <w:sz w:val="24"/>
          <w:szCs w:val="24"/>
        </w:rPr>
        <w:t>量程可调</w:t>
      </w:r>
    </w:p>
    <w:p w14:paraId="38D7E20E">
      <w:pPr>
        <w:adjustRightInd w:val="0"/>
        <w:snapToGrid w:val="0"/>
        <w:spacing w:line="360" w:lineRule="auto"/>
        <w:ind w:firstLine="480" w:firstLineChars="200"/>
        <w:rPr>
          <w:rFonts w:hint="eastAsia" w:ascii="宋体" w:hAnsi="宋体" w:eastAsia="宋体"/>
          <w:b/>
          <w:bCs/>
          <w:sz w:val="24"/>
          <w:szCs w:val="24"/>
        </w:rPr>
      </w:pPr>
      <w:r>
        <w:rPr>
          <w:rFonts w:hint="eastAsia" w:ascii="宋体" w:hAnsi="宋体" w:eastAsia="宋体"/>
          <w:sz w:val="24"/>
          <w:szCs w:val="24"/>
        </w:rPr>
        <w:t>（3）检出限：≤1.4ug/m</w:t>
      </w:r>
      <w:r>
        <w:rPr>
          <w:rFonts w:hint="eastAsia" w:ascii="宋体" w:hAnsi="宋体" w:eastAsia="宋体"/>
          <w:sz w:val="24"/>
          <w:szCs w:val="24"/>
          <w:vertAlign w:val="superscript"/>
        </w:rPr>
        <w:t>3</w:t>
      </w:r>
      <w:r>
        <w:rPr>
          <w:rFonts w:hint="eastAsia" w:ascii="宋体" w:hAnsi="宋体" w:eastAsia="宋体"/>
          <w:sz w:val="24"/>
          <w:szCs w:val="24"/>
        </w:rPr>
        <w:t>（提供环境保护部环境监测仪器质量监督检验中心检测报告加盖制造商公章彩色扫描件）</w:t>
      </w:r>
    </w:p>
    <w:p w14:paraId="65CD404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（4）校准膜示值误差：≤±1％</w:t>
      </w:r>
    </w:p>
    <w:p w14:paraId="66DB9B24">
      <w:pPr>
        <w:adjustRightInd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sz w:val="24"/>
          <w:szCs w:val="24"/>
        </w:rPr>
        <w:t>（5）温度测量示值误差：≤±0.8℃</w:t>
      </w:r>
    </w:p>
    <w:p w14:paraId="0C03C52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（6）平行性：≤±6.4％</w:t>
      </w:r>
    </w:p>
    <w:p w14:paraId="00248C03">
      <w:pPr>
        <w:adjustRightInd w:val="0"/>
        <w:snapToGrid w:val="0"/>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▲（7）有效数据率：≥99.9%（提供环境保护部环境监测仪器质量监督检验中心检测报告加盖制造商公章彩色扫描件）</w:t>
      </w:r>
    </w:p>
    <w:p w14:paraId="5055306F">
      <w:pPr>
        <w:adjustRightInd w:val="0"/>
        <w:snapToGrid w:val="0"/>
        <w:spacing w:line="360" w:lineRule="auto"/>
        <w:ind w:firstLine="480" w:firstLineChars="200"/>
        <w:rPr>
          <w:rFonts w:hint="eastAsia" w:ascii="宋体" w:hAnsi="宋体" w:eastAsia="宋体" w:cs="宋体"/>
          <w:b/>
          <w:bCs/>
          <w:color w:val="000000"/>
          <w:kern w:val="0"/>
          <w:sz w:val="24"/>
          <w:szCs w:val="24"/>
        </w:rPr>
      </w:pPr>
      <w:r>
        <w:rPr>
          <w:rFonts w:hint="eastAsia" w:ascii="宋体" w:hAnsi="宋体" w:eastAsia="宋体"/>
          <w:sz w:val="24"/>
          <w:szCs w:val="24"/>
        </w:rPr>
        <w:t>（8）分析方法：β射线法</w:t>
      </w:r>
    </w:p>
    <w:p w14:paraId="1E449A0E">
      <w:pPr>
        <w:autoSpaceDE w:val="0"/>
        <w:autoSpaceDN w:val="0"/>
        <w:adjustRightInd w:val="0"/>
        <w:snapToGrid w:val="0"/>
        <w:spacing w:line="360" w:lineRule="auto"/>
        <w:ind w:firstLine="482" w:firstLineChars="200"/>
        <w:jc w:val="left"/>
        <w:rPr>
          <w:rFonts w:hint="eastAsia" w:ascii="宋体" w:hAnsi="宋体" w:eastAsia="宋体" w:cs="宋体"/>
          <w:b/>
          <w:bCs/>
          <w:color w:val="000000"/>
          <w:kern w:val="0"/>
          <w:sz w:val="24"/>
          <w:szCs w:val="24"/>
        </w:rPr>
      </w:pPr>
      <w:r>
        <w:rPr>
          <w:rStyle w:val="33"/>
          <w:rFonts w:hint="default" w:ascii="宋体" w:hAnsi="宋体" w:eastAsia="宋体"/>
          <w:b/>
          <w:bCs/>
        </w:rPr>
        <w:t>6</w:t>
      </w:r>
      <w:r>
        <w:rPr>
          <w:rFonts w:hint="eastAsia" w:ascii="宋体" w:hAnsi="宋体" w:eastAsia="宋体"/>
          <w:b/>
          <w:bCs/>
          <w:sz w:val="24"/>
          <w:szCs w:val="24"/>
          <w:lang w:val="zh-CN"/>
        </w:rPr>
        <w:t>、</w:t>
      </w:r>
      <w:r>
        <w:rPr>
          <w:rFonts w:hint="eastAsia" w:ascii="宋体" w:hAnsi="宋体" w:eastAsia="宋体" w:cs="宋体"/>
          <w:b/>
          <w:bCs/>
          <w:color w:val="000000"/>
          <w:kern w:val="0"/>
          <w:sz w:val="24"/>
          <w:szCs w:val="24"/>
        </w:rPr>
        <w:t>BETA射线法颗粒物(PM</w:t>
      </w:r>
      <w:r>
        <w:rPr>
          <w:rFonts w:ascii="宋体" w:hAnsi="宋体" w:eastAsia="宋体" w:cs="宋体"/>
          <w:b/>
          <w:bCs/>
          <w:color w:val="000000"/>
          <w:kern w:val="0"/>
          <w:sz w:val="24"/>
          <w:szCs w:val="24"/>
          <w:vertAlign w:val="subscript"/>
        </w:rPr>
        <w:t>2.5</w:t>
      </w:r>
      <w:r>
        <w:rPr>
          <w:rFonts w:hint="eastAsia" w:ascii="宋体" w:hAnsi="宋体" w:eastAsia="宋体" w:cs="宋体"/>
          <w:b/>
          <w:bCs/>
          <w:color w:val="000000"/>
          <w:kern w:val="0"/>
          <w:sz w:val="24"/>
          <w:szCs w:val="24"/>
        </w:rPr>
        <w:t>)分析仪</w:t>
      </w:r>
    </w:p>
    <w:p w14:paraId="21811A88">
      <w:pPr>
        <w:adjustRightInd w:val="0"/>
        <w:snapToGrid w:val="0"/>
        <w:spacing w:line="360" w:lineRule="auto"/>
        <w:ind w:firstLine="480" w:firstLineChars="200"/>
        <w:rPr>
          <w:rFonts w:hint="eastAsia" w:ascii="宋体" w:hAnsi="宋体" w:eastAsia="宋体" w:cs="宋体"/>
          <w:b/>
          <w:bCs/>
          <w:color w:val="000000"/>
          <w:kern w:val="0"/>
          <w:sz w:val="24"/>
          <w:szCs w:val="24"/>
        </w:rPr>
      </w:pPr>
      <w:r>
        <w:rPr>
          <w:rFonts w:hint="eastAsia" w:ascii="宋体" w:hAnsi="宋体" w:eastAsia="宋体"/>
          <w:sz w:val="24"/>
          <w:szCs w:val="24"/>
        </w:rPr>
        <w:t>（1）设备用途：用于环境空气中PM</w:t>
      </w:r>
      <w:r>
        <w:rPr>
          <w:rFonts w:hint="eastAsia" w:ascii="宋体" w:hAnsi="宋体" w:eastAsia="宋体"/>
          <w:sz w:val="24"/>
          <w:szCs w:val="24"/>
          <w:vertAlign w:val="subscript"/>
        </w:rPr>
        <w:t>2.5</w:t>
      </w:r>
      <w:r>
        <w:rPr>
          <w:rFonts w:hint="eastAsia" w:ascii="宋体" w:hAnsi="宋体" w:eastAsia="宋体"/>
          <w:sz w:val="24"/>
          <w:szCs w:val="24"/>
        </w:rPr>
        <w:t>浓度的监测</w:t>
      </w:r>
    </w:p>
    <w:p w14:paraId="70E39A5C">
      <w:pPr>
        <w:adjustRightInd w:val="0"/>
        <w:snapToGrid w:val="0"/>
        <w:spacing w:line="360" w:lineRule="auto"/>
        <w:ind w:firstLine="480" w:firstLineChars="200"/>
        <w:rPr>
          <w:rFonts w:hint="eastAsia" w:ascii="宋体" w:hAnsi="宋体" w:eastAsia="宋体" w:cs="宋体"/>
          <w:b/>
          <w:bCs/>
          <w:color w:val="000000"/>
          <w:kern w:val="0"/>
          <w:sz w:val="24"/>
          <w:szCs w:val="24"/>
        </w:rPr>
      </w:pPr>
      <w:r>
        <w:rPr>
          <w:rFonts w:hint="eastAsia" w:ascii="宋体" w:hAnsi="宋体" w:eastAsia="宋体"/>
          <w:sz w:val="24"/>
          <w:szCs w:val="24"/>
        </w:rPr>
        <w:t>（2）测量范围：0～10mg/m</w:t>
      </w:r>
      <w:r>
        <w:rPr>
          <w:rFonts w:hint="eastAsia" w:ascii="宋体" w:hAnsi="宋体" w:eastAsia="宋体"/>
          <w:sz w:val="24"/>
          <w:szCs w:val="24"/>
          <w:vertAlign w:val="superscript"/>
        </w:rPr>
        <w:t>3</w:t>
      </w:r>
      <w:r>
        <w:rPr>
          <w:rFonts w:hint="eastAsia" w:ascii="宋体" w:hAnsi="宋体" w:eastAsia="宋体"/>
          <w:sz w:val="24"/>
          <w:szCs w:val="24"/>
        </w:rPr>
        <w:t>量程可调</w:t>
      </w:r>
    </w:p>
    <w:p w14:paraId="66A5BC26">
      <w:pPr>
        <w:adjustRightInd w:val="0"/>
        <w:snapToGrid w:val="0"/>
        <w:spacing w:line="360" w:lineRule="auto"/>
        <w:ind w:firstLine="480" w:firstLineChars="200"/>
        <w:rPr>
          <w:rFonts w:hint="eastAsia" w:ascii="宋体" w:hAnsi="宋体" w:eastAsia="宋体"/>
          <w:b/>
          <w:bCs/>
          <w:sz w:val="24"/>
          <w:szCs w:val="24"/>
        </w:rPr>
      </w:pPr>
      <w:r>
        <w:rPr>
          <w:rFonts w:hint="eastAsia" w:ascii="宋体" w:hAnsi="宋体" w:eastAsia="宋体"/>
          <w:sz w:val="24"/>
          <w:szCs w:val="24"/>
        </w:rPr>
        <w:t>（3）检出限：≤1.4ug/m</w:t>
      </w:r>
      <w:r>
        <w:rPr>
          <w:rFonts w:hint="eastAsia" w:ascii="宋体" w:hAnsi="宋体" w:eastAsia="宋体"/>
          <w:sz w:val="24"/>
          <w:szCs w:val="24"/>
          <w:vertAlign w:val="superscript"/>
        </w:rPr>
        <w:t>3</w:t>
      </w:r>
    </w:p>
    <w:p w14:paraId="7F2FDA0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（4）校准膜示值误差：≤±1％</w:t>
      </w:r>
    </w:p>
    <w:p w14:paraId="69CCA279">
      <w:pPr>
        <w:adjustRightInd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sz w:val="24"/>
          <w:szCs w:val="24"/>
        </w:rPr>
        <w:t>（5）温度测量示值误差：≤±0.8℃</w:t>
      </w:r>
    </w:p>
    <w:p w14:paraId="6A81EB1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（6）平行性：≤±11％</w:t>
      </w:r>
    </w:p>
    <w:p w14:paraId="1524200E">
      <w:pPr>
        <w:adjustRightInd w:val="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▲（7）有效数据率：≥99.2%</w:t>
      </w:r>
      <w:bookmarkStart w:id="7" w:name="OLE_LINK3"/>
      <w:r>
        <w:rPr>
          <w:rFonts w:hint="eastAsia" w:ascii="宋体" w:hAnsi="宋体" w:eastAsia="宋体"/>
          <w:b/>
          <w:bCs/>
          <w:sz w:val="24"/>
          <w:szCs w:val="24"/>
        </w:rPr>
        <w:t>（提供环境保护部环境监测仪器质量监督检验中心检测报告加盖制造商公章彩色扫描件）</w:t>
      </w:r>
      <w:bookmarkEnd w:id="7"/>
    </w:p>
    <w:p w14:paraId="368D9D8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（8）分析方法：β射线法</w:t>
      </w:r>
      <w:r>
        <w:rPr>
          <w:rFonts w:hint="eastAsia" w:ascii="宋体" w:hAnsi="宋体" w:eastAsia="宋体" w:cs="仿宋"/>
          <w:color w:val="000000"/>
          <w:sz w:val="24"/>
          <w:szCs w:val="24"/>
        </w:rPr>
        <w:t xml:space="preserve"> </w:t>
      </w:r>
    </w:p>
    <w:p w14:paraId="1D29A48A">
      <w:pPr>
        <w:adjustRightInd w:val="0"/>
        <w:snapToGrid w:val="0"/>
        <w:spacing w:line="360" w:lineRule="auto"/>
        <w:ind w:firstLine="482" w:firstLineChars="200"/>
        <w:rPr>
          <w:rFonts w:hint="eastAsia" w:ascii="宋体" w:hAnsi="宋体" w:eastAsia="宋体" w:cs="仿宋"/>
          <w:b/>
          <w:bCs/>
          <w:color w:val="000000"/>
          <w:sz w:val="24"/>
          <w:szCs w:val="24"/>
        </w:rPr>
      </w:pPr>
      <w:r>
        <w:rPr>
          <w:rFonts w:hint="eastAsia" w:ascii="宋体" w:hAnsi="宋体" w:eastAsia="宋体" w:cs="仿宋"/>
          <w:b/>
          <w:bCs/>
          <w:color w:val="000000"/>
          <w:sz w:val="24"/>
          <w:szCs w:val="24"/>
        </w:rPr>
        <w:t>7、新建站房</w:t>
      </w:r>
      <w:r>
        <w:rPr>
          <w:rFonts w:hint="eastAsia" w:ascii="宋体" w:hAnsi="宋体" w:eastAsia="宋体"/>
          <w:b/>
          <w:bCs/>
          <w:sz w:val="24"/>
          <w:szCs w:val="24"/>
        </w:rPr>
        <w:t>及辅助配套设施</w:t>
      </w:r>
    </w:p>
    <w:p w14:paraId="6189BAC8">
      <w:pPr>
        <w:adjustRightInd w:val="0"/>
        <w:snapToGrid w:val="0"/>
        <w:spacing w:line="360" w:lineRule="auto"/>
        <w:ind w:firstLine="480" w:firstLineChars="200"/>
        <w:rPr>
          <w:rFonts w:hint="eastAsia" w:ascii="宋体" w:hAnsi="宋体" w:eastAsia="宋体" w:cs="仿宋"/>
          <w:b/>
          <w:bCs/>
          <w:color w:val="000000"/>
          <w:sz w:val="24"/>
          <w:szCs w:val="24"/>
        </w:rPr>
      </w:pPr>
      <w:r>
        <w:rPr>
          <w:rFonts w:hint="eastAsia" w:ascii="宋体" w:hAnsi="宋体" w:eastAsia="宋体" w:cs="仿宋_GB2312"/>
          <w:sz w:val="24"/>
          <w:szCs w:val="24"/>
        </w:rPr>
        <w:t>站房建设和内部设计应满足《环境空气气态污染物（</w:t>
      </w:r>
      <w:r>
        <w:rPr>
          <w:rFonts w:ascii="宋体" w:hAnsi="宋体" w:eastAsia="宋体" w:cs="仿宋_GB2312"/>
          <w:sz w:val="24"/>
          <w:szCs w:val="24"/>
        </w:rPr>
        <w:t>SO</w:t>
      </w:r>
      <w:r>
        <w:rPr>
          <w:rFonts w:ascii="宋体" w:hAnsi="宋体" w:eastAsia="宋体" w:cs="仿宋_GB2312"/>
          <w:sz w:val="24"/>
          <w:szCs w:val="24"/>
          <w:vertAlign w:val="subscript"/>
        </w:rPr>
        <w:t>2</w:t>
      </w:r>
      <w:r>
        <w:rPr>
          <w:rFonts w:hint="eastAsia" w:ascii="宋体" w:hAnsi="宋体" w:eastAsia="宋体" w:cs="仿宋_GB2312"/>
          <w:sz w:val="24"/>
          <w:szCs w:val="24"/>
        </w:rPr>
        <w:t>、</w:t>
      </w:r>
      <w:r>
        <w:rPr>
          <w:rFonts w:ascii="宋体" w:hAnsi="宋体" w:eastAsia="宋体" w:cs="仿宋_GB2312"/>
          <w:sz w:val="24"/>
          <w:szCs w:val="24"/>
        </w:rPr>
        <w:t>NO</w:t>
      </w:r>
      <w:r>
        <w:rPr>
          <w:rFonts w:ascii="宋体" w:hAnsi="宋体" w:eastAsia="宋体" w:cs="仿宋_GB2312"/>
          <w:sz w:val="24"/>
          <w:szCs w:val="24"/>
          <w:vertAlign w:val="subscript"/>
        </w:rPr>
        <w:t>2</w:t>
      </w:r>
      <w:r>
        <w:rPr>
          <w:rFonts w:hint="eastAsia" w:ascii="宋体" w:hAnsi="宋体" w:eastAsia="宋体" w:cs="仿宋_GB2312"/>
          <w:sz w:val="24"/>
          <w:szCs w:val="24"/>
        </w:rPr>
        <w:t>、</w:t>
      </w:r>
      <w:r>
        <w:rPr>
          <w:rFonts w:ascii="宋体" w:hAnsi="宋体" w:eastAsia="宋体" w:cs="仿宋_GB2312"/>
          <w:sz w:val="24"/>
          <w:szCs w:val="24"/>
        </w:rPr>
        <w:t>O</w:t>
      </w:r>
      <w:r>
        <w:rPr>
          <w:rFonts w:ascii="宋体" w:hAnsi="宋体" w:eastAsia="宋体" w:cs="仿宋_GB2312"/>
          <w:sz w:val="24"/>
          <w:szCs w:val="24"/>
          <w:vertAlign w:val="subscript"/>
        </w:rPr>
        <w:t>3</w:t>
      </w:r>
      <w:r>
        <w:rPr>
          <w:rFonts w:hint="eastAsia" w:ascii="宋体" w:hAnsi="宋体" w:eastAsia="宋体" w:cs="仿宋_GB2312"/>
          <w:sz w:val="24"/>
          <w:szCs w:val="24"/>
        </w:rPr>
        <w:t>、</w:t>
      </w:r>
      <w:r>
        <w:rPr>
          <w:rFonts w:ascii="宋体" w:hAnsi="宋体" w:eastAsia="宋体" w:cs="仿宋_GB2312"/>
          <w:sz w:val="24"/>
          <w:szCs w:val="24"/>
        </w:rPr>
        <w:t>CO</w:t>
      </w:r>
      <w:r>
        <w:rPr>
          <w:rFonts w:hint="eastAsia" w:ascii="宋体" w:hAnsi="宋体" w:eastAsia="宋体" w:cs="仿宋_GB2312"/>
          <w:sz w:val="24"/>
          <w:szCs w:val="24"/>
        </w:rPr>
        <w:t>）连续自动监测系统安装验收技术规范》（</w:t>
      </w:r>
      <w:r>
        <w:rPr>
          <w:rFonts w:ascii="宋体" w:hAnsi="宋体" w:eastAsia="宋体" w:cs="仿宋_GB2312"/>
          <w:sz w:val="24"/>
          <w:szCs w:val="24"/>
        </w:rPr>
        <w:t>HJ193-2013</w:t>
      </w:r>
      <w:r>
        <w:rPr>
          <w:rFonts w:hint="eastAsia" w:ascii="宋体" w:hAnsi="宋体" w:eastAsia="宋体" w:cs="仿宋_GB2312"/>
          <w:sz w:val="24"/>
          <w:szCs w:val="24"/>
        </w:rPr>
        <w:t>）中对站房部分的要求。</w:t>
      </w:r>
    </w:p>
    <w:p w14:paraId="1929F016">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（1）站房室内使用面积应不小于15m</w:t>
      </w:r>
      <w:r>
        <w:rPr>
          <w:rFonts w:hint="eastAsia" w:ascii="宋体" w:hAnsi="宋体" w:eastAsia="宋体"/>
          <w:sz w:val="24"/>
          <w:vertAlign w:val="superscript"/>
        </w:rPr>
        <w:t>2</w:t>
      </w:r>
      <w:r>
        <w:rPr>
          <w:rFonts w:hint="eastAsia" w:ascii="宋体" w:hAnsi="宋体" w:eastAsia="宋体"/>
          <w:sz w:val="24"/>
        </w:rPr>
        <w:t>，站房高度应在2.5m-3.2m，内设有缓冲间，监测站房应做到专室专用。</w:t>
      </w:r>
    </w:p>
    <w:p w14:paraId="78EC4E43">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2）站房底部要求：钢梁框架，室内地面为木地板，站房底层与地面（或房顶）间有250mm以上的防水、防潮、保温层。站房底部密封采用四层结构，底层为链锌钢板，中间两层分别为防水油钻和优质细木贬，上层为复合木地板或者防静电地板。</w:t>
      </w:r>
    </w:p>
    <w:p w14:paraId="1C834B1D">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（3）站房房顶承重：&gt;250kg/m</w:t>
      </w:r>
      <w:r>
        <w:rPr>
          <w:rFonts w:hint="eastAsia" w:ascii="宋体" w:hAnsi="宋体" w:eastAsia="宋体"/>
          <w:sz w:val="24"/>
          <w:vertAlign w:val="superscript"/>
        </w:rPr>
        <w:t>2</w:t>
      </w:r>
      <w:r>
        <w:rPr>
          <w:rFonts w:hint="eastAsia" w:ascii="宋体" w:hAnsi="宋体" w:eastAsia="宋体"/>
          <w:sz w:val="24"/>
        </w:rPr>
        <w:t>；</w:t>
      </w:r>
    </w:p>
    <w:p w14:paraId="73E56B3A">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4）子站站房除采取防雨、防虫、防尘和防渗漏措施为，还应采取防雷电、防电磁干扰的措施。要求气象杆、塔和站房安装避雷针和可靠的避雷措施，并且要有良好的接地线，且接地电阻≤4Ω，防雷接地装置的选材和安装参照YD5098的相关要求。</w:t>
      </w:r>
    </w:p>
    <w:p w14:paraId="434F8C27">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（5）站房为无窗结构，墙体材料有较好的保温性能。</w:t>
      </w:r>
    </w:p>
    <w:p w14:paraId="5DC08637">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（6）子站站房呈封闭式，并确保防尘、防水、防鼠、防虫。</w:t>
      </w:r>
    </w:p>
    <w:p w14:paraId="3DE9C1D9">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7）子站站房顶部采用平顶倾斜方式,坡度不大于10°，便于排水；房顶选择的材质应考虑人员在其上活动所可能引起的受力变形而导致的漏水问题；屋顶安装围栏，站房外壁不得有攀爬物，房顶四周有高度1.2m的金属材料护栏，留有0.7m宽的攀登口。</w:t>
      </w:r>
    </w:p>
    <w:p w14:paraId="4BBE81D1">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（8）站房外围建“之”字型楼梯。</w:t>
      </w:r>
    </w:p>
    <w:p w14:paraId="6686FC8D">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（9）配电要求：</w:t>
      </w:r>
    </w:p>
    <w:p w14:paraId="63938DF4">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1）为了防止电噪声的相互干扰，站房采用三相五线供电分相使用，电源连接入室处应分别装有三个单相32A空气开关作为三相电源的总开关并安装电源过压、过载和漏电自动保护装置。三相电源分配如下：</w:t>
      </w:r>
    </w:p>
    <w:p w14:paraId="2EB9B696">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A 相配接UPS电源，UPS电源输出端接5孔220V/10A电源插座2个，备仪器使用。</w:t>
      </w:r>
    </w:p>
    <w:p w14:paraId="259E7661">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B 相配接非稳压电源，接5孔220V/10A电源插座2个，供仪器外置泵和采样风机使用。</w:t>
      </w:r>
    </w:p>
    <w:p w14:paraId="4B303191">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C 相用于空调、照明和百叶窗排风扇等，空调机采用空调专用220V/16A 电源插座，（预先设计好空调安装位置)，另外再接5孔220V/10A电源插座2个用于仪器安装施工及维修。</w:t>
      </w:r>
    </w:p>
    <w:p w14:paraId="12EA68B6">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以上所述，共需要5孔220V/10A电源插座6个，3孔220V/16A空调专用电源插座1-2个，室内照明灯管2-3根，室外门口照明1个，灯开关2个，百叶窗排气扇1个。要求电源电压波动不能超过AC(220±22）V，频率波动不超过（50±1）HZ。</w:t>
      </w:r>
    </w:p>
    <w:p w14:paraId="45BFCA36">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2）站房内供仪器及空调使用的线路要求用单股硬铜线，截面积不得小于4mm</w:t>
      </w:r>
      <w:r>
        <w:rPr>
          <w:rFonts w:hint="eastAsia" w:ascii="宋体" w:hAnsi="宋体" w:eastAsia="宋体"/>
          <w:sz w:val="24"/>
          <w:vertAlign w:val="superscript"/>
        </w:rPr>
        <w:t>2</w:t>
      </w:r>
      <w:r>
        <w:rPr>
          <w:rFonts w:hint="eastAsia" w:ascii="宋体" w:hAnsi="宋体" w:eastAsia="宋体"/>
          <w:sz w:val="24"/>
        </w:rPr>
        <w:t>，且所有室内走线采用PVC材料护线槽保护。</w:t>
      </w:r>
    </w:p>
    <w:p w14:paraId="69BD4704">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3）子站依照电工规范中的要求制作保护地线系统，用于机柜、仪器外壳的接地保护，且接地电阻≤4Ω。地线连接在配电箱和电源插座内，保证每台仪器和空调都能良好接地。</w:t>
      </w:r>
    </w:p>
    <w:p w14:paraId="1D5A56A5">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4）子站照明灯具位置在仪器柜的前后分别安装一盏，（一般为40W日光灯2-3盏）以保证工作人员操作及维修时有足够的亮度，照明灯开关位置在站房进门使用方便处。</w:t>
      </w:r>
    </w:p>
    <w:p w14:paraId="2DBACAE3">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（10）避雷要求：</w:t>
      </w:r>
    </w:p>
    <w:p w14:paraId="72064339">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1）子站站房及其设备要有避雷设施，其接地电阻应小于4Ω。</w:t>
      </w:r>
    </w:p>
    <w:p w14:paraId="754DDCF6">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2）避雷设施具有经过相关资质单位检测的报告。</w:t>
      </w:r>
    </w:p>
    <w:p w14:paraId="4722C1ED">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3）防雷系统包括气象杆、自动设备采样头、手工采样装置等高出房顶的设施。</w:t>
      </w:r>
    </w:p>
    <w:p w14:paraId="1B7684FB">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4）要有网络和电源要防雷设施。</w:t>
      </w:r>
    </w:p>
    <w:p w14:paraId="2CD84988">
      <w:pPr>
        <w:adjustRightInd w:val="0"/>
        <w:snapToGrid w:val="0"/>
        <w:spacing w:line="360" w:lineRule="auto"/>
        <w:ind w:firstLine="480" w:firstLineChars="200"/>
        <w:rPr>
          <w:rFonts w:hint="eastAsia" w:ascii="宋体" w:hAnsi="宋体"/>
          <w:sz w:val="24"/>
        </w:rPr>
      </w:pPr>
      <w:r>
        <w:rPr>
          <w:rFonts w:hint="eastAsia" w:ascii="宋体" w:hAnsi="宋体" w:eastAsia="宋体"/>
          <w:sz w:val="24"/>
        </w:rPr>
        <w:t>（11）站房采用悬挂贮压式自动消防装置。</w:t>
      </w:r>
    </w:p>
    <w:p w14:paraId="72DCE2BC">
      <w:pPr>
        <w:pStyle w:val="28"/>
        <w:adjustRightInd w:val="0"/>
        <w:snapToGrid w:val="0"/>
        <w:spacing w:line="360" w:lineRule="auto"/>
        <w:ind w:firstLine="482" w:firstLineChars="200"/>
        <w:rPr>
          <w:rFonts w:hint="eastAsia" w:ascii="宋体" w:hAnsi="宋体" w:cs="宋体"/>
          <w:b/>
          <w:bCs/>
          <w:kern w:val="0"/>
          <w:sz w:val="24"/>
          <w:szCs w:val="24"/>
        </w:rPr>
      </w:pPr>
      <w:r>
        <w:rPr>
          <w:rFonts w:hint="eastAsia" w:ascii="宋体" w:hAnsi="宋体" w:cs="仿宋"/>
          <w:b/>
          <w:bCs/>
          <w:color w:val="000000"/>
          <w:sz w:val="24"/>
          <w:szCs w:val="24"/>
        </w:rPr>
        <w:t>13、</w:t>
      </w:r>
      <w:r>
        <w:rPr>
          <w:rFonts w:hint="eastAsia" w:ascii="宋体" w:hAnsi="宋体" w:cs="宋体"/>
          <w:b/>
          <w:bCs/>
          <w:kern w:val="0"/>
          <w:sz w:val="24"/>
          <w:szCs w:val="24"/>
        </w:rPr>
        <w:t>站房改造</w:t>
      </w:r>
      <w:r>
        <w:rPr>
          <w:rFonts w:hint="eastAsia" w:ascii="宋体" w:hAnsi="宋体"/>
          <w:b/>
          <w:bCs/>
          <w:sz w:val="24"/>
          <w:szCs w:val="24"/>
        </w:rPr>
        <w:t>及辅助配套设施</w:t>
      </w:r>
    </w:p>
    <w:p w14:paraId="7749E58C">
      <w:pPr>
        <w:pStyle w:val="28"/>
        <w:adjustRightInd w:val="0"/>
        <w:snapToGrid w:val="0"/>
        <w:spacing w:line="360" w:lineRule="auto"/>
        <w:ind w:firstLine="480" w:firstLineChars="200"/>
        <w:rPr>
          <w:rFonts w:hint="eastAsia" w:ascii="宋体" w:hAnsi="宋体" w:cs="仿宋"/>
          <w:color w:val="000000"/>
          <w:sz w:val="24"/>
          <w:szCs w:val="24"/>
        </w:rPr>
      </w:pPr>
      <w:r>
        <w:rPr>
          <w:rFonts w:ascii="宋体" w:hAnsi="宋体" w:cs="仿宋"/>
          <w:color w:val="000000"/>
          <w:sz w:val="24"/>
          <w:szCs w:val="24"/>
        </w:rPr>
        <w:t>对</w:t>
      </w:r>
      <w:r>
        <w:rPr>
          <w:rFonts w:hint="eastAsia" w:ascii="宋体" w:hAnsi="宋体" w:cs="仿宋"/>
          <w:color w:val="000000"/>
          <w:sz w:val="24"/>
          <w:szCs w:val="24"/>
        </w:rPr>
        <w:t>现有站房进行改造，</w:t>
      </w:r>
      <w:r>
        <w:rPr>
          <w:rFonts w:hint="eastAsia" w:ascii="宋体" w:hAnsi="宋体" w:cs="仿宋_GB2312"/>
          <w:sz w:val="24"/>
          <w:szCs w:val="24"/>
        </w:rPr>
        <w:t>站房的改造视条件参照新建站房的要求执行，</w:t>
      </w:r>
      <w:r>
        <w:rPr>
          <w:rFonts w:hint="eastAsia" w:ascii="宋体" w:hAnsi="宋体" w:cs="仿宋"/>
          <w:color w:val="000000"/>
          <w:sz w:val="24"/>
          <w:szCs w:val="24"/>
        </w:rPr>
        <w:t>使之满足《环境空气气态污染物(SO</w:t>
      </w:r>
      <w:r>
        <w:rPr>
          <w:rFonts w:hint="eastAsia" w:ascii="宋体" w:hAnsi="宋体" w:cs="仿宋"/>
          <w:color w:val="000000"/>
          <w:sz w:val="24"/>
          <w:szCs w:val="24"/>
          <w:vertAlign w:val="subscript"/>
        </w:rPr>
        <w:t>2</w:t>
      </w:r>
      <w:r>
        <w:rPr>
          <w:rFonts w:hint="eastAsia" w:ascii="宋体" w:hAnsi="宋体" w:cs="仿宋"/>
          <w:color w:val="000000"/>
          <w:sz w:val="24"/>
          <w:szCs w:val="24"/>
        </w:rPr>
        <w:t>、NO</w:t>
      </w:r>
      <w:r>
        <w:rPr>
          <w:rFonts w:hint="eastAsia" w:ascii="宋体" w:hAnsi="宋体" w:cs="仿宋"/>
          <w:color w:val="000000"/>
          <w:sz w:val="24"/>
          <w:szCs w:val="24"/>
          <w:vertAlign w:val="subscript"/>
        </w:rPr>
        <w:t>2</w:t>
      </w:r>
      <w:r>
        <w:rPr>
          <w:rFonts w:hint="eastAsia" w:ascii="宋体" w:hAnsi="宋体" w:cs="仿宋"/>
          <w:color w:val="000000"/>
          <w:sz w:val="24"/>
          <w:szCs w:val="24"/>
        </w:rPr>
        <w:t>、O</w:t>
      </w:r>
      <w:r>
        <w:rPr>
          <w:rFonts w:hint="eastAsia" w:ascii="宋体" w:hAnsi="宋体" w:cs="仿宋"/>
          <w:color w:val="000000"/>
          <w:sz w:val="24"/>
          <w:szCs w:val="24"/>
          <w:vertAlign w:val="subscript"/>
        </w:rPr>
        <w:t>3</w:t>
      </w:r>
      <w:r>
        <w:rPr>
          <w:rFonts w:hint="eastAsia" w:ascii="宋体" w:hAnsi="宋体" w:cs="仿宋"/>
          <w:color w:val="000000"/>
          <w:sz w:val="24"/>
          <w:szCs w:val="24"/>
        </w:rPr>
        <w:t>、CO)连续自动监测系统安装验收技术规范》(HJ193-2013)中对站房部分的要求。</w:t>
      </w:r>
    </w:p>
    <w:p w14:paraId="5593AA82">
      <w:pPr>
        <w:pStyle w:val="28"/>
        <w:adjustRightInd w:val="0"/>
        <w:snapToGrid w:val="0"/>
        <w:spacing w:line="360" w:lineRule="auto"/>
        <w:ind w:firstLine="482" w:firstLineChars="200"/>
        <w:rPr>
          <w:rFonts w:hint="eastAsia" w:ascii="宋体" w:hAnsi="宋体" w:cs="仿宋"/>
          <w:b/>
          <w:bCs/>
          <w:color w:val="000000"/>
          <w:sz w:val="24"/>
          <w:szCs w:val="24"/>
        </w:rPr>
      </w:pPr>
      <w:r>
        <w:rPr>
          <w:rFonts w:hint="eastAsia" w:ascii="宋体" w:hAnsi="宋体" w:cs="仿宋"/>
          <w:b/>
          <w:bCs/>
          <w:color w:val="000000"/>
          <w:sz w:val="24"/>
          <w:szCs w:val="24"/>
        </w:rPr>
        <w:t>注：中标人需按采购人要求提供移动应用数据查询APP。</w:t>
      </w:r>
    </w:p>
    <w:p w14:paraId="4F9F3F5B">
      <w:pPr>
        <w:pStyle w:val="28"/>
        <w:adjustRightInd w:val="0"/>
        <w:snapToGrid w:val="0"/>
        <w:spacing w:line="360" w:lineRule="auto"/>
        <w:ind w:firstLine="482" w:firstLineChars="200"/>
        <w:rPr>
          <w:rFonts w:hint="eastAsia" w:ascii="宋体" w:hAnsi="宋体" w:cs="仿宋"/>
          <w:b/>
          <w:bCs/>
          <w:color w:val="000000"/>
          <w:sz w:val="24"/>
          <w:szCs w:val="24"/>
        </w:rPr>
      </w:pPr>
      <w:r>
        <w:rPr>
          <w:rFonts w:hint="eastAsia" w:ascii="宋体" w:hAnsi="宋体" w:cs="宋体"/>
          <w:b/>
          <w:bCs/>
          <w:kern w:val="0"/>
          <w:sz w:val="24"/>
          <w:szCs w:val="24"/>
        </w:rPr>
        <w:t>五、道路积尘负荷走航</w:t>
      </w:r>
    </w:p>
    <w:p w14:paraId="45F4C199">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sz w:val="24"/>
          <w:szCs w:val="24"/>
        </w:rPr>
        <w:t>每站每月进行道路积尘符合走航监测服务一次，</w:t>
      </w:r>
      <w:r>
        <w:rPr>
          <w:rFonts w:ascii="宋体" w:hAnsi="宋体" w:eastAsia="宋体"/>
          <w:sz w:val="24"/>
          <w:szCs w:val="24"/>
        </w:rPr>
        <w:t>用车辆搭载道路积尘检测系统，监测车辆行驶过程中激发的道路扬尘数据</w:t>
      </w:r>
      <w:r>
        <w:rPr>
          <w:rFonts w:hint="eastAsia" w:ascii="宋体" w:hAnsi="宋体" w:eastAsia="宋体"/>
          <w:sz w:val="24"/>
          <w:szCs w:val="24"/>
        </w:rPr>
        <w:t>，为县内各路段进行潜在扬尘排名统计，输出各路段积尘数据及排名，为环卫所的道路清洁工作提供数据支撑，进而提高空气质量。</w:t>
      </w:r>
    </w:p>
    <w:p w14:paraId="37473270">
      <w:pPr>
        <w:adjustRightInd w:val="0"/>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六、乡镇点高值溯源</w:t>
      </w:r>
    </w:p>
    <w:p w14:paraId="38195837">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通过六参数+TVOC走航，检测各乡镇站周边环境，溯源高值点位。</w:t>
      </w:r>
    </w:p>
    <w:p w14:paraId="4F56B780">
      <w:pPr>
        <w:adjustRightInd w:val="0"/>
        <w:snapToGrid w:val="0"/>
        <w:spacing w:line="360" w:lineRule="auto"/>
        <w:ind w:firstLine="482" w:firstLineChars="200"/>
        <w:rPr>
          <w:rFonts w:hint="eastAsia" w:ascii="宋体" w:hAnsi="宋体" w:eastAsia="宋体" w:cs="宋体"/>
          <w:b/>
          <w:bCs/>
          <w:kern w:val="0"/>
          <w:sz w:val="24"/>
          <w:szCs w:val="24"/>
        </w:rPr>
      </w:pPr>
      <w:r>
        <w:rPr>
          <w:rFonts w:hint="eastAsia" w:ascii="宋体" w:hAnsi="宋体" w:eastAsia="宋体"/>
          <w:b/>
          <w:bCs/>
          <w:sz w:val="24"/>
          <w:szCs w:val="24"/>
        </w:rPr>
        <w:t>七、运维服务</w:t>
      </w:r>
    </w:p>
    <w:p w14:paraId="2885F6B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1、日常巡检及维护</w:t>
      </w:r>
    </w:p>
    <w:p w14:paraId="7296B3D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保持站房内部环境清洁，布置整齐，各仪器设备干净清洁，设备标识清楚。</w:t>
      </w:r>
      <w:bookmarkStart w:id="8" w:name="（2）检查供电、电话通讯的情况，保证系统的正常运行。"/>
      <w:bookmarkEnd w:id="8"/>
    </w:p>
    <w:p w14:paraId="76C7430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检查供电、电话通讯的情况，保证系统的正常运行。 </w:t>
      </w:r>
    </w:p>
    <w:p w14:paraId="407AEFB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pacing w:val="-4"/>
          <w:sz w:val="24"/>
          <w:szCs w:val="24"/>
        </w:rPr>
        <w:t>3）</w:t>
      </w:r>
      <w:r>
        <w:rPr>
          <w:rFonts w:ascii="宋体" w:hAnsi="宋体" w:eastAsia="宋体"/>
          <w:spacing w:val="-4"/>
          <w:sz w:val="24"/>
          <w:szCs w:val="24"/>
        </w:rPr>
        <w:t>保证空调正常工作，仪器运行温度保持在</w:t>
      </w:r>
      <w:r>
        <w:rPr>
          <w:rFonts w:ascii="宋体" w:hAnsi="宋体" w:eastAsia="宋体"/>
          <w:sz w:val="24"/>
          <w:szCs w:val="24"/>
        </w:rPr>
        <w:t>25℃</w:t>
      </w:r>
      <w:r>
        <w:rPr>
          <w:rFonts w:ascii="宋体" w:hAnsi="宋体" w:eastAsia="宋体"/>
          <w:spacing w:val="-6"/>
          <w:sz w:val="24"/>
          <w:szCs w:val="24"/>
        </w:rPr>
        <w:t>左右，湿度保持在</w:t>
      </w:r>
      <w:r>
        <w:rPr>
          <w:rFonts w:ascii="宋体" w:hAnsi="宋体" w:eastAsia="宋体"/>
          <w:spacing w:val="-3"/>
          <w:sz w:val="24"/>
          <w:szCs w:val="24"/>
        </w:rPr>
        <w:t>80%RH</w:t>
      </w:r>
      <w:r>
        <w:rPr>
          <w:rFonts w:ascii="宋体" w:hAnsi="宋体" w:eastAsia="宋体"/>
          <w:sz w:val="24"/>
          <w:szCs w:val="24"/>
        </w:rPr>
        <w:t>以下，空调的过滤网每月至少清洗1次，在冬、夏季节应注意站房室内外温差，及时调节站房内控制温度或对采样总管采取适当的控制措施，防止出现冷凝现象。</w:t>
      </w:r>
    </w:p>
    <w:p w14:paraId="530D75B0">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专人负责，设备固定牢固，门窗关闭良好，人走关门。</w:t>
      </w:r>
    </w:p>
    <w:p w14:paraId="3D808FC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定期检查消防和安全设施。</w:t>
      </w:r>
    </w:p>
    <w:p w14:paraId="1F3D933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每次维护后做好系统运行维护记录。</w:t>
      </w:r>
    </w:p>
    <w:p w14:paraId="1EC0701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（7）</w:t>
      </w:r>
      <w:r>
        <w:rPr>
          <w:rFonts w:ascii="宋体" w:hAnsi="宋体" w:eastAsia="宋体"/>
          <w:sz w:val="24"/>
          <w:szCs w:val="24"/>
        </w:rPr>
        <w:t>对于一些重要的维护项目，包括贵重消耗件的更换，需通知采购人。</w:t>
      </w:r>
    </w:p>
    <w:p w14:paraId="06A0FDD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2、每周工作</w:t>
      </w:r>
    </w:p>
    <w:p w14:paraId="248DFA9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查看空气站设备是否齐备，无丢失和损坏；检查接地线路是否可靠，排风排气装置工作是否正常，标准气钢瓶阀门是否漏气，标准气的消耗情况。</w:t>
      </w:r>
    </w:p>
    <w:p w14:paraId="0EE11B9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检查采样和排气管路是否有漏气或堵塞现象，各分析仪器采样流量是否正常。</w:t>
      </w:r>
    </w:p>
    <w:p w14:paraId="70468E3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检查各分析仪器的运行状况和工作参数，判断是否正常，如有异常情况及时处理，保证仪器运行正常。</w:t>
      </w:r>
    </w:p>
    <w:p w14:paraId="29085F41">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pacing w:val="-10"/>
          <w:sz w:val="24"/>
          <w:szCs w:val="24"/>
        </w:rPr>
        <w:t>对二氧化硫、一氧化碳、臭氧、氮氧化物分析仪进行零点、跨度检查，如果</w:t>
      </w:r>
      <w:r>
        <w:rPr>
          <w:rFonts w:ascii="宋体" w:hAnsi="宋体" w:eastAsia="宋体"/>
          <w:sz w:val="24"/>
          <w:szCs w:val="24"/>
        </w:rPr>
        <w:t>漂移超过国家相关规范要求，需要进行校准。进行1</w:t>
      </w:r>
      <w:r>
        <w:rPr>
          <w:rFonts w:ascii="宋体" w:hAnsi="宋体" w:eastAsia="宋体"/>
          <w:spacing w:val="-2"/>
          <w:sz w:val="24"/>
          <w:szCs w:val="24"/>
        </w:rPr>
        <w:t>次自动和手工较零。对监测</w:t>
      </w:r>
      <w:r>
        <w:rPr>
          <w:rFonts w:ascii="宋体" w:hAnsi="宋体" w:eastAsia="宋体"/>
          <w:sz w:val="24"/>
          <w:szCs w:val="24"/>
        </w:rPr>
        <w:t>仪器的跨度进行单点标定每周至少一次。</w:t>
      </w:r>
    </w:p>
    <w:p w14:paraId="4859C9C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检查外部环境是否正常，有没有对测定结果或运行环境存在明显影响的污染源。</w:t>
      </w:r>
    </w:p>
    <w:p w14:paraId="7043A8C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pacing w:val="-8"/>
          <w:sz w:val="24"/>
          <w:szCs w:val="24"/>
        </w:rPr>
        <w:t>检查电路系统和通讯系统，保证系统供电正常，电压稳定；检查空气站的通</w:t>
      </w:r>
      <w:r>
        <w:rPr>
          <w:rFonts w:ascii="宋体" w:hAnsi="宋体" w:eastAsia="宋体"/>
          <w:sz w:val="24"/>
          <w:szCs w:val="24"/>
        </w:rPr>
        <w:t>讯系统，保证空气站与远程监控中心的连接正常，数据传输正常。</w:t>
      </w:r>
    </w:p>
    <w:p w14:paraId="51C3776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（7）</w:t>
      </w:r>
      <w:r>
        <w:rPr>
          <w:rFonts w:ascii="宋体" w:hAnsi="宋体" w:eastAsia="宋体"/>
          <w:sz w:val="24"/>
          <w:szCs w:val="24"/>
        </w:rPr>
        <w:t>检查监测仪器的采样入口与采样支路管线结合部之间安装的过滤膜的污染情况，每周更换滤膜，每周检查监测仪器散热风扇污染情况，及时清洗。</w:t>
      </w:r>
    </w:p>
    <w:p w14:paraId="3DDBEFD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（8）</w:t>
      </w:r>
      <w:r>
        <w:rPr>
          <w:rFonts w:ascii="宋体" w:hAnsi="宋体" w:eastAsia="宋体"/>
          <w:spacing w:val="-3"/>
          <w:sz w:val="24"/>
          <w:szCs w:val="24"/>
        </w:rPr>
        <w:t>检查站房内温度</w:t>
      </w:r>
      <w:r>
        <w:rPr>
          <w:rFonts w:ascii="宋体" w:hAnsi="宋体" w:eastAsia="宋体"/>
          <w:sz w:val="24"/>
          <w:szCs w:val="24"/>
        </w:rPr>
        <w:t>（25</w:t>
      </w:r>
      <w:r>
        <w:rPr>
          <w:rFonts w:hint="eastAsia" w:ascii="宋体" w:hAnsi="宋体" w:eastAsia="宋体"/>
          <w:sz w:val="24"/>
          <w:szCs w:val="24"/>
        </w:rPr>
        <w:t>℃</w:t>
      </w: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w:t>
      </w:r>
      <w:r>
        <w:rPr>
          <w:rFonts w:ascii="宋体" w:hAnsi="宋体" w:eastAsia="宋体"/>
          <w:spacing w:val="-14"/>
          <w:sz w:val="24"/>
          <w:szCs w:val="24"/>
        </w:rPr>
        <w:t>、湿度</w:t>
      </w:r>
      <w:r>
        <w:rPr>
          <w:rFonts w:ascii="宋体" w:hAnsi="宋体" w:eastAsia="宋体"/>
          <w:spacing w:val="-3"/>
          <w:sz w:val="24"/>
          <w:szCs w:val="24"/>
        </w:rPr>
        <w:t>（≤80%）</w:t>
      </w:r>
      <w:r>
        <w:rPr>
          <w:rFonts w:ascii="宋体" w:hAnsi="宋体" w:eastAsia="宋体"/>
          <w:spacing w:val="-6"/>
          <w:sz w:val="24"/>
          <w:szCs w:val="24"/>
        </w:rPr>
        <w:t>在冬、夏季节应注意空气站房</w:t>
      </w:r>
      <w:r>
        <w:rPr>
          <w:rFonts w:ascii="宋体" w:hAnsi="宋体" w:eastAsia="宋体"/>
          <w:spacing w:val="-12"/>
          <w:sz w:val="24"/>
          <w:szCs w:val="24"/>
        </w:rPr>
        <w:t>室内外温差，若温差较大，应及时改变站房温度或对采样总管采取适当的控制措</w:t>
      </w:r>
      <w:r>
        <w:rPr>
          <w:rFonts w:ascii="宋体" w:hAnsi="宋体" w:eastAsia="宋体"/>
          <w:sz w:val="24"/>
          <w:szCs w:val="24"/>
        </w:rPr>
        <w:t>施，防止冷凝现象。</w:t>
      </w:r>
    </w:p>
    <w:p w14:paraId="7755667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（9）</w:t>
      </w:r>
      <w:r>
        <w:rPr>
          <w:rFonts w:ascii="宋体" w:hAnsi="宋体" w:eastAsia="宋体"/>
          <w:spacing w:val="-7"/>
          <w:sz w:val="24"/>
          <w:szCs w:val="24"/>
        </w:rPr>
        <w:t>应及时清除空气站房周围的杂草和积水，当周围树木生长超过规范规定的控</w:t>
      </w:r>
      <w:r>
        <w:rPr>
          <w:rFonts w:ascii="宋体" w:hAnsi="宋体" w:eastAsia="宋体"/>
          <w:sz w:val="24"/>
          <w:szCs w:val="24"/>
        </w:rPr>
        <w:t>制限时，应及时剪除对采样或监测光束有影响的树枝。</w:t>
      </w:r>
    </w:p>
    <w:p w14:paraId="798EE929">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（10）</w:t>
      </w:r>
      <w:r>
        <w:rPr>
          <w:rFonts w:ascii="宋体" w:hAnsi="宋体" w:eastAsia="宋体"/>
          <w:spacing w:val="-7"/>
          <w:sz w:val="24"/>
          <w:szCs w:val="24"/>
        </w:rPr>
        <w:t>应经常检查避雷设施是否可靠，空气站房屋是否有漏雨现象，气象杆和天线</w:t>
      </w:r>
      <w:r>
        <w:rPr>
          <w:rFonts w:ascii="宋体" w:hAnsi="宋体" w:eastAsia="宋体"/>
          <w:sz w:val="24"/>
          <w:szCs w:val="24"/>
        </w:rPr>
        <w:t>是否被刮坏，站房外围的其它设施是否有损坏或被水淹，如遇到以上问题应及时处理，保证系统能安全运行。</w:t>
      </w:r>
    </w:p>
    <w:p w14:paraId="05AE5E9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（11）</w:t>
      </w:r>
      <w:r>
        <w:rPr>
          <w:rFonts w:ascii="宋体" w:hAnsi="宋体" w:eastAsia="宋体"/>
          <w:sz w:val="24"/>
          <w:szCs w:val="24"/>
        </w:rPr>
        <w:t>检查站房的安全设施，做好防火防盗工作。每周对气象仪器的运行情况进行检查。</w:t>
      </w:r>
    </w:p>
    <w:p w14:paraId="47C4E94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（12）</w:t>
      </w:r>
      <w:r>
        <w:rPr>
          <w:rFonts w:ascii="宋体" w:hAnsi="宋体" w:eastAsia="宋体"/>
          <w:spacing w:val="-6"/>
          <w:sz w:val="24"/>
          <w:szCs w:val="24"/>
        </w:rPr>
        <w:t>每周对颗粒物的采样纸带或滤膜进行检查，如纸带即将用尽或滤膜负载超过</w:t>
      </w:r>
      <w:r>
        <w:rPr>
          <w:rFonts w:ascii="宋体" w:hAnsi="宋体" w:eastAsia="宋体"/>
          <w:sz w:val="24"/>
          <w:szCs w:val="24"/>
        </w:rPr>
        <w:t>50%，及时进行更换。</w:t>
      </w:r>
    </w:p>
    <w:p w14:paraId="65D2151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（13）</w:t>
      </w:r>
      <w:r>
        <w:rPr>
          <w:rFonts w:ascii="宋体" w:hAnsi="宋体" w:eastAsia="宋体"/>
          <w:sz w:val="24"/>
          <w:szCs w:val="24"/>
        </w:rPr>
        <w:t>每周对站房内外环境卫生进行检查，及时保洁。</w:t>
      </w:r>
    </w:p>
    <w:p w14:paraId="08B13411">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每月工作</w:t>
      </w:r>
    </w:p>
    <w:p w14:paraId="64B2650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每月更换尘过滤膜2-3次，清洗防尘罩1-2次，及时更换干燥剂。</w:t>
      </w:r>
    </w:p>
    <w:p w14:paraId="1291927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光电法监测仪器每月进行一次精密度测试。测尘仪每月进行流量校准。</w:t>
      </w:r>
    </w:p>
    <w:p w14:paraId="27D8B20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清洗PM</w:t>
      </w:r>
      <w:r>
        <w:rPr>
          <w:rFonts w:ascii="宋体" w:hAnsi="宋体" w:eastAsia="宋体"/>
          <w:sz w:val="24"/>
          <w:szCs w:val="24"/>
          <w:vertAlign w:val="subscript"/>
        </w:rPr>
        <w:t>10</w:t>
      </w:r>
      <w:r>
        <w:rPr>
          <w:rFonts w:ascii="宋体" w:hAnsi="宋体" w:eastAsia="宋体"/>
          <w:sz w:val="24"/>
          <w:szCs w:val="24"/>
        </w:rPr>
        <w:t>及PM</w:t>
      </w:r>
      <w:r>
        <w:rPr>
          <w:rFonts w:ascii="宋体" w:hAnsi="宋体" w:eastAsia="宋体"/>
          <w:sz w:val="24"/>
          <w:szCs w:val="24"/>
          <w:vertAlign w:val="subscript"/>
        </w:rPr>
        <w:t>2.5</w:t>
      </w:r>
      <w:r>
        <w:rPr>
          <w:rFonts w:ascii="宋体" w:hAnsi="宋体" w:eastAsia="宋体"/>
          <w:spacing w:val="-6"/>
          <w:sz w:val="24"/>
          <w:szCs w:val="24"/>
        </w:rPr>
        <w:t>切割器，检查</w:t>
      </w:r>
      <w:r>
        <w:rPr>
          <w:rFonts w:ascii="宋体" w:hAnsi="宋体" w:eastAsia="宋体"/>
          <w:sz w:val="24"/>
          <w:szCs w:val="24"/>
        </w:rPr>
        <w:t>β法颗粒物分析仪仪器喷嘴、压环等</w:t>
      </w:r>
      <w:r>
        <w:rPr>
          <w:rFonts w:ascii="宋体" w:hAnsi="宋体" w:eastAsia="宋体"/>
          <w:spacing w:val="-5"/>
          <w:sz w:val="24"/>
          <w:szCs w:val="24"/>
        </w:rPr>
        <w:t>部件。</w:t>
      </w:r>
    </w:p>
    <w:p w14:paraId="5E2BF9C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检查PM</w:t>
      </w:r>
      <w:r>
        <w:rPr>
          <w:rFonts w:ascii="宋体" w:hAnsi="宋体" w:eastAsia="宋体"/>
          <w:sz w:val="24"/>
          <w:szCs w:val="24"/>
          <w:vertAlign w:val="subscript"/>
        </w:rPr>
        <w:t>10</w:t>
      </w:r>
      <w:r>
        <w:rPr>
          <w:rFonts w:ascii="宋体" w:hAnsi="宋体" w:eastAsia="宋体"/>
          <w:sz w:val="24"/>
          <w:szCs w:val="24"/>
        </w:rPr>
        <w:t>及PM</w:t>
      </w:r>
      <w:r>
        <w:rPr>
          <w:rFonts w:ascii="宋体" w:hAnsi="宋体" w:eastAsia="宋体"/>
          <w:sz w:val="24"/>
          <w:szCs w:val="24"/>
          <w:vertAlign w:val="subscript"/>
        </w:rPr>
        <w:t>2.5</w:t>
      </w:r>
      <w:r>
        <w:rPr>
          <w:rFonts w:ascii="宋体" w:hAnsi="宋体" w:eastAsia="宋体"/>
          <w:sz w:val="24"/>
          <w:szCs w:val="24"/>
        </w:rPr>
        <w:t>监测仪、气态分析仪、动态气体校准仪流量，超过</w:t>
      </w:r>
      <w:r>
        <w:rPr>
          <w:rFonts w:ascii="宋体" w:hAnsi="宋体" w:eastAsia="宋体"/>
          <w:spacing w:val="-4"/>
          <w:sz w:val="24"/>
          <w:szCs w:val="24"/>
        </w:rPr>
        <w:t>国家相关规范要求，及时进行校准。</w:t>
      </w:r>
    </w:p>
    <w:p w14:paraId="1830A72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对仪器显示数据和数据采集仪之间的一致性进行检查。</w:t>
      </w:r>
    </w:p>
    <w:p w14:paraId="0723DFF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每月对数据进行备份。</w:t>
      </w:r>
    </w:p>
    <w:p w14:paraId="50A36A0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（7）</w:t>
      </w:r>
      <w:r>
        <w:rPr>
          <w:rFonts w:ascii="宋体" w:hAnsi="宋体" w:eastAsia="宋体"/>
          <w:sz w:val="24"/>
          <w:szCs w:val="24"/>
        </w:rPr>
        <w:t>每两个月清洗PM</w:t>
      </w:r>
      <w:r>
        <w:rPr>
          <w:rFonts w:ascii="宋体" w:hAnsi="宋体" w:eastAsia="宋体"/>
          <w:sz w:val="24"/>
          <w:szCs w:val="24"/>
          <w:vertAlign w:val="subscript"/>
        </w:rPr>
        <w:t>10</w:t>
      </w:r>
      <w:r>
        <w:rPr>
          <w:rFonts w:ascii="宋体" w:hAnsi="宋体" w:eastAsia="宋体"/>
          <w:spacing w:val="-24"/>
          <w:sz w:val="24"/>
          <w:szCs w:val="24"/>
        </w:rPr>
        <w:t>、</w:t>
      </w:r>
      <w:r>
        <w:rPr>
          <w:rFonts w:ascii="宋体" w:hAnsi="宋体" w:eastAsia="宋体"/>
          <w:sz w:val="24"/>
          <w:szCs w:val="24"/>
        </w:rPr>
        <w:t>PM</w:t>
      </w:r>
      <w:r>
        <w:rPr>
          <w:rFonts w:ascii="宋体" w:hAnsi="宋体" w:eastAsia="宋体"/>
          <w:sz w:val="24"/>
          <w:szCs w:val="24"/>
          <w:vertAlign w:val="subscript"/>
        </w:rPr>
        <w:t>2.5</w:t>
      </w:r>
      <w:r>
        <w:rPr>
          <w:rFonts w:ascii="宋体" w:hAnsi="宋体" w:eastAsia="宋体"/>
          <w:sz w:val="24"/>
          <w:szCs w:val="24"/>
        </w:rPr>
        <w:t>切割头。检查各气体分析仪器采样流量。更换PM</w:t>
      </w:r>
      <w:r>
        <w:rPr>
          <w:rFonts w:ascii="宋体" w:hAnsi="宋体" w:eastAsia="宋体"/>
          <w:sz w:val="24"/>
          <w:szCs w:val="24"/>
          <w:vertAlign w:val="subscript"/>
        </w:rPr>
        <w:t>10</w:t>
      </w:r>
      <w:r>
        <w:rPr>
          <w:rFonts w:ascii="宋体" w:hAnsi="宋体" w:eastAsia="宋体"/>
          <w:sz w:val="24"/>
          <w:szCs w:val="24"/>
        </w:rPr>
        <w:t>、颗粒物（PM</w:t>
      </w:r>
      <w:r>
        <w:rPr>
          <w:rFonts w:ascii="宋体" w:hAnsi="宋体" w:eastAsia="宋体"/>
          <w:sz w:val="24"/>
          <w:szCs w:val="24"/>
          <w:vertAlign w:val="subscript"/>
        </w:rPr>
        <w:t>2.5</w:t>
      </w:r>
      <w:r>
        <w:rPr>
          <w:rFonts w:ascii="宋体" w:hAnsi="宋体" w:eastAsia="宋体"/>
          <w:sz w:val="24"/>
          <w:szCs w:val="24"/>
        </w:rPr>
        <w:t>）分析仪滤纸带（必要时），进行系统自检；校准和检查PM</w:t>
      </w:r>
      <w:r>
        <w:rPr>
          <w:rFonts w:ascii="宋体" w:hAnsi="宋体" w:eastAsia="宋体"/>
          <w:sz w:val="24"/>
          <w:szCs w:val="24"/>
          <w:vertAlign w:val="subscript"/>
        </w:rPr>
        <w:t>10</w:t>
      </w:r>
      <w:r>
        <w:rPr>
          <w:rFonts w:ascii="宋体" w:hAnsi="宋体" w:eastAsia="宋体"/>
          <w:spacing w:val="-11"/>
          <w:sz w:val="24"/>
          <w:szCs w:val="24"/>
        </w:rPr>
        <w:t>及颗粒物</w:t>
      </w:r>
      <w:r>
        <w:rPr>
          <w:rFonts w:ascii="宋体" w:hAnsi="宋体" w:eastAsia="宋体"/>
          <w:spacing w:val="-3"/>
          <w:sz w:val="24"/>
          <w:szCs w:val="24"/>
        </w:rPr>
        <w:t>（PM</w:t>
      </w:r>
      <w:r>
        <w:rPr>
          <w:rFonts w:ascii="宋体" w:hAnsi="宋体" w:eastAsia="宋体"/>
          <w:spacing w:val="-3"/>
          <w:sz w:val="24"/>
          <w:szCs w:val="24"/>
          <w:vertAlign w:val="subscript"/>
        </w:rPr>
        <w:t>2.5</w:t>
      </w:r>
      <w:r>
        <w:rPr>
          <w:rFonts w:ascii="宋体" w:hAnsi="宋体" w:eastAsia="宋体"/>
          <w:spacing w:val="-3"/>
          <w:sz w:val="24"/>
          <w:szCs w:val="24"/>
        </w:rPr>
        <w:t>）</w:t>
      </w:r>
      <w:r>
        <w:rPr>
          <w:rFonts w:ascii="宋体" w:hAnsi="宋体" w:eastAsia="宋体"/>
          <w:sz w:val="24"/>
          <w:szCs w:val="24"/>
        </w:rPr>
        <w:t>分析仪的温度、气压和时钟；用标准气压计、温度计、湿度计、手持式风速风向仪，校准相关的自动仪器。</w:t>
      </w:r>
    </w:p>
    <w:p w14:paraId="4A25E26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（8）</w:t>
      </w:r>
      <w:r>
        <w:rPr>
          <w:rFonts w:ascii="宋体" w:hAnsi="宋体" w:eastAsia="宋体"/>
          <w:sz w:val="24"/>
          <w:szCs w:val="24"/>
        </w:rPr>
        <w:t>光电法监测仪器每3个月进行一次多点校准。</w:t>
      </w:r>
    </w:p>
    <w:p w14:paraId="4DF3C2D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（9）</w:t>
      </w:r>
      <w:r>
        <w:rPr>
          <w:rFonts w:ascii="宋体" w:hAnsi="宋体" w:eastAsia="宋体"/>
          <w:sz w:val="24"/>
          <w:szCs w:val="24"/>
        </w:rPr>
        <w:t>测尘仪每3个月标准膜校准和气密性检查。</w:t>
      </w:r>
    </w:p>
    <w:p w14:paraId="796F03A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（10）</w:t>
      </w:r>
      <w:r>
        <w:rPr>
          <w:rFonts w:ascii="宋体" w:hAnsi="宋体" w:eastAsia="宋体"/>
          <w:sz w:val="24"/>
          <w:szCs w:val="24"/>
        </w:rPr>
        <w:t>采样总管及采样风机每季度至少清洗一次。</w:t>
      </w:r>
    </w:p>
    <w:p w14:paraId="1E5D34F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（11）</w:t>
      </w:r>
      <w:r>
        <w:rPr>
          <w:rFonts w:ascii="宋体" w:hAnsi="宋体" w:eastAsia="宋体"/>
          <w:sz w:val="24"/>
          <w:szCs w:val="24"/>
        </w:rPr>
        <w:t>每3个月对PM</w:t>
      </w:r>
      <w:r>
        <w:rPr>
          <w:rFonts w:ascii="宋体" w:hAnsi="宋体" w:eastAsia="宋体"/>
          <w:sz w:val="24"/>
          <w:szCs w:val="24"/>
          <w:vertAlign w:val="subscript"/>
        </w:rPr>
        <w:t>10</w:t>
      </w:r>
      <w:r>
        <w:rPr>
          <w:rFonts w:ascii="宋体" w:hAnsi="宋体" w:eastAsia="宋体"/>
          <w:sz w:val="24"/>
          <w:szCs w:val="24"/>
        </w:rPr>
        <w:t>和PM</w:t>
      </w:r>
      <w:r>
        <w:rPr>
          <w:rFonts w:ascii="宋体" w:hAnsi="宋体" w:eastAsia="宋体"/>
          <w:sz w:val="24"/>
          <w:szCs w:val="24"/>
          <w:vertAlign w:val="subscript"/>
        </w:rPr>
        <w:t>2.5</w:t>
      </w:r>
      <w:r>
        <w:rPr>
          <w:rFonts w:ascii="宋体" w:hAnsi="宋体" w:eastAsia="宋体"/>
          <w:sz w:val="24"/>
          <w:szCs w:val="24"/>
        </w:rPr>
        <w:t>监测仪器进行标准膜校准或K0</w:t>
      </w:r>
      <w:r>
        <w:rPr>
          <w:rFonts w:ascii="宋体" w:hAnsi="宋体" w:eastAsia="宋体"/>
          <w:spacing w:val="-9"/>
          <w:sz w:val="24"/>
          <w:szCs w:val="24"/>
        </w:rPr>
        <w:t>值检查，超过</w:t>
      </w:r>
      <w:r>
        <w:rPr>
          <w:rFonts w:ascii="宋体" w:hAnsi="宋体" w:eastAsia="宋体"/>
          <w:spacing w:val="-4"/>
          <w:sz w:val="24"/>
          <w:szCs w:val="24"/>
        </w:rPr>
        <w:t>国家相关规范要求时，及时进行校准。</w:t>
      </w:r>
    </w:p>
    <w:p w14:paraId="6E8D854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（12）</w:t>
      </w:r>
      <w:r>
        <w:rPr>
          <w:rFonts w:ascii="宋体" w:hAnsi="宋体" w:eastAsia="宋体"/>
          <w:sz w:val="24"/>
          <w:szCs w:val="24"/>
        </w:rPr>
        <w:t>每3个月进行校准器光度计及臭氧发生器校准传递。</w:t>
      </w:r>
    </w:p>
    <w:p w14:paraId="00FC45A0">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（13）</w:t>
      </w:r>
      <w:r>
        <w:rPr>
          <w:rFonts w:ascii="宋体" w:hAnsi="宋体" w:eastAsia="宋体"/>
          <w:sz w:val="24"/>
          <w:szCs w:val="24"/>
        </w:rPr>
        <w:t>每月对运行情况书面小结报采购人。</w:t>
      </w:r>
    </w:p>
    <w:p w14:paraId="524A6AA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4、每半年工作</w:t>
      </w:r>
    </w:p>
    <w:p w14:paraId="4E28F841">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清洗采样总管。清洗或更换采样支管。</w:t>
      </w:r>
    </w:p>
    <w:p w14:paraId="3B2FD2B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pacing w:val="-6"/>
          <w:sz w:val="24"/>
          <w:szCs w:val="24"/>
        </w:rPr>
        <w:t>2）</w:t>
      </w:r>
      <w:r>
        <w:rPr>
          <w:rFonts w:ascii="宋体" w:hAnsi="宋体" w:eastAsia="宋体"/>
          <w:spacing w:val="-6"/>
          <w:sz w:val="24"/>
          <w:szCs w:val="24"/>
        </w:rPr>
        <w:t xml:space="preserve">更换零气源活性炭。更换 </w:t>
      </w:r>
      <w:r>
        <w:rPr>
          <w:rFonts w:ascii="宋体" w:hAnsi="宋体" w:eastAsia="宋体"/>
          <w:sz w:val="24"/>
          <w:szCs w:val="24"/>
        </w:rPr>
        <w:t>NO</w:t>
      </w:r>
      <w:r>
        <w:rPr>
          <w:rFonts w:ascii="宋体" w:hAnsi="宋体" w:eastAsia="宋体"/>
          <w:sz w:val="24"/>
          <w:szCs w:val="24"/>
          <w:vertAlign w:val="subscript"/>
        </w:rPr>
        <w:t>X</w:t>
      </w:r>
      <w:r>
        <w:rPr>
          <w:rFonts w:ascii="宋体" w:hAnsi="宋体" w:eastAsia="宋体"/>
          <w:spacing w:val="-29"/>
          <w:sz w:val="24"/>
          <w:szCs w:val="24"/>
          <w:vertAlign w:val="subscript"/>
        </w:rPr>
        <w:t xml:space="preserve"> </w:t>
      </w:r>
      <w:r>
        <w:rPr>
          <w:rFonts w:ascii="宋体" w:hAnsi="宋体" w:eastAsia="宋体"/>
          <w:sz w:val="24"/>
          <w:szCs w:val="24"/>
        </w:rPr>
        <w:t xml:space="preserve">仪辅助进气口活性炭和氧化剂。更换 </w:t>
      </w:r>
      <w:r>
        <w:rPr>
          <w:rFonts w:ascii="宋体" w:hAnsi="宋体" w:eastAsia="宋体"/>
          <w:spacing w:val="-5"/>
          <w:sz w:val="24"/>
          <w:szCs w:val="24"/>
        </w:rPr>
        <w:t xml:space="preserve">NOX </w:t>
      </w:r>
      <w:r>
        <w:rPr>
          <w:rFonts w:ascii="宋体" w:hAnsi="宋体" w:eastAsia="宋体"/>
          <w:sz w:val="24"/>
          <w:szCs w:val="24"/>
        </w:rPr>
        <w:t>仪泵前吸臭氧活性炭。</w:t>
      </w:r>
    </w:p>
    <w:p w14:paraId="37C95B7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pacing w:val="-19"/>
          <w:sz w:val="24"/>
          <w:szCs w:val="24"/>
        </w:rPr>
        <w:t>3）</w:t>
      </w:r>
      <w:r>
        <w:rPr>
          <w:rFonts w:ascii="宋体" w:hAnsi="宋体" w:eastAsia="宋体"/>
          <w:spacing w:val="-19"/>
          <w:sz w:val="24"/>
          <w:szCs w:val="24"/>
        </w:rPr>
        <w:t xml:space="preserve">检查 </w:t>
      </w:r>
      <w:r>
        <w:rPr>
          <w:rFonts w:ascii="宋体" w:hAnsi="宋体" w:eastAsia="宋体"/>
          <w:sz w:val="24"/>
          <w:szCs w:val="24"/>
        </w:rPr>
        <w:t>PM</w:t>
      </w:r>
      <w:r>
        <w:rPr>
          <w:rFonts w:ascii="宋体" w:hAnsi="宋体" w:eastAsia="宋体"/>
          <w:sz w:val="24"/>
          <w:szCs w:val="24"/>
          <w:vertAlign w:val="subscript"/>
        </w:rPr>
        <w:t>2.5</w:t>
      </w:r>
      <w:r>
        <w:rPr>
          <w:rFonts w:ascii="宋体" w:hAnsi="宋体" w:eastAsia="宋体"/>
          <w:spacing w:val="-11"/>
          <w:sz w:val="24"/>
          <w:szCs w:val="24"/>
        </w:rPr>
        <w:t>、颗粒物</w:t>
      </w:r>
      <w:r>
        <w:rPr>
          <w:rFonts w:ascii="宋体" w:hAnsi="宋体" w:eastAsia="宋体"/>
          <w:sz w:val="24"/>
          <w:szCs w:val="24"/>
        </w:rPr>
        <w:t>（PM</w:t>
      </w:r>
      <w:r>
        <w:rPr>
          <w:rFonts w:ascii="宋体" w:hAnsi="宋体" w:eastAsia="宋体"/>
          <w:sz w:val="24"/>
          <w:szCs w:val="24"/>
          <w:vertAlign w:val="subscript"/>
        </w:rPr>
        <w:t>10</w:t>
      </w:r>
      <w:r>
        <w:rPr>
          <w:rFonts w:ascii="宋体" w:hAnsi="宋体" w:eastAsia="宋体"/>
          <w:sz w:val="24"/>
          <w:szCs w:val="24"/>
        </w:rPr>
        <w:t>）分析仪相对湿度、温度传感器和动态加热装置是否正常工作。</w:t>
      </w:r>
    </w:p>
    <w:p w14:paraId="63DA604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 xml:space="preserve">对气态污染物监测仪进行多点校准，绘制校准曲线，检验相关系数、斜率和截距。 </w:t>
      </w:r>
    </w:p>
    <w:p w14:paraId="3B98323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动态气体校准仪流量进行20</w:t>
      </w:r>
      <w:r>
        <w:rPr>
          <w:rFonts w:ascii="宋体" w:hAnsi="宋体" w:eastAsia="宋体"/>
          <w:spacing w:val="-8"/>
          <w:sz w:val="24"/>
          <w:szCs w:val="24"/>
        </w:rPr>
        <w:t xml:space="preserve">点检查，必要时校准。 </w:t>
      </w:r>
    </w:p>
    <w:p w14:paraId="3065007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 xml:space="preserve">采用臭氧传递标准对空气站臭氧工作标准进行标准传递。 </w:t>
      </w:r>
    </w:p>
    <w:p w14:paraId="3EA3323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（7）</w:t>
      </w:r>
      <w:r>
        <w:rPr>
          <w:rFonts w:ascii="宋体" w:hAnsi="宋体" w:eastAsia="宋体"/>
          <w:sz w:val="24"/>
          <w:szCs w:val="24"/>
        </w:rPr>
        <w:t xml:space="preserve">更换零气源净化剂和氧化剂，对零气性能进行检查。 </w:t>
      </w:r>
    </w:p>
    <w:p w14:paraId="3C6A4321">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（8）</w:t>
      </w:r>
      <w:r>
        <w:rPr>
          <w:rFonts w:ascii="宋体" w:hAnsi="宋体" w:eastAsia="宋体"/>
          <w:sz w:val="24"/>
          <w:szCs w:val="24"/>
        </w:rPr>
        <w:t>对氮氧化物分析仪钼炉转化率进行检查。</w:t>
      </w:r>
    </w:p>
    <w:p w14:paraId="2D8DBA6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5、每年工作</w:t>
      </w:r>
    </w:p>
    <w:p w14:paraId="1EA1F60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对所有的仪器进行预防性维护，按说明书的要求更换备件，更换所有泵组件。</w:t>
      </w:r>
    </w:p>
    <w:p w14:paraId="25BC19A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零气发生器活性炭每年至少更换一次，动态校准器每年进行一次流量校准。 </w:t>
      </w:r>
    </w:p>
    <w:p w14:paraId="651B2F6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每台仪器每年送质量控制室进行线性校准一次。</w:t>
      </w:r>
    </w:p>
    <w:p w14:paraId="5B79F23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所有进行的操作和质量保证工作，应记录在子站运行记录上。</w:t>
      </w:r>
    </w:p>
    <w:p w14:paraId="18759F0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6、预防性检修</w:t>
      </w:r>
    </w:p>
    <w:p w14:paraId="13D70B6A">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为保证空气自动站正常稳定的运行，减少突发故障，提高仪器运行率和准确率，每年需进行预防性检修</w:t>
      </w:r>
    </w:p>
    <w:p w14:paraId="2137BC9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7、</w:t>
      </w:r>
      <w:r>
        <w:rPr>
          <w:rFonts w:ascii="宋体" w:hAnsi="宋体" w:eastAsia="宋体"/>
          <w:sz w:val="24"/>
          <w:szCs w:val="24"/>
        </w:rPr>
        <w:t>建立维护档案</w:t>
      </w:r>
    </w:p>
    <w:p w14:paraId="30FC3D60">
      <w:pPr>
        <w:adjustRightInd w:val="0"/>
        <w:snapToGrid w:val="0"/>
        <w:spacing w:line="360" w:lineRule="auto"/>
        <w:ind w:firstLine="456" w:firstLineChars="200"/>
        <w:rPr>
          <w:rFonts w:hint="eastAsia" w:ascii="宋体" w:hAnsi="宋体" w:eastAsia="宋体"/>
          <w:sz w:val="24"/>
          <w:szCs w:val="24"/>
        </w:rPr>
      </w:pPr>
      <w:r>
        <w:rPr>
          <w:rFonts w:ascii="宋体" w:hAnsi="宋体" w:eastAsia="宋体"/>
          <w:spacing w:val="-6"/>
          <w:sz w:val="24"/>
          <w:szCs w:val="24"/>
        </w:rPr>
        <w:t>将子站的运行过程和运行事件进行详细记录，并进行归档管理。日常运维中</w:t>
      </w:r>
      <w:r>
        <w:rPr>
          <w:rFonts w:ascii="宋体" w:hAnsi="宋体" w:eastAsia="宋体"/>
          <w:sz w:val="24"/>
          <w:szCs w:val="24"/>
        </w:rPr>
        <w:t>使用的相关记录表格，应当使用统一样式表格。日常运维中使用运行管理相关记录至少应包括：</w:t>
      </w:r>
    </w:p>
    <w:p w14:paraId="3432557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监测站运行维护记录表；</w:t>
      </w:r>
    </w:p>
    <w:p w14:paraId="1C1A8E7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颗粒监测仪校准检查记录；</w:t>
      </w:r>
    </w:p>
    <w:p w14:paraId="2A71456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监测站主要消耗材料使用登记表；</w:t>
      </w:r>
    </w:p>
    <w:p w14:paraId="013A1B8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空气自动监测系统仪器设备维修记录表；</w:t>
      </w:r>
    </w:p>
    <w:p w14:paraId="70A6C97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空气自动监测系统备品备件管理记录表；</w:t>
      </w:r>
    </w:p>
    <w:p w14:paraId="188BE9E1">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空气自动监测系统仪器资料保管清单。</w:t>
      </w:r>
    </w:p>
    <w:p w14:paraId="7E7CF2E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8、日常运维其他相关要求</w:t>
      </w:r>
    </w:p>
    <w:p w14:paraId="6F5DDE7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每周更换的气态污染物监测仪器所用滤膜，必须为聚四氟乙烯材质。</w:t>
      </w:r>
    </w:p>
    <w:p w14:paraId="2858492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应及时制定每月工作计划，并严格按计划执行，若有变更应及时通知</w:t>
      </w:r>
      <w:r>
        <w:rPr>
          <w:rFonts w:ascii="宋体" w:hAnsi="宋体" w:eastAsia="宋体"/>
          <w:spacing w:val="-4"/>
          <w:sz w:val="24"/>
          <w:szCs w:val="24"/>
        </w:rPr>
        <w:t>采购人。</w:t>
      </w:r>
    </w:p>
    <w:p w14:paraId="5FF8A28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pacing w:val="-2"/>
          <w:sz w:val="24"/>
          <w:szCs w:val="24"/>
        </w:rPr>
        <w:t>3）</w:t>
      </w:r>
      <w:r>
        <w:rPr>
          <w:rFonts w:ascii="宋体" w:hAnsi="宋体" w:eastAsia="宋体"/>
          <w:sz w:val="24"/>
          <w:szCs w:val="24"/>
        </w:rPr>
        <w:t>运维单位保证满足采购人对镇街站仪器设备故障的响应时间要求，当仪器设备每日6时～23时出现故障，应在4小时之内响应，24小时内到达现场解决（通信线路、电力线路故障除外，但应及时与相关部门联系积极解决）。</w:t>
      </w:r>
    </w:p>
    <w:p w14:paraId="02A6937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严禁擅自改变采样管路连接方式和更改仪器参数设置。</w:t>
      </w:r>
    </w:p>
    <w:p w14:paraId="1E3EC1D1">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9、</w:t>
      </w:r>
      <w:r>
        <w:rPr>
          <w:rFonts w:ascii="宋体" w:hAnsi="宋体" w:eastAsia="宋体"/>
          <w:sz w:val="24"/>
          <w:szCs w:val="24"/>
        </w:rPr>
        <w:t>监督考核要求</w:t>
      </w:r>
    </w:p>
    <w:p w14:paraId="2BFDD4E8">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采购方开展运维管理和质控考核，对达不到运维要求或违规操作的，可以扣减相应的运维费，并有权终止运维合同。</w:t>
      </w:r>
    </w:p>
    <w:p w14:paraId="6F28040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考核办法</w:t>
      </w:r>
      <w:r>
        <w:rPr>
          <w:rFonts w:hint="eastAsia" w:ascii="宋体" w:hAnsi="宋体" w:eastAsia="宋体"/>
          <w:sz w:val="24"/>
          <w:szCs w:val="24"/>
        </w:rPr>
        <w:t xml:space="preserve"> </w:t>
      </w:r>
    </w:p>
    <w:p w14:paraId="6D305FA8">
      <w:pPr>
        <w:adjustRightInd w:val="0"/>
        <w:snapToGrid w:val="0"/>
        <w:spacing w:line="360" w:lineRule="auto"/>
        <w:ind w:firstLine="456" w:firstLineChars="200"/>
        <w:rPr>
          <w:rFonts w:hint="eastAsia" w:ascii="宋体" w:hAnsi="宋体" w:eastAsia="宋体"/>
          <w:sz w:val="24"/>
          <w:szCs w:val="24"/>
        </w:rPr>
      </w:pPr>
      <w:r>
        <w:rPr>
          <w:rFonts w:ascii="宋体" w:hAnsi="宋体" w:eastAsia="宋体"/>
          <w:spacing w:val="-6"/>
          <w:sz w:val="24"/>
          <w:szCs w:val="24"/>
        </w:rPr>
        <w:t>每季度对运维单位绩效考核一次。考核采取百分制、单站考核的方式，主要</w:t>
      </w:r>
      <w:r>
        <w:rPr>
          <w:rFonts w:ascii="宋体" w:hAnsi="宋体" w:eastAsia="宋体"/>
          <w:sz w:val="24"/>
          <w:szCs w:val="24"/>
        </w:rPr>
        <w:t>包括单个站点数据有效性，监测数据获取率、数据质控合格率(以下简称“两率”)以及运行维护的内容。</w:t>
      </w:r>
    </w:p>
    <w:p w14:paraId="73D29076">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数据捕获率指考核时段内各监测项目实际获取的小时值监测数据量总和除以应获得小时值数据量总和。</w:t>
      </w:r>
    </w:p>
    <w:p w14:paraId="6FFCF660">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数据质控合格率指考核时段内各监测项目实际获取的质控合格的小时值监测数据量总和除以应获得小时值数据量总和。</w:t>
      </w:r>
    </w:p>
    <w:p w14:paraId="693A1CBE">
      <w:pPr>
        <w:adjustRightInd w:val="0"/>
        <w:snapToGrid w:val="0"/>
        <w:spacing w:line="360" w:lineRule="auto"/>
        <w:ind w:firstLine="468" w:firstLineChars="200"/>
        <w:rPr>
          <w:rFonts w:hint="eastAsia" w:ascii="宋体" w:hAnsi="宋体" w:eastAsia="宋体"/>
          <w:sz w:val="24"/>
          <w:szCs w:val="24"/>
        </w:rPr>
      </w:pPr>
      <w:r>
        <w:rPr>
          <w:rFonts w:ascii="宋体" w:hAnsi="宋体" w:eastAsia="宋体"/>
          <w:spacing w:val="-3"/>
          <w:sz w:val="24"/>
          <w:szCs w:val="24"/>
        </w:rPr>
        <w:t>每日各项目应获</w:t>
      </w:r>
      <w:r>
        <w:rPr>
          <w:rFonts w:ascii="宋体" w:hAnsi="宋体" w:eastAsia="宋体"/>
          <w:sz w:val="24"/>
          <w:szCs w:val="24"/>
        </w:rPr>
        <w:t>得小时值数据量均按24个计，考核时段天数按考核时段内日历天数计。计算应获得小时值数据量时，应扣除因不可抗力造成的停止监测的小时数。</w:t>
      </w:r>
    </w:p>
    <w:p w14:paraId="3C5200A3">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 xml:space="preserve">数据有效性 </w:t>
      </w:r>
    </w:p>
    <w:p w14:paraId="7D158F09">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考核时段内单个站点任一监测项目有效数据量应满足《环境空气质量标准》（GB 3095-2012）中规定的污染物浓度数据有效性的最低要求，否则考核总分为0分。</w:t>
      </w:r>
    </w:p>
    <w:p w14:paraId="5319A4A7">
      <w:pPr>
        <w:adjustRightInd w:val="0"/>
        <w:snapToGrid w:val="0"/>
        <w:spacing w:line="360" w:lineRule="auto"/>
        <w:ind w:firstLine="460" w:firstLineChars="200"/>
        <w:rPr>
          <w:rFonts w:hint="eastAsia" w:ascii="宋体" w:hAnsi="宋体" w:eastAsia="宋体"/>
          <w:sz w:val="24"/>
          <w:szCs w:val="24"/>
        </w:rPr>
      </w:pPr>
      <w:r>
        <w:rPr>
          <w:rFonts w:ascii="宋体" w:hAnsi="宋体" w:eastAsia="宋体"/>
          <w:spacing w:val="-5"/>
          <w:sz w:val="24"/>
          <w:szCs w:val="24"/>
        </w:rPr>
        <w:t>单站设备</w:t>
      </w:r>
      <w:r>
        <w:rPr>
          <w:rFonts w:ascii="宋体" w:hAnsi="宋体" w:eastAsia="宋体"/>
          <w:sz w:val="24"/>
          <w:szCs w:val="24"/>
        </w:rPr>
        <w:t>数据捕获率必须高于90%(含)，</w:t>
      </w:r>
      <w:r>
        <w:rPr>
          <w:rFonts w:ascii="宋体" w:hAnsi="宋体" w:eastAsia="宋体"/>
          <w:spacing w:val="-10"/>
          <w:sz w:val="24"/>
          <w:szCs w:val="24"/>
        </w:rPr>
        <w:t>否则考核总分以</w:t>
      </w:r>
      <w:r>
        <w:rPr>
          <w:rFonts w:ascii="宋体" w:hAnsi="宋体" w:eastAsia="宋体"/>
          <w:sz w:val="24"/>
          <w:szCs w:val="24"/>
        </w:rPr>
        <w:t>0</w:t>
      </w:r>
      <w:r>
        <w:rPr>
          <w:rFonts w:ascii="宋体" w:hAnsi="宋体" w:eastAsia="宋体"/>
          <w:spacing w:val="-13"/>
          <w:sz w:val="24"/>
          <w:szCs w:val="24"/>
        </w:rPr>
        <w:t>分计，不予支付</w:t>
      </w:r>
      <w:r>
        <w:rPr>
          <w:rFonts w:ascii="宋体" w:hAnsi="宋体" w:eastAsia="宋体"/>
          <w:sz w:val="24"/>
          <w:szCs w:val="24"/>
        </w:rPr>
        <w:t>运维费用。单站设备数据质控合格率必须高于80</w:t>
      </w:r>
      <w:r>
        <w:rPr>
          <w:rFonts w:ascii="宋体" w:hAnsi="宋体" w:eastAsia="宋体"/>
          <w:spacing w:val="-3"/>
          <w:sz w:val="24"/>
          <w:szCs w:val="24"/>
        </w:rPr>
        <w:t>%</w:t>
      </w:r>
      <w:r>
        <w:rPr>
          <w:rFonts w:ascii="宋体" w:hAnsi="宋体" w:eastAsia="宋体"/>
          <w:spacing w:val="-9"/>
          <w:sz w:val="24"/>
          <w:szCs w:val="24"/>
        </w:rPr>
        <w:t>，否则考核总分以</w:t>
      </w:r>
      <w:r>
        <w:rPr>
          <w:rFonts w:ascii="宋体" w:hAnsi="宋体" w:eastAsia="宋体"/>
          <w:sz w:val="24"/>
          <w:szCs w:val="24"/>
        </w:rPr>
        <w:t>0</w:t>
      </w:r>
      <w:r>
        <w:rPr>
          <w:rFonts w:ascii="宋体" w:hAnsi="宋体" w:eastAsia="宋体"/>
          <w:spacing w:val="-17"/>
          <w:sz w:val="24"/>
          <w:szCs w:val="24"/>
        </w:rPr>
        <w:t>分计，不</w:t>
      </w:r>
      <w:r>
        <w:rPr>
          <w:rFonts w:ascii="宋体" w:hAnsi="宋体" w:eastAsia="宋体"/>
          <w:sz w:val="24"/>
          <w:szCs w:val="24"/>
        </w:rPr>
        <w:t>予支付运维费用。</w:t>
      </w:r>
    </w:p>
    <w:p w14:paraId="001BBD5C">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两率及运行维护</w:t>
      </w:r>
    </w:p>
    <w:p w14:paraId="30CB8EE2">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符合数据有效性要求后，参照本部分执行。</w:t>
      </w:r>
    </w:p>
    <w:p w14:paraId="2208AC19">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两率部分(70</w:t>
      </w:r>
      <w:r>
        <w:rPr>
          <w:rFonts w:ascii="宋体" w:hAnsi="宋体" w:eastAsia="宋体"/>
          <w:spacing w:val="-20"/>
          <w:sz w:val="24"/>
          <w:szCs w:val="24"/>
        </w:rPr>
        <w:t xml:space="preserve"> 分) </w:t>
      </w:r>
    </w:p>
    <w:p w14:paraId="39DCC4FC">
      <w:pPr>
        <w:adjustRightInd w:val="0"/>
        <w:snapToGrid w:val="0"/>
        <w:spacing w:line="360" w:lineRule="auto"/>
        <w:ind w:firstLine="460" w:firstLineChars="200"/>
        <w:rPr>
          <w:rFonts w:hint="eastAsia" w:ascii="宋体" w:hAnsi="宋体" w:eastAsia="宋体"/>
          <w:sz w:val="24"/>
          <w:szCs w:val="24"/>
        </w:rPr>
      </w:pPr>
      <w:r>
        <w:rPr>
          <w:rFonts w:ascii="宋体" w:hAnsi="宋体" w:eastAsia="宋体"/>
          <w:spacing w:val="-5"/>
          <w:sz w:val="24"/>
          <w:szCs w:val="24"/>
        </w:rPr>
        <w:t>单站监测数据质控合格率高于</w:t>
      </w:r>
      <w:r>
        <w:rPr>
          <w:rFonts w:ascii="宋体" w:hAnsi="宋体" w:eastAsia="宋体"/>
          <w:sz w:val="24"/>
          <w:szCs w:val="24"/>
        </w:rPr>
        <w:t>90%(</w:t>
      </w:r>
      <w:r>
        <w:rPr>
          <w:rFonts w:ascii="宋体" w:hAnsi="宋体" w:eastAsia="宋体"/>
          <w:spacing w:val="-13"/>
          <w:sz w:val="24"/>
          <w:szCs w:val="24"/>
        </w:rPr>
        <w:t>含)的，得</w:t>
      </w:r>
      <w:r>
        <w:rPr>
          <w:rFonts w:ascii="宋体" w:hAnsi="宋体" w:eastAsia="宋体"/>
          <w:sz w:val="24"/>
          <w:szCs w:val="24"/>
        </w:rPr>
        <w:t>70</w:t>
      </w:r>
      <w:r>
        <w:rPr>
          <w:rFonts w:ascii="宋体" w:hAnsi="宋体" w:eastAsia="宋体"/>
          <w:spacing w:val="-21"/>
          <w:sz w:val="24"/>
          <w:szCs w:val="24"/>
        </w:rPr>
        <w:t>分；</w:t>
      </w:r>
      <w:r>
        <w:rPr>
          <w:rFonts w:ascii="宋体" w:hAnsi="宋体" w:eastAsia="宋体"/>
          <w:spacing w:val="-3"/>
          <w:sz w:val="24"/>
          <w:szCs w:val="24"/>
        </w:rPr>
        <w:t>80%(</w:t>
      </w:r>
      <w:r>
        <w:rPr>
          <w:rFonts w:ascii="宋体" w:hAnsi="宋体" w:eastAsia="宋体"/>
          <w:sz w:val="24"/>
          <w:szCs w:val="24"/>
        </w:rPr>
        <w:t>含)-90%</w:t>
      </w:r>
      <w:r>
        <w:rPr>
          <w:rFonts w:ascii="宋体" w:hAnsi="宋体" w:eastAsia="宋体"/>
          <w:spacing w:val="-7"/>
          <w:sz w:val="24"/>
          <w:szCs w:val="24"/>
        </w:rPr>
        <w:t>的，得分</w:t>
      </w:r>
      <w:r>
        <w:rPr>
          <w:rFonts w:ascii="宋体" w:hAnsi="宋体" w:eastAsia="宋体"/>
          <w:spacing w:val="-31"/>
          <w:sz w:val="24"/>
          <w:szCs w:val="24"/>
        </w:rPr>
        <w:t>为</w:t>
      </w:r>
      <w:r>
        <w:rPr>
          <w:rFonts w:ascii="宋体" w:hAnsi="宋体" w:eastAsia="宋体"/>
          <w:sz w:val="24"/>
          <w:szCs w:val="24"/>
        </w:rPr>
        <w:t>70×（数据质控合格率/90%）。</w:t>
      </w:r>
    </w:p>
    <w:p w14:paraId="3C9C3B82">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运行维护部分（30</w:t>
      </w:r>
      <w:r>
        <w:rPr>
          <w:rFonts w:ascii="宋体" w:hAnsi="宋体" w:eastAsia="宋体"/>
          <w:spacing w:val="-20"/>
          <w:sz w:val="24"/>
          <w:szCs w:val="24"/>
        </w:rPr>
        <w:t>分)</w:t>
      </w:r>
    </w:p>
    <w:p w14:paraId="401B58B0">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运行维护部分每季度由采购方组织检查，检查内容包括日常运维任务完成情况、异常情况处理情况、站房环境保障效果、采样系统维护效果、仪器日常维护效果、质量控制效果、通讯系统维护效果（数据上传发布情况）、人员与档案记录管理情况等。检查满分100分，考核时运维得分=检查得分×0.3分</w:t>
      </w:r>
      <w:r>
        <w:rPr>
          <w:rFonts w:ascii="宋体" w:hAnsi="宋体" w:eastAsia="宋体"/>
          <w:spacing w:val="-20"/>
          <w:sz w:val="24"/>
          <w:szCs w:val="24"/>
        </w:rPr>
        <w:t>。</w:t>
      </w:r>
    </w:p>
    <w:p w14:paraId="711EFEA9">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考核总分（100分）</w:t>
      </w:r>
    </w:p>
    <w:p w14:paraId="6734EE40">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考核总分=两率得分+运维得分</w:t>
      </w:r>
    </w:p>
    <w:p w14:paraId="41CE2FA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运维费核算方法</w:t>
      </w:r>
    </w:p>
    <w:p w14:paraId="1E07CB27">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考核总分低于80分的，不予支付该站点当期运维费；绩效考核总分95（含）分以上的，支付该站点当期全额运维费；绩效考核总分在80（含）-95分的，该站点当期运维费= (实际考核总分/100)×单站点当期全额运维费。</w:t>
      </w:r>
    </w:p>
    <w:p w14:paraId="2C095FB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其他规定</w:t>
      </w:r>
    </w:p>
    <w:p w14:paraId="4DE7EEB1">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供应商有下列情形之一的，采购方将扣除相应站点当期运行经费：迟报、漏报或不报审核数据的；拖延、阻碍、拒绝质量检查或飞行检查的；发现采样、分析、数据采集和传输等过程人为干扰，未按要求及时报告的；因工作疏漏，未发现采样、分析、数据采集和传输等过程人为干扰的；其他不履行规定职责的情形。</w:t>
      </w:r>
    </w:p>
    <w:p w14:paraId="63040EC4">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在质量检查中，发现供应商未达到运维质控要求时，根据对数据质量造成的影响程度</w:t>
      </w:r>
      <w:r>
        <w:rPr>
          <w:rFonts w:ascii="宋体" w:hAnsi="宋体" w:eastAsia="宋体"/>
          <w:spacing w:val="-9"/>
          <w:sz w:val="24"/>
          <w:szCs w:val="24"/>
        </w:rPr>
        <w:t>，扣减</w:t>
      </w:r>
      <w:r>
        <w:rPr>
          <w:rFonts w:ascii="宋体" w:hAnsi="宋体" w:eastAsia="宋体"/>
          <w:sz w:val="24"/>
          <w:szCs w:val="24"/>
        </w:rPr>
        <w:t>相应站点当季度10%～100%运维</w:t>
      </w:r>
      <w:r>
        <w:rPr>
          <w:rFonts w:ascii="宋体" w:hAnsi="宋体" w:eastAsia="宋体"/>
          <w:spacing w:val="-8"/>
          <w:sz w:val="24"/>
          <w:szCs w:val="24"/>
        </w:rPr>
        <w:t>经费；如未及时整改，加倍扣</w:t>
      </w:r>
      <w:r>
        <w:rPr>
          <w:rFonts w:ascii="宋体" w:hAnsi="宋体" w:eastAsia="宋体"/>
          <w:sz w:val="24"/>
          <w:szCs w:val="24"/>
        </w:rPr>
        <w:t>款。</w:t>
      </w:r>
    </w:p>
    <w:p w14:paraId="5F674493">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sz w:val="24"/>
          <w:szCs w:val="24"/>
        </w:rPr>
        <w:t>10、拟派本项目技术人员、车辆最低配置要求</w:t>
      </w:r>
    </w:p>
    <w:tbl>
      <w:tblPr>
        <w:tblStyle w:val="1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gridCol w:w="708"/>
      </w:tblGrid>
      <w:tr w14:paraId="27E4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vAlign w:val="center"/>
          </w:tcPr>
          <w:p w14:paraId="17BEA368">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拟任岗位</w:t>
            </w:r>
          </w:p>
        </w:tc>
        <w:tc>
          <w:tcPr>
            <w:tcW w:w="708" w:type="dxa"/>
            <w:vAlign w:val="center"/>
          </w:tcPr>
          <w:p w14:paraId="078F84C2">
            <w:pPr>
              <w:adjustRightInd w:val="0"/>
              <w:snapToGrid w:val="0"/>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数量</w:t>
            </w:r>
          </w:p>
        </w:tc>
      </w:tr>
      <w:tr w14:paraId="7009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vAlign w:val="center"/>
          </w:tcPr>
          <w:p w14:paraId="0AEFCC23">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项目负责人</w:t>
            </w:r>
          </w:p>
        </w:tc>
        <w:tc>
          <w:tcPr>
            <w:tcW w:w="708" w:type="dxa"/>
            <w:vAlign w:val="center"/>
          </w:tcPr>
          <w:p w14:paraId="2C77190F">
            <w:pPr>
              <w:adjustRightInd w:val="0"/>
              <w:snapToGrid w:val="0"/>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r>
      <w:tr w14:paraId="0BFC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792" w:type="dxa"/>
            <w:vAlign w:val="center"/>
          </w:tcPr>
          <w:p w14:paraId="2639D87F">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专职运维人员</w:t>
            </w:r>
          </w:p>
        </w:tc>
        <w:tc>
          <w:tcPr>
            <w:tcW w:w="708" w:type="dxa"/>
            <w:vAlign w:val="center"/>
          </w:tcPr>
          <w:p w14:paraId="1433381C">
            <w:pPr>
              <w:adjustRightInd w:val="0"/>
              <w:snapToGrid w:val="0"/>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w:t>
            </w:r>
          </w:p>
        </w:tc>
      </w:tr>
      <w:tr w14:paraId="67E7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vAlign w:val="center"/>
          </w:tcPr>
          <w:p w14:paraId="67D91AD7">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质控人员</w:t>
            </w:r>
          </w:p>
        </w:tc>
        <w:tc>
          <w:tcPr>
            <w:tcW w:w="708" w:type="dxa"/>
            <w:vAlign w:val="center"/>
          </w:tcPr>
          <w:p w14:paraId="0EE7A66A">
            <w:pPr>
              <w:adjustRightInd w:val="0"/>
              <w:snapToGrid w:val="0"/>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r>
      <w:tr w14:paraId="3FB8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vAlign w:val="center"/>
          </w:tcPr>
          <w:p w14:paraId="6AC6CD95">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数据审核人员</w:t>
            </w:r>
          </w:p>
        </w:tc>
        <w:tc>
          <w:tcPr>
            <w:tcW w:w="708" w:type="dxa"/>
            <w:vAlign w:val="center"/>
          </w:tcPr>
          <w:p w14:paraId="67C9B1D5">
            <w:pPr>
              <w:adjustRightInd w:val="0"/>
              <w:snapToGrid w:val="0"/>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r>
      <w:tr w14:paraId="5A3D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2" w:type="dxa"/>
            <w:vAlign w:val="center"/>
          </w:tcPr>
          <w:p w14:paraId="1457B7BE">
            <w:pPr>
              <w:adjustRightInd w:val="0"/>
              <w:snapToGrid w:val="0"/>
              <w:spacing w:line="360" w:lineRule="auto"/>
              <w:rPr>
                <w:rFonts w:hint="eastAsia" w:ascii="宋体" w:hAnsi="宋体" w:eastAsia="宋体" w:cs="Times New Roman"/>
                <w:sz w:val="24"/>
                <w:szCs w:val="24"/>
              </w:rPr>
            </w:pPr>
            <w:r>
              <w:rPr>
                <w:rFonts w:hint="eastAsia" w:ascii="宋体" w:hAnsi="宋体" w:eastAsia="宋体" w:cs="Times New Roman"/>
                <w:sz w:val="24"/>
                <w:szCs w:val="24"/>
              </w:rPr>
              <w:t>车辆</w:t>
            </w:r>
          </w:p>
        </w:tc>
        <w:tc>
          <w:tcPr>
            <w:tcW w:w="708" w:type="dxa"/>
            <w:vAlign w:val="center"/>
          </w:tcPr>
          <w:p w14:paraId="0430ABD9">
            <w:pPr>
              <w:adjustRightInd w:val="0"/>
              <w:snapToGrid w:val="0"/>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w:t>
            </w:r>
          </w:p>
        </w:tc>
      </w:tr>
    </w:tbl>
    <w:p w14:paraId="05ECCAE5">
      <w:pPr>
        <w:adjustRightInd w:val="0"/>
        <w:snapToGrid w:val="0"/>
        <w:spacing w:line="360" w:lineRule="auto"/>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rPr>
        <w:t>11、中标单位应保证至少配备3名专业技术人员按规定的工作业务范围，从事数据统计与分析工作，能较好完成各类型自动监测采样、数据监控、审核、预警、统计、分析、应急及内部协调等工作（包含但不限于本项目所涉及的气站站点），并能做好采购人对自动站现场巡查的交通等保障工作。投标人在本项目所列专业技术人员应相对固定，常驻沛县专服务本项目，未经招标人同意，不得更换。</w:t>
      </w:r>
    </w:p>
    <w:p w14:paraId="05F52378">
      <w:pPr>
        <w:adjustRightInd w:val="0"/>
        <w:snapToGrid w:val="0"/>
        <w:spacing w:line="360" w:lineRule="auto"/>
        <w:ind w:firstLine="482"/>
        <w:rPr>
          <w:rFonts w:hint="eastAsia" w:ascii="宋体" w:hAnsi="宋体" w:eastAsia="宋体"/>
          <w:b/>
          <w:bCs/>
          <w:sz w:val="24"/>
          <w:szCs w:val="24"/>
        </w:rPr>
      </w:pPr>
      <w:r>
        <w:rPr>
          <w:rFonts w:hint="eastAsia" w:ascii="宋体" w:hAnsi="宋体" w:eastAsia="宋体"/>
          <w:b/>
          <w:bCs/>
          <w:sz w:val="24"/>
          <w:szCs w:val="24"/>
        </w:rPr>
        <w:t>八、商务条件</w:t>
      </w:r>
    </w:p>
    <w:p w14:paraId="60E06BF5">
      <w:pPr>
        <w:adjustRightInd w:val="0"/>
        <w:snapToGrid w:val="0"/>
        <w:spacing w:line="360" w:lineRule="auto"/>
        <w:ind w:firstLine="480" w:firstLineChars="200"/>
        <w:rPr>
          <w:rFonts w:hint="eastAsia" w:ascii="宋体" w:hAnsi="宋体" w:eastAsia="宋体" w:cs="仿宋_GB2312"/>
          <w:color w:val="000000"/>
          <w:sz w:val="24"/>
          <w:szCs w:val="24"/>
        </w:rPr>
      </w:pPr>
      <w:r>
        <w:rPr>
          <w:rFonts w:hint="eastAsia" w:ascii="宋体" w:hAnsi="宋体" w:eastAsia="宋体" w:cs="仿宋_GB2312"/>
          <w:color w:val="000000"/>
          <w:sz w:val="24"/>
          <w:szCs w:val="24"/>
          <w:lang w:val="zh-CN"/>
        </w:rPr>
        <w:t>1、</w:t>
      </w:r>
      <w:r>
        <w:rPr>
          <w:rFonts w:hint="eastAsia" w:ascii="宋体" w:hAnsi="宋体" w:eastAsia="宋体" w:cs="仿宋_GB2312"/>
          <w:color w:val="000000"/>
          <w:sz w:val="24"/>
          <w:szCs w:val="24"/>
        </w:rPr>
        <w:t>供货安装调试完毕时间：合同签订后90日内供货安装调试完毕，由供应商提报最快的供货安装调试完毕时间。</w:t>
      </w:r>
    </w:p>
    <w:p w14:paraId="2EA16FE5">
      <w:pPr>
        <w:adjustRightInd w:val="0"/>
        <w:snapToGrid w:val="0"/>
        <w:spacing w:line="360" w:lineRule="auto"/>
        <w:ind w:firstLine="480" w:firstLineChars="200"/>
        <w:rPr>
          <w:rFonts w:hint="eastAsia" w:ascii="宋体" w:hAnsi="宋体" w:eastAsia="宋体"/>
          <w:color w:val="000000"/>
          <w:sz w:val="24"/>
          <w:szCs w:val="24"/>
        </w:rPr>
      </w:pPr>
      <w:r>
        <w:rPr>
          <w:rFonts w:hint="eastAsia" w:ascii="宋体" w:hAnsi="宋体" w:eastAsia="宋体" w:cs="仿宋_GB2312"/>
          <w:color w:val="000000"/>
          <w:sz w:val="24"/>
          <w:szCs w:val="24"/>
        </w:rPr>
        <w:t>2、</w:t>
      </w:r>
      <w:r>
        <w:rPr>
          <w:rFonts w:hint="eastAsia" w:ascii="宋体" w:hAnsi="宋体" w:eastAsia="宋体" w:cs="仿宋_GB2312"/>
          <w:color w:val="000000"/>
          <w:sz w:val="24"/>
          <w:szCs w:val="24"/>
          <w:lang w:val="zh-CN"/>
        </w:rPr>
        <w:t>中标人在接采购人通知1小时做出响应，需要到达现场服务的，应在3小时到达现场。</w:t>
      </w:r>
    </w:p>
    <w:p w14:paraId="71A9535B">
      <w:pPr>
        <w:adjustRightInd w:val="0"/>
        <w:snapToGrid w:val="0"/>
        <w:spacing w:line="360" w:lineRule="auto"/>
        <w:ind w:firstLine="480" w:firstLineChars="200"/>
        <w:rPr>
          <w:rFonts w:hint="eastAsia" w:ascii="宋体" w:hAnsi="宋体" w:eastAsia="宋体"/>
          <w:color w:val="000000"/>
          <w:sz w:val="24"/>
          <w:szCs w:val="24"/>
        </w:rPr>
      </w:pPr>
      <w:r>
        <w:rPr>
          <w:rFonts w:hint="eastAsia" w:ascii="宋体" w:hAnsi="宋体" w:eastAsia="宋体" w:cs="仿宋_GB2312"/>
          <w:color w:val="000000"/>
          <w:sz w:val="24"/>
          <w:szCs w:val="24"/>
          <w:lang w:val="zh-CN"/>
        </w:rPr>
        <w:t>3、</w:t>
      </w:r>
      <w:r>
        <w:rPr>
          <w:rFonts w:ascii="宋体" w:hAnsi="宋体" w:eastAsia="宋体" w:cs="仿宋_GB2312"/>
          <w:color w:val="000000"/>
          <w:sz w:val="24"/>
          <w:szCs w:val="24"/>
          <w:lang w:val="zh-CN"/>
        </w:rPr>
        <w:t>中标</w:t>
      </w:r>
      <w:r>
        <w:rPr>
          <w:rFonts w:hint="eastAsia" w:ascii="宋体" w:hAnsi="宋体" w:eastAsia="宋体" w:cs="仿宋_GB2312"/>
          <w:color w:val="000000"/>
          <w:sz w:val="24"/>
          <w:szCs w:val="24"/>
          <w:lang w:val="zh-CN"/>
        </w:rPr>
        <w:t>人</w:t>
      </w:r>
      <w:r>
        <w:rPr>
          <w:rFonts w:ascii="宋体" w:hAnsi="宋体" w:eastAsia="宋体" w:cs="仿宋_GB2312"/>
          <w:color w:val="000000"/>
          <w:sz w:val="24"/>
          <w:szCs w:val="24"/>
        </w:rPr>
        <w:t>应当协助采购人完善属于中标单位职责范围内的后续相关工作。</w:t>
      </w:r>
    </w:p>
    <w:p w14:paraId="1B21D2EB">
      <w:pPr>
        <w:adjustRightInd w:val="0"/>
        <w:snapToGrid w:val="0"/>
        <w:spacing w:line="360" w:lineRule="auto"/>
        <w:ind w:firstLine="480" w:firstLineChars="200"/>
        <w:rPr>
          <w:rFonts w:hint="eastAsia" w:ascii="宋体" w:hAnsi="宋体" w:eastAsia="宋体"/>
          <w:color w:val="000000"/>
          <w:sz w:val="24"/>
          <w:szCs w:val="24"/>
        </w:rPr>
      </w:pPr>
      <w:r>
        <w:rPr>
          <w:rFonts w:hint="eastAsia" w:ascii="宋体" w:hAnsi="宋体" w:eastAsia="宋体" w:cs="仿宋_GB2312"/>
          <w:color w:val="000000"/>
          <w:sz w:val="24"/>
          <w:szCs w:val="24"/>
        </w:rPr>
        <w:t>4、</w:t>
      </w:r>
      <w:r>
        <w:rPr>
          <w:rFonts w:hint="eastAsia" w:ascii="宋体" w:hAnsi="宋体" w:eastAsia="宋体"/>
          <w:color w:val="000000"/>
          <w:sz w:val="24"/>
          <w:szCs w:val="24"/>
        </w:rPr>
        <w:t>质量保证期：</w:t>
      </w:r>
      <w:r>
        <w:rPr>
          <w:rFonts w:hint="eastAsia" w:ascii="宋体" w:hAnsi="宋体" w:eastAsia="宋体" w:cs="仿宋"/>
          <w:color w:val="000000"/>
          <w:sz w:val="24"/>
          <w:szCs w:val="24"/>
          <w:lang w:val="zh-CN"/>
        </w:rPr>
        <w:t>自验收合格之日起1年，国家主管部门或者行业标准对货物本身有更高要求的，从其规定并在合同中约定，投标人亦可提报更长的质保期。</w:t>
      </w:r>
    </w:p>
    <w:p w14:paraId="0D38060B">
      <w:pPr>
        <w:adjustRightInd w:val="0"/>
        <w:snapToGrid w:val="0"/>
        <w:spacing w:line="360" w:lineRule="auto"/>
        <w:ind w:firstLine="480" w:firstLineChars="200"/>
        <w:rPr>
          <w:rFonts w:hint="eastAsia" w:ascii="宋体" w:hAnsi="宋体" w:eastAsia="宋体"/>
          <w:color w:val="000000"/>
          <w:sz w:val="24"/>
          <w:szCs w:val="24"/>
        </w:rPr>
      </w:pPr>
      <w:r>
        <w:rPr>
          <w:rFonts w:hint="eastAsia" w:ascii="宋体" w:hAnsi="宋体" w:eastAsia="宋体" w:cs="仿宋"/>
          <w:color w:val="000000"/>
          <w:sz w:val="24"/>
          <w:szCs w:val="24"/>
          <w:lang w:val="zh-CN"/>
        </w:rPr>
        <w:t>质量保证期内，如果证实货物是有缺陷的，包括潜在的缺陷或者使用不符合要求的材料等，中标人应立即免费维修或者更换有缺陷的货物或者部件，保证达到合同规定的技术以及性能要求。如果中标人在收到通知后</w:t>
      </w:r>
      <w:r>
        <w:rPr>
          <w:rFonts w:hint="eastAsia" w:ascii="宋体" w:hAnsi="宋体" w:eastAsia="宋体" w:cs="仿宋"/>
          <w:color w:val="000000"/>
          <w:sz w:val="24"/>
          <w:szCs w:val="24"/>
          <w:u w:val="single"/>
          <w:lang w:val="zh-CN"/>
        </w:rPr>
        <w:t>5天</w:t>
      </w:r>
      <w:r>
        <w:rPr>
          <w:rFonts w:hint="eastAsia" w:ascii="宋体" w:hAnsi="宋体" w:eastAsia="宋体" w:cs="仿宋"/>
          <w:color w:val="000000"/>
          <w:sz w:val="24"/>
          <w:szCs w:val="24"/>
          <w:lang w:val="zh-CN"/>
        </w:rPr>
        <w:t>内没有弥补缺陷，招标人可自行采取必要的补救措施，但风险和费用由中标人承担，招标人同时保留通过法律途径进行索赔的权利。</w:t>
      </w:r>
    </w:p>
    <w:p w14:paraId="3EE4BAA8">
      <w:pPr>
        <w:rPr>
          <w:rStyle w:val="33"/>
          <w:rFonts w:hint="default" w:ascii="宋体" w:hAnsi="宋体" w:eastAsia="宋体"/>
        </w:rPr>
      </w:pPr>
    </w:p>
    <w:sectPr>
      <w:footerReference r:id="rId3" w:type="default"/>
      <w:pgSz w:w="12240" w:h="15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7357402"/>
    </w:sdtPr>
    <w:sdtContent>
      <w:p w14:paraId="3EA082B3">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EC2F0FC">
    <w:pPr>
      <w:pStyle w:val="9"/>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21CD6"/>
    <w:multiLevelType w:val="singleLevel"/>
    <w:tmpl w:val="12521C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hMDY2NjQwYWEwNmQxNjI3NWU2NmM3YzkxOWMwZTMifQ=="/>
  </w:docVars>
  <w:rsids>
    <w:rsidRoot w:val="00BB39F0"/>
    <w:rsid w:val="00000556"/>
    <w:rsid w:val="0000109D"/>
    <w:rsid w:val="00020447"/>
    <w:rsid w:val="00022739"/>
    <w:rsid w:val="00041663"/>
    <w:rsid w:val="0004166E"/>
    <w:rsid w:val="000506E6"/>
    <w:rsid w:val="00051639"/>
    <w:rsid w:val="00056900"/>
    <w:rsid w:val="0007697F"/>
    <w:rsid w:val="0008788B"/>
    <w:rsid w:val="0009418A"/>
    <w:rsid w:val="000A09F8"/>
    <w:rsid w:val="000A0E09"/>
    <w:rsid w:val="000A68B1"/>
    <w:rsid w:val="000A7867"/>
    <w:rsid w:val="000A7CD8"/>
    <w:rsid w:val="000D13A9"/>
    <w:rsid w:val="000E0DD5"/>
    <w:rsid w:val="000E1D21"/>
    <w:rsid w:val="000E4663"/>
    <w:rsid w:val="000F4ECF"/>
    <w:rsid w:val="000F5DB2"/>
    <w:rsid w:val="000F6040"/>
    <w:rsid w:val="000F7824"/>
    <w:rsid w:val="001225D5"/>
    <w:rsid w:val="00125156"/>
    <w:rsid w:val="001255DB"/>
    <w:rsid w:val="00126C6A"/>
    <w:rsid w:val="001278E6"/>
    <w:rsid w:val="001332D2"/>
    <w:rsid w:val="00134AB3"/>
    <w:rsid w:val="001438BE"/>
    <w:rsid w:val="0015476E"/>
    <w:rsid w:val="00160A74"/>
    <w:rsid w:val="00165751"/>
    <w:rsid w:val="0016753A"/>
    <w:rsid w:val="00167F06"/>
    <w:rsid w:val="00181B92"/>
    <w:rsid w:val="0018509C"/>
    <w:rsid w:val="00187844"/>
    <w:rsid w:val="00187E5E"/>
    <w:rsid w:val="001A69DE"/>
    <w:rsid w:val="001A736A"/>
    <w:rsid w:val="001B1AB0"/>
    <w:rsid w:val="001B6F08"/>
    <w:rsid w:val="001C0B98"/>
    <w:rsid w:val="001C2017"/>
    <w:rsid w:val="001C4330"/>
    <w:rsid w:val="001D1951"/>
    <w:rsid w:val="001D1E6E"/>
    <w:rsid w:val="001D25EA"/>
    <w:rsid w:val="001F33B5"/>
    <w:rsid w:val="00223154"/>
    <w:rsid w:val="00227C1C"/>
    <w:rsid w:val="00233541"/>
    <w:rsid w:val="00237306"/>
    <w:rsid w:val="00252954"/>
    <w:rsid w:val="00266EE1"/>
    <w:rsid w:val="00274E73"/>
    <w:rsid w:val="002902DE"/>
    <w:rsid w:val="00292261"/>
    <w:rsid w:val="002B41FA"/>
    <w:rsid w:val="002B48E8"/>
    <w:rsid w:val="002C2652"/>
    <w:rsid w:val="002E49CC"/>
    <w:rsid w:val="002F3499"/>
    <w:rsid w:val="00311FCF"/>
    <w:rsid w:val="00322C29"/>
    <w:rsid w:val="00323479"/>
    <w:rsid w:val="00323BCE"/>
    <w:rsid w:val="00334962"/>
    <w:rsid w:val="0035274F"/>
    <w:rsid w:val="003534C5"/>
    <w:rsid w:val="00354136"/>
    <w:rsid w:val="00356F63"/>
    <w:rsid w:val="00364067"/>
    <w:rsid w:val="00376736"/>
    <w:rsid w:val="00376E0D"/>
    <w:rsid w:val="0038470C"/>
    <w:rsid w:val="00392C06"/>
    <w:rsid w:val="00393D84"/>
    <w:rsid w:val="003A1A73"/>
    <w:rsid w:val="003A4750"/>
    <w:rsid w:val="003B0A84"/>
    <w:rsid w:val="003B1CF1"/>
    <w:rsid w:val="003B5B22"/>
    <w:rsid w:val="003D5267"/>
    <w:rsid w:val="003D578E"/>
    <w:rsid w:val="003D6165"/>
    <w:rsid w:val="003E707C"/>
    <w:rsid w:val="003F3315"/>
    <w:rsid w:val="003F7EE1"/>
    <w:rsid w:val="00401159"/>
    <w:rsid w:val="004060C4"/>
    <w:rsid w:val="00423FFA"/>
    <w:rsid w:val="00427D3D"/>
    <w:rsid w:val="00432312"/>
    <w:rsid w:val="00436BEC"/>
    <w:rsid w:val="00437FC2"/>
    <w:rsid w:val="00442EA0"/>
    <w:rsid w:val="00444855"/>
    <w:rsid w:val="00445C30"/>
    <w:rsid w:val="00446BAC"/>
    <w:rsid w:val="004511DC"/>
    <w:rsid w:val="004538FD"/>
    <w:rsid w:val="00463954"/>
    <w:rsid w:val="0046558C"/>
    <w:rsid w:val="00471B91"/>
    <w:rsid w:val="004A621D"/>
    <w:rsid w:val="004B28AA"/>
    <w:rsid w:val="004B7F4C"/>
    <w:rsid w:val="004D7B08"/>
    <w:rsid w:val="004E1581"/>
    <w:rsid w:val="004F0F17"/>
    <w:rsid w:val="004F2791"/>
    <w:rsid w:val="00503D0E"/>
    <w:rsid w:val="0050739F"/>
    <w:rsid w:val="00510235"/>
    <w:rsid w:val="00511FA8"/>
    <w:rsid w:val="00512DD5"/>
    <w:rsid w:val="00521533"/>
    <w:rsid w:val="00534443"/>
    <w:rsid w:val="00550631"/>
    <w:rsid w:val="005532E2"/>
    <w:rsid w:val="00563E2F"/>
    <w:rsid w:val="00571088"/>
    <w:rsid w:val="00573D86"/>
    <w:rsid w:val="0059150C"/>
    <w:rsid w:val="00596FFF"/>
    <w:rsid w:val="005A2CCD"/>
    <w:rsid w:val="005A46C5"/>
    <w:rsid w:val="005A60FE"/>
    <w:rsid w:val="005A6440"/>
    <w:rsid w:val="005B0543"/>
    <w:rsid w:val="005C45E4"/>
    <w:rsid w:val="005D5C2E"/>
    <w:rsid w:val="005E02F2"/>
    <w:rsid w:val="005E41D3"/>
    <w:rsid w:val="005F1E4C"/>
    <w:rsid w:val="00605019"/>
    <w:rsid w:val="00615179"/>
    <w:rsid w:val="006169C8"/>
    <w:rsid w:val="00642137"/>
    <w:rsid w:val="006468E9"/>
    <w:rsid w:val="00650687"/>
    <w:rsid w:val="006519E8"/>
    <w:rsid w:val="00652784"/>
    <w:rsid w:val="00652D52"/>
    <w:rsid w:val="0065300D"/>
    <w:rsid w:val="0068220D"/>
    <w:rsid w:val="00685666"/>
    <w:rsid w:val="006879C0"/>
    <w:rsid w:val="00696370"/>
    <w:rsid w:val="0069729C"/>
    <w:rsid w:val="00697A8A"/>
    <w:rsid w:val="006A788C"/>
    <w:rsid w:val="006B4587"/>
    <w:rsid w:val="006C5D2B"/>
    <w:rsid w:val="006D3C0B"/>
    <w:rsid w:val="006E121E"/>
    <w:rsid w:val="006E17A7"/>
    <w:rsid w:val="006E24FF"/>
    <w:rsid w:val="006E26FF"/>
    <w:rsid w:val="006E6C48"/>
    <w:rsid w:val="006E7D53"/>
    <w:rsid w:val="006F08B1"/>
    <w:rsid w:val="006F7E46"/>
    <w:rsid w:val="00702BCE"/>
    <w:rsid w:val="00710C23"/>
    <w:rsid w:val="007212B3"/>
    <w:rsid w:val="007335A9"/>
    <w:rsid w:val="00741DDD"/>
    <w:rsid w:val="00754668"/>
    <w:rsid w:val="007615DB"/>
    <w:rsid w:val="00766304"/>
    <w:rsid w:val="007818DD"/>
    <w:rsid w:val="0078463A"/>
    <w:rsid w:val="00784A33"/>
    <w:rsid w:val="007850E5"/>
    <w:rsid w:val="00792BC4"/>
    <w:rsid w:val="00797922"/>
    <w:rsid w:val="007A0677"/>
    <w:rsid w:val="007B50D9"/>
    <w:rsid w:val="007C1F76"/>
    <w:rsid w:val="007C5076"/>
    <w:rsid w:val="007C6B25"/>
    <w:rsid w:val="007D122C"/>
    <w:rsid w:val="007D7816"/>
    <w:rsid w:val="007D7FF0"/>
    <w:rsid w:val="007E0F7A"/>
    <w:rsid w:val="007E170E"/>
    <w:rsid w:val="007E1DA3"/>
    <w:rsid w:val="007E66DA"/>
    <w:rsid w:val="007E6762"/>
    <w:rsid w:val="007E6B62"/>
    <w:rsid w:val="007F4595"/>
    <w:rsid w:val="00800797"/>
    <w:rsid w:val="00800F0D"/>
    <w:rsid w:val="008021C7"/>
    <w:rsid w:val="0082673A"/>
    <w:rsid w:val="008355EC"/>
    <w:rsid w:val="00842411"/>
    <w:rsid w:val="008452AF"/>
    <w:rsid w:val="0089096A"/>
    <w:rsid w:val="00894A49"/>
    <w:rsid w:val="008A5E5F"/>
    <w:rsid w:val="008C6CAE"/>
    <w:rsid w:val="008D38CF"/>
    <w:rsid w:val="008E6627"/>
    <w:rsid w:val="008F1B30"/>
    <w:rsid w:val="008F562C"/>
    <w:rsid w:val="008F6686"/>
    <w:rsid w:val="009025BD"/>
    <w:rsid w:val="00922D77"/>
    <w:rsid w:val="00924D1A"/>
    <w:rsid w:val="00927293"/>
    <w:rsid w:val="0093002E"/>
    <w:rsid w:val="0093594A"/>
    <w:rsid w:val="00940E2C"/>
    <w:rsid w:val="00941E62"/>
    <w:rsid w:val="00946005"/>
    <w:rsid w:val="00954A9E"/>
    <w:rsid w:val="0096198A"/>
    <w:rsid w:val="0097006C"/>
    <w:rsid w:val="00970748"/>
    <w:rsid w:val="00972A04"/>
    <w:rsid w:val="00982019"/>
    <w:rsid w:val="00982F9A"/>
    <w:rsid w:val="00984AEE"/>
    <w:rsid w:val="00993443"/>
    <w:rsid w:val="009A4224"/>
    <w:rsid w:val="009A7B47"/>
    <w:rsid w:val="009B1346"/>
    <w:rsid w:val="009C2B2B"/>
    <w:rsid w:val="009C452F"/>
    <w:rsid w:val="009C5E34"/>
    <w:rsid w:val="009C680A"/>
    <w:rsid w:val="009D425A"/>
    <w:rsid w:val="009D7F4B"/>
    <w:rsid w:val="009F5399"/>
    <w:rsid w:val="009F63D7"/>
    <w:rsid w:val="00A031FC"/>
    <w:rsid w:val="00A06063"/>
    <w:rsid w:val="00A449B1"/>
    <w:rsid w:val="00A50C56"/>
    <w:rsid w:val="00A52D91"/>
    <w:rsid w:val="00A573A3"/>
    <w:rsid w:val="00A6032C"/>
    <w:rsid w:val="00A60CB5"/>
    <w:rsid w:val="00A62718"/>
    <w:rsid w:val="00A63476"/>
    <w:rsid w:val="00A71F7B"/>
    <w:rsid w:val="00A849DA"/>
    <w:rsid w:val="00A91F66"/>
    <w:rsid w:val="00AB0E12"/>
    <w:rsid w:val="00AB33D1"/>
    <w:rsid w:val="00AC466A"/>
    <w:rsid w:val="00AC5951"/>
    <w:rsid w:val="00AD3C2C"/>
    <w:rsid w:val="00AD3D22"/>
    <w:rsid w:val="00AE516B"/>
    <w:rsid w:val="00AE69C8"/>
    <w:rsid w:val="00AF34C4"/>
    <w:rsid w:val="00AF7C33"/>
    <w:rsid w:val="00B00E5F"/>
    <w:rsid w:val="00B21B6A"/>
    <w:rsid w:val="00B23657"/>
    <w:rsid w:val="00B346B7"/>
    <w:rsid w:val="00B359DB"/>
    <w:rsid w:val="00B373C3"/>
    <w:rsid w:val="00B4046F"/>
    <w:rsid w:val="00B43F2F"/>
    <w:rsid w:val="00B44EE0"/>
    <w:rsid w:val="00B44EF7"/>
    <w:rsid w:val="00B613A7"/>
    <w:rsid w:val="00B76DFF"/>
    <w:rsid w:val="00B85D0D"/>
    <w:rsid w:val="00B9422B"/>
    <w:rsid w:val="00BB10A1"/>
    <w:rsid w:val="00BB39F0"/>
    <w:rsid w:val="00BC1FF5"/>
    <w:rsid w:val="00BD1339"/>
    <w:rsid w:val="00BD1BBF"/>
    <w:rsid w:val="00BD487E"/>
    <w:rsid w:val="00BD5B34"/>
    <w:rsid w:val="00BE11D3"/>
    <w:rsid w:val="00BE23E4"/>
    <w:rsid w:val="00BE37E4"/>
    <w:rsid w:val="00BF5322"/>
    <w:rsid w:val="00C032D2"/>
    <w:rsid w:val="00C11156"/>
    <w:rsid w:val="00C13D1A"/>
    <w:rsid w:val="00C3111B"/>
    <w:rsid w:val="00C527A3"/>
    <w:rsid w:val="00C5397B"/>
    <w:rsid w:val="00C64910"/>
    <w:rsid w:val="00C715E7"/>
    <w:rsid w:val="00C769CB"/>
    <w:rsid w:val="00C86655"/>
    <w:rsid w:val="00C9585C"/>
    <w:rsid w:val="00CA4194"/>
    <w:rsid w:val="00CA4949"/>
    <w:rsid w:val="00CA5805"/>
    <w:rsid w:val="00CB642E"/>
    <w:rsid w:val="00CB6510"/>
    <w:rsid w:val="00CD03FD"/>
    <w:rsid w:val="00CD6394"/>
    <w:rsid w:val="00CE13DD"/>
    <w:rsid w:val="00CE32C2"/>
    <w:rsid w:val="00D10D79"/>
    <w:rsid w:val="00D23574"/>
    <w:rsid w:val="00D23D39"/>
    <w:rsid w:val="00D32D9D"/>
    <w:rsid w:val="00D46289"/>
    <w:rsid w:val="00D51E25"/>
    <w:rsid w:val="00D94F2D"/>
    <w:rsid w:val="00D97699"/>
    <w:rsid w:val="00DA6300"/>
    <w:rsid w:val="00DB14DA"/>
    <w:rsid w:val="00DB180E"/>
    <w:rsid w:val="00DC5132"/>
    <w:rsid w:val="00DC57C3"/>
    <w:rsid w:val="00DC6921"/>
    <w:rsid w:val="00DD0A2D"/>
    <w:rsid w:val="00DE3229"/>
    <w:rsid w:val="00DE5EE8"/>
    <w:rsid w:val="00DE6279"/>
    <w:rsid w:val="00DE720C"/>
    <w:rsid w:val="00DF6335"/>
    <w:rsid w:val="00E00576"/>
    <w:rsid w:val="00E023E7"/>
    <w:rsid w:val="00E02B18"/>
    <w:rsid w:val="00E05037"/>
    <w:rsid w:val="00E1134F"/>
    <w:rsid w:val="00E11A2A"/>
    <w:rsid w:val="00E13CC0"/>
    <w:rsid w:val="00E20246"/>
    <w:rsid w:val="00E27FB0"/>
    <w:rsid w:val="00E30149"/>
    <w:rsid w:val="00E37B30"/>
    <w:rsid w:val="00E42BE5"/>
    <w:rsid w:val="00E47A19"/>
    <w:rsid w:val="00E51FC4"/>
    <w:rsid w:val="00E56C6D"/>
    <w:rsid w:val="00E60A4D"/>
    <w:rsid w:val="00E672D4"/>
    <w:rsid w:val="00E77848"/>
    <w:rsid w:val="00E81C0E"/>
    <w:rsid w:val="00E820A0"/>
    <w:rsid w:val="00E82357"/>
    <w:rsid w:val="00EA465B"/>
    <w:rsid w:val="00EC0A2E"/>
    <w:rsid w:val="00ED0980"/>
    <w:rsid w:val="00ED629D"/>
    <w:rsid w:val="00EF2EF3"/>
    <w:rsid w:val="00EF697D"/>
    <w:rsid w:val="00EF6CD8"/>
    <w:rsid w:val="00F07EC1"/>
    <w:rsid w:val="00F35CDE"/>
    <w:rsid w:val="00F45426"/>
    <w:rsid w:val="00F51A67"/>
    <w:rsid w:val="00F5493D"/>
    <w:rsid w:val="00F56C6E"/>
    <w:rsid w:val="00F668A0"/>
    <w:rsid w:val="00F80138"/>
    <w:rsid w:val="00F805F5"/>
    <w:rsid w:val="00F84B4F"/>
    <w:rsid w:val="00F86850"/>
    <w:rsid w:val="00F87661"/>
    <w:rsid w:val="00F93017"/>
    <w:rsid w:val="00F94BB4"/>
    <w:rsid w:val="00FB2BA1"/>
    <w:rsid w:val="00FD2BF6"/>
    <w:rsid w:val="00FD5687"/>
    <w:rsid w:val="00FE133A"/>
    <w:rsid w:val="00FF3988"/>
    <w:rsid w:val="031E56CE"/>
    <w:rsid w:val="05A10497"/>
    <w:rsid w:val="10CF50A9"/>
    <w:rsid w:val="323D546D"/>
    <w:rsid w:val="34C8205B"/>
    <w:rsid w:val="60186A6D"/>
    <w:rsid w:val="6A296144"/>
    <w:rsid w:val="6AFF30D3"/>
    <w:rsid w:val="6CEE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ascii="Times New Roman" w:hAnsi="Times New Roman" w:eastAsia="宋体" w:cs="Times New Roman"/>
      <w:b/>
      <w:bCs/>
      <w:kern w:val="44"/>
      <w:sz w:val="44"/>
      <w:szCs w:val="44"/>
    </w:rPr>
  </w:style>
  <w:style w:type="paragraph" w:styleId="3">
    <w:name w:val="heading 2"/>
    <w:basedOn w:val="1"/>
    <w:next w:val="1"/>
    <w:link w:val="20"/>
    <w:qFormat/>
    <w:uiPriority w:val="99"/>
    <w:pPr>
      <w:autoSpaceDE w:val="0"/>
      <w:autoSpaceDN w:val="0"/>
      <w:adjustRightInd w:val="0"/>
      <w:jc w:val="left"/>
      <w:outlineLvl w:val="1"/>
    </w:pPr>
    <w:rPr>
      <w:rFonts w:ascii="Times New Roman" w:hAnsi="Times New Roman" w:eastAsia="宋体" w:cs="Times New Roman"/>
      <w:kern w:val="0"/>
      <w:sz w:val="24"/>
      <w:szCs w:val="24"/>
    </w:rPr>
  </w:style>
  <w:style w:type="paragraph" w:styleId="4">
    <w:name w:val="heading 3"/>
    <w:basedOn w:val="5"/>
    <w:next w:val="1"/>
    <w:link w:val="21"/>
    <w:qFormat/>
    <w:uiPriority w:val="99"/>
    <w:pPr>
      <w:autoSpaceDE w:val="0"/>
      <w:autoSpaceDN w:val="0"/>
      <w:adjustRightInd w:val="0"/>
      <w:jc w:val="left"/>
      <w:outlineLvl w:val="2"/>
    </w:pPr>
    <w:rPr>
      <w:kern w:val="0"/>
      <w:sz w:val="24"/>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Times New Roman" w:hAnsi="Times New Roman" w:eastAsia="宋体" w:cs="Times New Roman"/>
    </w:rPr>
  </w:style>
  <w:style w:type="paragraph" w:styleId="6">
    <w:name w:val="Normal Indent"/>
    <w:basedOn w:val="1"/>
    <w:qFormat/>
    <w:uiPriority w:val="0"/>
    <w:pPr>
      <w:ind w:firstLine="420"/>
    </w:pPr>
    <w:rPr>
      <w:rFonts w:ascii="Times New Roman" w:hAnsi="Times New Roman" w:eastAsia="宋体" w:cs="Times New Roman"/>
      <w:szCs w:val="21"/>
    </w:rPr>
  </w:style>
  <w:style w:type="paragraph" w:styleId="7">
    <w:name w:val="Body Text"/>
    <w:basedOn w:val="1"/>
    <w:link w:val="22"/>
    <w:semiHidden/>
    <w:unhideWhenUsed/>
    <w:qFormat/>
    <w:uiPriority w:val="99"/>
    <w:pPr>
      <w:spacing w:after="120"/>
    </w:pPr>
  </w:style>
  <w:style w:type="paragraph" w:styleId="8">
    <w:name w:val="Plain Text"/>
    <w:basedOn w:val="1"/>
    <w:link w:val="24"/>
    <w:qFormat/>
    <w:uiPriority w:val="0"/>
    <w:pPr>
      <w:spacing w:before="156" w:beforeLines="50" w:after="156" w:afterLines="50" w:line="400" w:lineRule="exact"/>
    </w:pPr>
    <w:rPr>
      <w:rFonts w:ascii="宋体" w:hAnsi="Courier New" w:eastAsia="宋体" w:cs="Times New Roman"/>
      <w:szCs w:val="20"/>
    </w:rPr>
  </w:style>
  <w:style w:type="paragraph" w:styleId="9">
    <w:name w:val="footer"/>
    <w:basedOn w:val="1"/>
    <w:link w:val="18"/>
    <w:unhideWhenUsed/>
    <w:qFormat/>
    <w:uiPriority w:val="99"/>
    <w:pPr>
      <w:tabs>
        <w:tab w:val="center" w:pos="4320"/>
        <w:tab w:val="right" w:pos="8640"/>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320"/>
        <w:tab w:val="right" w:pos="8640"/>
      </w:tabs>
      <w:snapToGrid w:val="0"/>
      <w:jc w:val="center"/>
    </w:pPr>
    <w:rPr>
      <w:sz w:val="18"/>
      <w:szCs w:val="18"/>
    </w:rPr>
  </w:style>
  <w:style w:type="paragraph" w:styleId="11">
    <w:name w:val="Normal (Web)"/>
    <w:basedOn w:val="1"/>
    <w:qFormat/>
    <w:uiPriority w:val="0"/>
    <w:pPr>
      <w:spacing w:beforeAutospacing="1" w:afterAutospacing="1"/>
      <w:jc w:val="left"/>
    </w:pPr>
    <w:rPr>
      <w:rFonts w:ascii="Times New Roman" w:hAnsi="Times New Roman" w:eastAsia="宋体" w:cs="Times New Roman"/>
      <w:kern w:val="0"/>
      <w:sz w:val="24"/>
      <w:szCs w:val="20"/>
    </w:rPr>
  </w:style>
  <w:style w:type="paragraph" w:styleId="12">
    <w:name w:val="Body Text First Indent"/>
    <w:basedOn w:val="1"/>
    <w:link w:val="23"/>
    <w:qFormat/>
    <w:uiPriority w:val="99"/>
    <w:pPr>
      <w:spacing w:line="360" w:lineRule="auto"/>
      <w:ind w:firstLine="200" w:firstLineChars="200"/>
    </w:pPr>
    <w:rPr>
      <w:rFonts w:ascii="Times New Roman" w:hAnsi="Times New Roman" w:eastAsia="宋体" w:cs="Times New Roman"/>
      <w:kern w:val="0"/>
    </w:rPr>
  </w:style>
  <w:style w:type="table" w:styleId="14">
    <w:name w:val="Table Grid"/>
    <w:basedOn w:val="1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qFormat/>
    <w:uiPriority w:val="0"/>
    <w:rPr>
      <w:i/>
      <w:iCs/>
    </w:rPr>
  </w:style>
  <w:style w:type="character" w:customStyle="1" w:styleId="17">
    <w:name w:val="页眉 字符"/>
    <w:basedOn w:val="15"/>
    <w:link w:val="10"/>
    <w:qFormat/>
    <w:uiPriority w:val="99"/>
    <w:rPr>
      <w:sz w:val="18"/>
      <w:szCs w:val="18"/>
    </w:rPr>
  </w:style>
  <w:style w:type="character" w:customStyle="1" w:styleId="18">
    <w:name w:val="页脚 字符"/>
    <w:basedOn w:val="15"/>
    <w:link w:val="9"/>
    <w:qFormat/>
    <w:uiPriority w:val="99"/>
    <w:rPr>
      <w:sz w:val="18"/>
      <w:szCs w:val="18"/>
    </w:rPr>
  </w:style>
  <w:style w:type="character" w:customStyle="1" w:styleId="19">
    <w:name w:val="标题 1 字符"/>
    <w:basedOn w:val="15"/>
    <w:link w:val="2"/>
    <w:qFormat/>
    <w:uiPriority w:val="9"/>
    <w:rPr>
      <w:rFonts w:ascii="Times New Roman" w:hAnsi="Times New Roman" w:eastAsia="宋体" w:cs="Times New Roman"/>
      <w:b/>
      <w:bCs/>
      <w:kern w:val="44"/>
      <w:sz w:val="44"/>
      <w:szCs w:val="44"/>
    </w:rPr>
  </w:style>
  <w:style w:type="character" w:customStyle="1" w:styleId="20">
    <w:name w:val="标题 2 字符"/>
    <w:basedOn w:val="15"/>
    <w:link w:val="3"/>
    <w:qFormat/>
    <w:uiPriority w:val="9"/>
    <w:rPr>
      <w:rFonts w:ascii="Times New Roman" w:hAnsi="Times New Roman" w:eastAsia="宋体" w:cs="Times New Roman"/>
      <w:kern w:val="0"/>
      <w:sz w:val="24"/>
      <w:szCs w:val="24"/>
    </w:rPr>
  </w:style>
  <w:style w:type="character" w:customStyle="1" w:styleId="21">
    <w:name w:val="标题 3 字符"/>
    <w:basedOn w:val="15"/>
    <w:link w:val="4"/>
    <w:qFormat/>
    <w:uiPriority w:val="99"/>
    <w:rPr>
      <w:rFonts w:ascii="Times New Roman" w:hAnsi="Times New Roman" w:eastAsia="宋体" w:cs="Times New Roman"/>
      <w:kern w:val="0"/>
      <w:sz w:val="24"/>
      <w:szCs w:val="24"/>
    </w:rPr>
  </w:style>
  <w:style w:type="character" w:customStyle="1" w:styleId="22">
    <w:name w:val="正文文本 字符"/>
    <w:basedOn w:val="15"/>
    <w:link w:val="7"/>
    <w:semiHidden/>
    <w:qFormat/>
    <w:uiPriority w:val="99"/>
  </w:style>
  <w:style w:type="character" w:customStyle="1" w:styleId="23">
    <w:name w:val="正文文本首行缩进 字符"/>
    <w:basedOn w:val="22"/>
    <w:link w:val="12"/>
    <w:qFormat/>
    <w:uiPriority w:val="99"/>
    <w:rPr>
      <w:rFonts w:ascii="Times New Roman" w:hAnsi="Times New Roman" w:eastAsia="宋体" w:cs="Times New Roman"/>
      <w:kern w:val="0"/>
    </w:rPr>
  </w:style>
  <w:style w:type="character" w:customStyle="1" w:styleId="24">
    <w:name w:val="纯文本 字符"/>
    <w:basedOn w:val="15"/>
    <w:link w:val="8"/>
    <w:qFormat/>
    <w:uiPriority w:val="0"/>
    <w:rPr>
      <w:rFonts w:ascii="宋体" w:hAnsi="Courier New" w:eastAsia="宋体" w:cs="Times New Roman"/>
      <w:szCs w:val="20"/>
    </w:rPr>
  </w:style>
  <w:style w:type="paragraph" w:customStyle="1" w:styleId="2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6">
    <w:name w:val="正文 A"/>
    <w:next w:val="27"/>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9">
    <w:name w:val="样式 仿宋"/>
    <w:qFormat/>
    <w:uiPriority w:val="0"/>
    <w:rPr>
      <w:rFonts w:ascii="仿宋" w:hAnsi="仿宋" w:eastAsia="仿宋"/>
      <w:kern w:val="1"/>
    </w:rPr>
  </w:style>
  <w:style w:type="paragraph" w:customStyle="1" w:styleId="30">
    <w:name w:val="Default"/>
    <w:next w:val="1"/>
    <w:link w:val="3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1">
    <w:name w:val="Default Char Char"/>
    <w:link w:val="30"/>
    <w:qFormat/>
    <w:uiPriority w:val="0"/>
    <w:rPr>
      <w:rFonts w:ascii="Arial" w:hAnsi="Arial" w:eastAsia="宋体" w:cs="Arial"/>
      <w:color w:val="000000"/>
      <w:kern w:val="0"/>
      <w:sz w:val="24"/>
      <w:szCs w:val="24"/>
    </w:rPr>
  </w:style>
  <w:style w:type="paragraph" w:customStyle="1" w:styleId="32">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33">
    <w:name w:val="fontstyle01"/>
    <w:basedOn w:val="15"/>
    <w:qFormat/>
    <w:uiPriority w:val="0"/>
    <w:rPr>
      <w:rFonts w:hint="eastAsia" w:ascii="仿宋" w:hAnsi="仿宋" w:eastAsia="仿宋"/>
      <w:color w:val="000000"/>
      <w:sz w:val="24"/>
      <w:szCs w:val="24"/>
    </w:rPr>
  </w:style>
  <w:style w:type="paragraph" w:customStyle="1" w:styleId="34">
    <w:name w:val="style2"/>
    <w:basedOn w:val="1"/>
    <w:next w:val="1"/>
    <w:qFormat/>
    <w:uiPriority w:val="0"/>
    <w:pPr>
      <w:spacing w:before="100" w:beforeAutospacing="1" w:after="100" w:afterAutospacing="1"/>
    </w:pPr>
    <w:rPr>
      <w:rFonts w:ascii="宋体" w:hAnsi="宋体" w:eastAsia="宋体" w:cs="宋体"/>
      <w:szCs w:val="20"/>
    </w:rPr>
  </w:style>
  <w:style w:type="paragraph" w:customStyle="1" w:styleId="35">
    <w:name w:val="style1"/>
    <w:basedOn w:val="1"/>
    <w:next w:val="1"/>
    <w:qFormat/>
    <w:uiPriority w:val="0"/>
    <w:pPr>
      <w:spacing w:before="100" w:beforeAutospacing="1" w:after="100" w:afterAutospacing="1"/>
    </w:pPr>
    <w:rPr>
      <w:rFonts w:ascii="宋体" w:hAnsi="宋体" w:eastAsia="宋体" w:cs="宋体"/>
      <w:szCs w:val="20"/>
    </w:rPr>
  </w:style>
  <w:style w:type="table" w:customStyle="1" w:styleId="36">
    <w:name w:val="Plain Table 2"/>
    <w:basedOn w:val="13"/>
    <w:qFormat/>
    <w:uiPriority w:val="59"/>
    <w:rPr>
      <w:rFonts w:ascii="Times New Roman" w:hAnsi="Times New Roman" w:eastAsia="宋体" w:cs="Times New Roman"/>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8190</Words>
  <Characters>8990</Characters>
  <Lines>239</Lines>
  <Paragraphs>252</Paragraphs>
  <TotalTime>0</TotalTime>
  <ScaleCrop>false</ScaleCrop>
  <LinksUpToDate>false</LinksUpToDate>
  <CharactersWithSpaces>9030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2022-07-27T06:54:00Z</dcterms:created>
  <dc:creator>714080014@qq.com</dc:creator>
  <cp:lastModifiedBy>WPS_1731403006</cp:lastModifiedBy>
  <dcterms:modified xsi:type="dcterms:W3CDTF">2025-09-01T06:45:24Z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E1287F4C71D54124A82491DC0F66EECD_13</vt:lpwstr>
  </property>
  <property fmtid="{D5CDD505-2E9C-101B-9397-08002B2CF9AE}" pid="4" name="KSOTemplateDocerSaveRecord">
    <vt:lpwstr>eyJoZGlkIjoiNzgzZWU2NjJjZTQxZjBhN2JiNTI0MzIwYzBiZjRkNTAiLCJ1c2VySWQiOiIxNjU2MTAyNTc3In0=</vt:lpwstr>
  </property>
</Properties>
</file>