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9BB36">
      <w:pPr>
        <w:widowControl/>
        <w:spacing w:line="336" w:lineRule="auto"/>
        <w:jc w:val="left"/>
        <w:rPr>
          <w:rFonts w:hint="eastAsia" w:ascii="宋体" w:hAnsi="宋体" w:eastAsia="宋体" w:cs="宋体"/>
          <w:color w:val="000000"/>
          <w:kern w:val="0"/>
          <w:lang w:eastAsia="zh-CN" w:bidi="ar"/>
        </w:rPr>
        <w:sectPr>
          <w:pgSz w:w="11906" w:h="16838"/>
          <w:pgMar w:top="1440" w:right="1800" w:bottom="1440" w:left="1800" w:header="851" w:footer="992" w:gutter="0"/>
          <w:cols w:space="720" w:num="1"/>
          <w:docGrid w:linePitch="360" w:charSpace="0"/>
        </w:sectPr>
      </w:pPr>
      <w:r>
        <w:rPr>
          <w:rFonts w:hint="eastAsia" w:ascii="宋体" w:hAnsi="宋体" w:eastAsia="宋体" w:cs="宋体"/>
          <w:color w:val="000000"/>
          <w:kern w:val="0"/>
          <w:lang w:bidi="ar"/>
        </w:rPr>
        <w:t>如有建议或意见，请以书面形式并加盖公章、注明联系人、联系方式，于202</w:t>
      </w:r>
      <w:r>
        <w:rPr>
          <w:rFonts w:hint="eastAsia" w:ascii="宋体" w:hAnsi="宋体" w:eastAsia="宋体" w:cs="宋体"/>
          <w:color w:val="000000"/>
          <w:kern w:val="0"/>
          <w:lang w:val="en-US" w:eastAsia="zh-CN" w:bidi="ar"/>
        </w:rPr>
        <w:t>5</w:t>
      </w:r>
      <w:r>
        <w:rPr>
          <w:rFonts w:hint="eastAsia" w:ascii="宋体" w:hAnsi="宋体" w:eastAsia="宋体" w:cs="宋体"/>
          <w:color w:val="000000"/>
          <w:kern w:val="0"/>
          <w:lang w:bidi="ar"/>
        </w:rPr>
        <w:t xml:space="preserve"> 年</w:t>
      </w:r>
      <w:r>
        <w:rPr>
          <w:rFonts w:hint="eastAsia" w:ascii="宋体" w:hAnsi="宋体" w:eastAsia="宋体" w:cs="宋体"/>
          <w:color w:val="000000"/>
          <w:kern w:val="0"/>
          <w:lang w:val="en-US" w:eastAsia="zh-CN" w:bidi="ar"/>
        </w:rPr>
        <w:t>08</w:t>
      </w:r>
      <w:r>
        <w:rPr>
          <w:rFonts w:hint="eastAsia" w:ascii="宋体" w:hAnsi="宋体" w:eastAsia="宋体" w:cs="宋体"/>
          <w:color w:val="000000"/>
          <w:kern w:val="0"/>
          <w:lang w:bidi="ar"/>
        </w:rPr>
        <w:t>月</w:t>
      </w:r>
      <w:r>
        <w:rPr>
          <w:rFonts w:hint="eastAsia" w:ascii="宋体" w:hAnsi="宋体" w:eastAsia="宋体" w:cs="宋体"/>
          <w:color w:val="000000"/>
          <w:kern w:val="0"/>
          <w:lang w:val="en-US" w:eastAsia="zh-CN" w:bidi="ar"/>
        </w:rPr>
        <w:t>22</w:t>
      </w:r>
      <w:r>
        <w:rPr>
          <w:rFonts w:hint="eastAsia" w:ascii="宋体" w:hAnsi="宋体" w:eastAsia="宋体" w:cs="宋体"/>
          <w:color w:val="000000"/>
          <w:kern w:val="0"/>
          <w:lang w:bidi="ar"/>
        </w:rPr>
        <w:t>日 17:00 之前送至我单位，逾期不受理（如邮寄，202</w:t>
      </w:r>
      <w:r>
        <w:rPr>
          <w:rFonts w:hint="eastAsia" w:ascii="宋体" w:hAnsi="宋体" w:eastAsia="宋体" w:cs="宋体"/>
          <w:color w:val="000000"/>
          <w:kern w:val="0"/>
          <w:lang w:val="en-US" w:eastAsia="zh-CN" w:bidi="ar"/>
        </w:rPr>
        <w:t>5</w:t>
      </w:r>
      <w:r>
        <w:rPr>
          <w:rFonts w:hint="eastAsia" w:ascii="宋体" w:hAnsi="宋体" w:eastAsia="宋体" w:cs="宋体"/>
          <w:color w:val="000000"/>
          <w:kern w:val="0"/>
          <w:lang w:bidi="ar"/>
        </w:rPr>
        <w:t>年</w:t>
      </w:r>
      <w:r>
        <w:rPr>
          <w:rFonts w:hint="eastAsia" w:ascii="宋体" w:hAnsi="宋体" w:eastAsia="宋体" w:cs="宋体"/>
          <w:color w:val="000000"/>
          <w:kern w:val="0"/>
          <w:lang w:val="en-US" w:eastAsia="zh-CN" w:bidi="ar"/>
        </w:rPr>
        <w:t>08</w:t>
      </w:r>
      <w:r>
        <w:rPr>
          <w:rFonts w:hint="eastAsia" w:ascii="宋体" w:hAnsi="宋体" w:eastAsia="宋体" w:cs="宋体"/>
          <w:color w:val="000000"/>
          <w:kern w:val="0"/>
          <w:lang w:bidi="ar"/>
        </w:rPr>
        <w:t>月</w:t>
      </w:r>
      <w:r>
        <w:rPr>
          <w:rFonts w:hint="eastAsia" w:ascii="宋体" w:hAnsi="宋体" w:eastAsia="宋体" w:cs="宋体"/>
          <w:color w:val="000000"/>
          <w:kern w:val="0"/>
          <w:lang w:val="en-US" w:eastAsia="zh-CN" w:bidi="ar"/>
        </w:rPr>
        <w:t>22</w:t>
      </w:r>
      <w:bookmarkStart w:id="0" w:name="_GoBack"/>
      <w:bookmarkEnd w:id="0"/>
      <w:r>
        <w:rPr>
          <w:rFonts w:hint="eastAsia" w:ascii="宋体" w:hAnsi="宋体" w:eastAsia="宋体" w:cs="宋体"/>
          <w:color w:val="000000"/>
          <w:kern w:val="0"/>
          <w:lang w:bidi="ar"/>
        </w:rPr>
        <w:t>日 17:00 之后到达本公司的邮件将不再受理</w:t>
      </w:r>
      <w:r>
        <w:rPr>
          <w:rFonts w:hint="eastAsia" w:ascii="宋体" w:hAnsi="宋体" w:eastAsia="宋体" w:cs="宋体"/>
          <w:color w:val="000000"/>
          <w:kern w:val="0"/>
          <w:lang w:eastAsia="zh-CN" w:bidi="ar"/>
        </w:rPr>
        <w:t>）。</w:t>
      </w:r>
    </w:p>
    <w:p w14:paraId="6FB11148">
      <w:pPr>
        <w:pStyle w:val="5"/>
        <w:ind w:firstLine="723"/>
        <w:rPr>
          <w:rFonts w:ascii="宋体" w:hAnsi="宋体" w:eastAsia="宋体"/>
        </w:rPr>
      </w:pPr>
      <w:r>
        <w:rPr>
          <w:rFonts w:ascii="宋体" w:hAnsi="宋体" w:eastAsia="宋体"/>
        </w:rPr>
        <w:t>采购需求</w:t>
      </w:r>
    </w:p>
    <w:p w14:paraId="2130F1DA">
      <w:pPr>
        <w:rPr>
          <w:rFonts w:hint="eastAsia"/>
          <w:lang w:val="en-US" w:eastAsia="zh-CN"/>
        </w:rPr>
      </w:pPr>
      <w:r>
        <w:rPr>
          <w:rFonts w:hint="eastAsia"/>
          <w:lang w:val="en-US" w:eastAsia="zh-CN"/>
        </w:rPr>
        <w:t>一、采购预算</w:t>
      </w:r>
    </w:p>
    <w:p w14:paraId="3C304FBD">
      <w:pPr>
        <w:rPr>
          <w:rFonts w:hint="eastAsia"/>
          <w:lang w:eastAsia="zh-CN"/>
        </w:rPr>
      </w:pPr>
      <w:r>
        <w:rPr>
          <w:rFonts w:hint="eastAsia"/>
          <w:lang w:eastAsia="zh-CN"/>
        </w:rPr>
        <w:t>本项目不接受超过</w:t>
      </w:r>
      <w:r>
        <w:rPr>
          <w:rFonts w:hint="eastAsia"/>
          <w:lang w:val="en-US" w:eastAsia="zh-CN"/>
        </w:rPr>
        <w:t>65.292</w:t>
      </w:r>
      <w:r>
        <w:rPr>
          <w:rFonts w:hint="eastAsia"/>
          <w:lang w:eastAsia="zh-CN"/>
        </w:rPr>
        <w:t>万元人民币（采购项目预算金额）的投标报价。采购人不再支付报价以外的任何费用。</w:t>
      </w:r>
    </w:p>
    <w:p w14:paraId="078E3069">
      <w:pPr>
        <w:rPr>
          <w:rFonts w:hint="eastAsia"/>
        </w:rPr>
      </w:pPr>
      <w:r>
        <w:rPr>
          <w:rFonts w:hint="eastAsia"/>
          <w:lang w:val="en-US" w:eastAsia="zh-CN"/>
        </w:rPr>
        <w:t>二、项目概括</w:t>
      </w:r>
    </w:p>
    <w:p w14:paraId="559D1A04">
      <w:pPr>
        <w:rPr>
          <w:rFonts w:hint="eastAsia"/>
        </w:rPr>
      </w:pPr>
      <w:r>
        <w:rPr>
          <w:rFonts w:hint="eastAsia"/>
          <w:lang w:eastAsia="zh-CN"/>
        </w:rPr>
        <w:t>1、采购人：徐州市医疗保障局</w:t>
      </w:r>
    </w:p>
    <w:p w14:paraId="5CDE3809">
      <w:pPr>
        <w:rPr>
          <w:rFonts w:hint="eastAsia"/>
        </w:rPr>
      </w:pPr>
      <w:r>
        <w:rPr>
          <w:rFonts w:hint="eastAsia"/>
          <w:lang w:eastAsia="zh-CN"/>
        </w:rPr>
        <w:t>2、项目名称：徐州市医疗保障局医保网络安全服务项目</w:t>
      </w:r>
    </w:p>
    <w:p w14:paraId="271E0D92">
      <w:pPr>
        <w:rPr>
          <w:rFonts w:hint="eastAsia"/>
          <w:lang w:val="en-US" w:eastAsia="zh-CN"/>
        </w:rPr>
      </w:pPr>
      <w:r>
        <w:rPr>
          <w:rFonts w:hint="eastAsia"/>
          <w:lang w:eastAsia="zh-CN"/>
        </w:rPr>
        <w:t>3、项目地点：</w:t>
      </w:r>
      <w:r>
        <w:rPr>
          <w:rFonts w:hint="eastAsia"/>
          <w:lang w:val="en-US" w:eastAsia="zh-CN"/>
        </w:rPr>
        <w:t>江苏省徐州市</w:t>
      </w:r>
    </w:p>
    <w:p w14:paraId="4F7E7F0E">
      <w:pPr>
        <w:rPr>
          <w:rFonts w:hint="default"/>
          <w:lang w:val="en-US" w:eastAsia="zh-CN"/>
        </w:rPr>
      </w:pPr>
      <w:r>
        <w:rPr>
          <w:rFonts w:hint="eastAsia"/>
          <w:lang w:val="en-US" w:eastAsia="zh-CN"/>
        </w:rPr>
        <w:t>4、质量要求：合格</w:t>
      </w:r>
    </w:p>
    <w:p w14:paraId="481D05C2">
      <w:pPr>
        <w:rPr>
          <w:rFonts w:hint="eastAsia"/>
          <w:lang w:val="en-US" w:eastAsia="zh-CN"/>
        </w:rPr>
      </w:pPr>
      <w:r>
        <w:rPr>
          <w:rFonts w:hint="eastAsia"/>
          <w:lang w:val="en-US" w:eastAsia="zh-CN"/>
        </w:rPr>
        <w:t>三、服务清单及技术要求：</w:t>
      </w:r>
    </w:p>
    <w:p w14:paraId="6F5F47CF">
      <w:pPr>
        <w:rPr>
          <w:rFonts w:hint="default"/>
          <w:lang w:val="en-US" w:eastAsia="zh-CN"/>
        </w:rPr>
      </w:pPr>
      <w:r>
        <w:rPr>
          <w:rFonts w:hint="eastAsia"/>
          <w:lang w:val="en-US" w:eastAsia="zh-CN"/>
        </w:rPr>
        <w:t>服务清单</w:t>
      </w:r>
    </w:p>
    <w:tbl>
      <w:tblPr>
        <w:tblStyle w:val="7"/>
        <w:tblW w:w="7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2080"/>
        <w:gridCol w:w="1564"/>
        <w:gridCol w:w="1925"/>
        <w:gridCol w:w="1209"/>
      </w:tblGrid>
      <w:tr w14:paraId="6D77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4" w:type="dxa"/>
            <w:shd w:val="clear" w:color="auto" w:fill="F1F1F1" w:themeFill="background1" w:themeFillShade="F2"/>
            <w:vAlign w:val="center"/>
          </w:tcPr>
          <w:p w14:paraId="52478AF6">
            <w:pPr>
              <w:rPr>
                <w:rFonts w:hint="eastAsia"/>
              </w:rPr>
            </w:pPr>
            <w:r>
              <w:rPr>
                <w:rFonts w:hint="eastAsia"/>
              </w:rPr>
              <w:t>序号</w:t>
            </w:r>
          </w:p>
        </w:tc>
        <w:tc>
          <w:tcPr>
            <w:tcW w:w="2123" w:type="dxa"/>
            <w:shd w:val="clear" w:color="auto" w:fill="F1F1F1" w:themeFill="background1" w:themeFillShade="F2"/>
            <w:vAlign w:val="center"/>
          </w:tcPr>
          <w:p w14:paraId="19D1BFB8">
            <w:pPr>
              <w:rPr>
                <w:rFonts w:hint="eastAsia"/>
              </w:rPr>
            </w:pPr>
            <w:r>
              <w:rPr>
                <w:rFonts w:hint="eastAsia"/>
              </w:rPr>
              <w:t>服务名称</w:t>
            </w:r>
          </w:p>
        </w:tc>
        <w:tc>
          <w:tcPr>
            <w:tcW w:w="1587" w:type="dxa"/>
            <w:shd w:val="clear" w:color="auto" w:fill="F1F1F1" w:themeFill="background1" w:themeFillShade="F2"/>
            <w:vAlign w:val="center"/>
          </w:tcPr>
          <w:p w14:paraId="1A24BB69">
            <w:pPr>
              <w:rPr>
                <w:rFonts w:hint="eastAsia"/>
                <w:lang w:val="en-US" w:eastAsia="zh-CN"/>
              </w:rPr>
            </w:pPr>
            <w:r>
              <w:rPr>
                <w:rFonts w:hint="eastAsia"/>
                <w:lang w:val="en-US" w:eastAsia="zh-CN"/>
              </w:rPr>
              <w:t>服务范围</w:t>
            </w:r>
          </w:p>
        </w:tc>
        <w:tc>
          <w:tcPr>
            <w:tcW w:w="1931" w:type="dxa"/>
            <w:shd w:val="clear" w:color="auto" w:fill="F1F1F1" w:themeFill="background1" w:themeFillShade="F2"/>
            <w:vAlign w:val="center"/>
          </w:tcPr>
          <w:p w14:paraId="431C922F">
            <w:pPr>
              <w:rPr>
                <w:rFonts w:hint="eastAsia"/>
                <w:lang w:val="en-US" w:eastAsia="zh-CN"/>
              </w:rPr>
            </w:pPr>
            <w:r>
              <w:rPr>
                <w:rFonts w:hint="eastAsia"/>
              </w:rPr>
              <w:t>服务频率</w:t>
            </w:r>
          </w:p>
        </w:tc>
        <w:tc>
          <w:tcPr>
            <w:tcW w:w="1219" w:type="dxa"/>
            <w:shd w:val="clear" w:color="auto" w:fill="F1F1F1" w:themeFill="background1" w:themeFillShade="F2"/>
            <w:vAlign w:val="center"/>
          </w:tcPr>
          <w:p w14:paraId="41BDD381">
            <w:pPr>
              <w:rPr>
                <w:rFonts w:hint="eastAsia"/>
                <w:lang w:val="en-US" w:eastAsia="zh-CN"/>
              </w:rPr>
            </w:pPr>
            <w:r>
              <w:rPr>
                <w:rFonts w:hint="eastAsia"/>
              </w:rPr>
              <w:t>服务年限</w:t>
            </w:r>
          </w:p>
        </w:tc>
      </w:tr>
      <w:tr w14:paraId="47BA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vAlign w:val="center"/>
          </w:tcPr>
          <w:p w14:paraId="77279D06">
            <w:pPr>
              <w:rPr>
                <w:rFonts w:hint="eastAsia"/>
              </w:rPr>
            </w:pPr>
            <w:r>
              <w:rPr>
                <w:rFonts w:hint="eastAsia"/>
              </w:rPr>
              <w:t>1</w:t>
            </w:r>
          </w:p>
        </w:tc>
        <w:tc>
          <w:tcPr>
            <w:tcW w:w="2123" w:type="dxa"/>
            <w:vAlign w:val="center"/>
          </w:tcPr>
          <w:p w14:paraId="31A30039">
            <w:pPr>
              <w:rPr>
                <w:rFonts w:hint="eastAsia"/>
              </w:rPr>
            </w:pPr>
            <w:r>
              <w:rPr>
                <w:rFonts w:hint="eastAsia"/>
              </w:rPr>
              <w:t>一体化MDR安全运营服务</w:t>
            </w:r>
          </w:p>
        </w:tc>
        <w:tc>
          <w:tcPr>
            <w:tcW w:w="1587" w:type="dxa"/>
            <w:vAlign w:val="center"/>
          </w:tcPr>
          <w:p w14:paraId="125F9321">
            <w:pPr>
              <w:rPr>
                <w:rFonts w:hint="eastAsia"/>
                <w:lang w:val="en-US" w:eastAsia="zh-CN"/>
              </w:rPr>
            </w:pPr>
            <w:r>
              <w:rPr>
                <w:rFonts w:hint="eastAsia"/>
                <w:lang w:val="en-US" w:eastAsia="zh-CN"/>
              </w:rPr>
              <w:t>全网</w:t>
            </w:r>
          </w:p>
        </w:tc>
        <w:tc>
          <w:tcPr>
            <w:tcW w:w="1931" w:type="dxa"/>
            <w:shd w:val="clear" w:color="auto" w:fill="auto"/>
            <w:vAlign w:val="center"/>
          </w:tcPr>
          <w:p w14:paraId="402D3C56">
            <w:pPr>
              <w:rPr>
                <w:rFonts w:hint="eastAsia"/>
                <w:lang w:val="en-US" w:eastAsia="zh-CN"/>
              </w:rPr>
            </w:pPr>
            <w:r>
              <w:rPr>
                <w:rFonts w:hint="eastAsia"/>
              </w:rPr>
              <w:t>7*24h*365天</w:t>
            </w:r>
          </w:p>
        </w:tc>
        <w:tc>
          <w:tcPr>
            <w:tcW w:w="1219" w:type="dxa"/>
            <w:shd w:val="clear" w:color="auto" w:fill="auto"/>
            <w:vAlign w:val="center"/>
          </w:tcPr>
          <w:p w14:paraId="51529AF8">
            <w:pPr>
              <w:rPr>
                <w:rFonts w:hint="eastAsia"/>
                <w:lang w:val="en-US" w:eastAsia="zh-CN"/>
              </w:rPr>
            </w:pPr>
            <w:r>
              <w:rPr>
                <w:rFonts w:hint="eastAsia"/>
                <w:lang w:val="en-US" w:eastAsia="zh-CN"/>
              </w:rPr>
              <w:t>2</w:t>
            </w:r>
            <w:r>
              <w:rPr>
                <w:rFonts w:hint="eastAsia"/>
              </w:rPr>
              <w:t>年</w:t>
            </w:r>
          </w:p>
        </w:tc>
      </w:tr>
      <w:tr w14:paraId="452F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vAlign w:val="center"/>
          </w:tcPr>
          <w:p w14:paraId="6E81A319">
            <w:pPr>
              <w:rPr>
                <w:rFonts w:hint="eastAsia"/>
              </w:rPr>
            </w:pPr>
            <w:r>
              <w:rPr>
                <w:rFonts w:hint="eastAsia"/>
              </w:rPr>
              <w:t>2</w:t>
            </w:r>
          </w:p>
        </w:tc>
        <w:tc>
          <w:tcPr>
            <w:tcW w:w="2123" w:type="dxa"/>
            <w:vAlign w:val="center"/>
          </w:tcPr>
          <w:p w14:paraId="2B67281A">
            <w:pPr>
              <w:rPr>
                <w:rFonts w:hint="eastAsia"/>
              </w:rPr>
            </w:pPr>
            <w:r>
              <w:rPr>
                <w:rFonts w:hint="eastAsia"/>
              </w:rPr>
              <w:t>基线检查服务</w:t>
            </w:r>
          </w:p>
        </w:tc>
        <w:tc>
          <w:tcPr>
            <w:tcW w:w="1587" w:type="dxa"/>
            <w:vAlign w:val="center"/>
          </w:tcPr>
          <w:p w14:paraId="06E48E5A">
            <w:pPr>
              <w:rPr>
                <w:rFonts w:hint="eastAsia"/>
                <w:lang w:val="en-US" w:eastAsia="zh-CN"/>
              </w:rPr>
            </w:pPr>
            <w:r>
              <w:rPr>
                <w:rFonts w:hint="eastAsia"/>
                <w:lang w:val="en-US" w:eastAsia="zh-CN"/>
              </w:rPr>
              <w:t>服务器系统</w:t>
            </w:r>
          </w:p>
        </w:tc>
        <w:tc>
          <w:tcPr>
            <w:tcW w:w="1931" w:type="dxa"/>
            <w:shd w:val="clear" w:color="auto" w:fill="auto"/>
            <w:vAlign w:val="center"/>
          </w:tcPr>
          <w:p w14:paraId="2CD6082D">
            <w:pPr>
              <w:rPr>
                <w:rFonts w:hint="eastAsia"/>
                <w:lang w:val="en-US" w:eastAsia="zh-CN"/>
              </w:rPr>
            </w:pPr>
            <w:r>
              <w:rPr>
                <w:rFonts w:hint="eastAsia"/>
              </w:rPr>
              <w:t>4次/年</w:t>
            </w:r>
          </w:p>
        </w:tc>
        <w:tc>
          <w:tcPr>
            <w:tcW w:w="1219" w:type="dxa"/>
            <w:shd w:val="clear" w:color="auto" w:fill="auto"/>
            <w:vAlign w:val="center"/>
          </w:tcPr>
          <w:p w14:paraId="22C1BEBA">
            <w:pPr>
              <w:rPr>
                <w:rFonts w:hint="eastAsia"/>
                <w:lang w:val="en-US" w:eastAsia="zh-CN"/>
              </w:rPr>
            </w:pPr>
            <w:r>
              <w:rPr>
                <w:rFonts w:hint="eastAsia"/>
                <w:lang w:val="en-US" w:eastAsia="zh-CN"/>
              </w:rPr>
              <w:t>2</w:t>
            </w:r>
            <w:r>
              <w:rPr>
                <w:rFonts w:hint="eastAsia"/>
              </w:rPr>
              <w:t>年</w:t>
            </w:r>
          </w:p>
        </w:tc>
      </w:tr>
      <w:tr w14:paraId="7821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vAlign w:val="center"/>
          </w:tcPr>
          <w:p w14:paraId="202C37D5">
            <w:pPr>
              <w:rPr>
                <w:rFonts w:hint="eastAsia"/>
              </w:rPr>
            </w:pPr>
            <w:r>
              <w:rPr>
                <w:rFonts w:hint="eastAsia"/>
              </w:rPr>
              <w:t>3</w:t>
            </w:r>
          </w:p>
        </w:tc>
        <w:tc>
          <w:tcPr>
            <w:tcW w:w="2123" w:type="dxa"/>
            <w:vAlign w:val="center"/>
          </w:tcPr>
          <w:p w14:paraId="76508AA9">
            <w:pPr>
              <w:rPr>
                <w:rFonts w:hint="eastAsia"/>
              </w:rPr>
            </w:pPr>
            <w:r>
              <w:rPr>
                <w:rFonts w:hint="eastAsia"/>
              </w:rPr>
              <w:t>漏洞扫描服务</w:t>
            </w:r>
          </w:p>
        </w:tc>
        <w:tc>
          <w:tcPr>
            <w:tcW w:w="1587" w:type="dxa"/>
            <w:vAlign w:val="center"/>
          </w:tcPr>
          <w:p w14:paraId="2FC4A958">
            <w:pPr>
              <w:rPr>
                <w:rFonts w:hint="eastAsia"/>
                <w:lang w:val="en-US" w:eastAsia="zh-CN"/>
              </w:rPr>
            </w:pPr>
            <w:r>
              <w:rPr>
                <w:rFonts w:hint="eastAsia"/>
                <w:lang w:val="en-US" w:eastAsia="zh-CN"/>
              </w:rPr>
              <w:t>服务器、网络设备、安全设备、终端等</w:t>
            </w:r>
          </w:p>
        </w:tc>
        <w:tc>
          <w:tcPr>
            <w:tcW w:w="1931" w:type="dxa"/>
            <w:shd w:val="clear" w:color="auto" w:fill="auto"/>
            <w:vAlign w:val="center"/>
          </w:tcPr>
          <w:p w14:paraId="6E3CD2D7">
            <w:pPr>
              <w:rPr>
                <w:rFonts w:hint="eastAsia"/>
                <w:lang w:val="en-US" w:eastAsia="zh-CN"/>
              </w:rPr>
            </w:pPr>
            <w:r>
              <w:rPr>
                <w:rFonts w:hint="eastAsia"/>
                <w:lang w:val="en-US" w:eastAsia="zh-CN"/>
              </w:rPr>
              <w:t>1</w:t>
            </w:r>
            <w:r>
              <w:rPr>
                <w:rFonts w:hint="eastAsia"/>
              </w:rPr>
              <w:t>年</w:t>
            </w:r>
          </w:p>
        </w:tc>
        <w:tc>
          <w:tcPr>
            <w:tcW w:w="1219" w:type="dxa"/>
            <w:shd w:val="clear" w:color="auto" w:fill="auto"/>
            <w:vAlign w:val="center"/>
          </w:tcPr>
          <w:p w14:paraId="7F637C4B">
            <w:pPr>
              <w:rPr>
                <w:rFonts w:hint="eastAsia"/>
                <w:lang w:val="en-US" w:eastAsia="zh-CN"/>
              </w:rPr>
            </w:pPr>
            <w:r>
              <w:rPr>
                <w:rFonts w:hint="eastAsia"/>
                <w:lang w:val="en-US" w:eastAsia="zh-CN"/>
              </w:rPr>
              <w:t>2</w:t>
            </w:r>
            <w:r>
              <w:rPr>
                <w:rFonts w:hint="eastAsia"/>
              </w:rPr>
              <w:t>年</w:t>
            </w:r>
          </w:p>
        </w:tc>
      </w:tr>
      <w:tr w14:paraId="34DF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vAlign w:val="center"/>
          </w:tcPr>
          <w:p w14:paraId="603BAFD9">
            <w:pPr>
              <w:rPr>
                <w:rFonts w:hint="eastAsia"/>
              </w:rPr>
            </w:pPr>
            <w:r>
              <w:rPr>
                <w:rFonts w:hint="eastAsia"/>
              </w:rPr>
              <w:t>4</w:t>
            </w:r>
          </w:p>
        </w:tc>
        <w:tc>
          <w:tcPr>
            <w:tcW w:w="2123" w:type="dxa"/>
            <w:vAlign w:val="center"/>
          </w:tcPr>
          <w:p w14:paraId="2D0305A6">
            <w:pPr>
              <w:rPr>
                <w:rFonts w:hint="eastAsia"/>
              </w:rPr>
            </w:pPr>
            <w:r>
              <w:rPr>
                <w:rFonts w:hint="eastAsia"/>
              </w:rPr>
              <w:t>渗透测试服务</w:t>
            </w:r>
          </w:p>
        </w:tc>
        <w:tc>
          <w:tcPr>
            <w:tcW w:w="1587" w:type="dxa"/>
            <w:vAlign w:val="center"/>
          </w:tcPr>
          <w:p w14:paraId="183FB85A">
            <w:pPr>
              <w:rPr>
                <w:rFonts w:hint="eastAsia"/>
                <w:lang w:val="en-US" w:eastAsia="zh-CN"/>
              </w:rPr>
            </w:pPr>
            <w:r>
              <w:rPr>
                <w:rFonts w:hint="eastAsia"/>
                <w:lang w:val="en-US" w:eastAsia="zh-CN"/>
              </w:rPr>
              <w:t>10个应用系统</w:t>
            </w:r>
          </w:p>
        </w:tc>
        <w:tc>
          <w:tcPr>
            <w:tcW w:w="1931" w:type="dxa"/>
            <w:shd w:val="clear" w:color="auto" w:fill="auto"/>
            <w:vAlign w:val="center"/>
          </w:tcPr>
          <w:p w14:paraId="3395D002">
            <w:pPr>
              <w:rPr>
                <w:rFonts w:hint="eastAsia"/>
                <w:lang w:val="en-US" w:eastAsia="zh-CN"/>
              </w:rPr>
            </w:pPr>
            <w:r>
              <w:rPr>
                <w:rFonts w:hint="eastAsia"/>
                <w:lang w:val="en-US" w:eastAsia="zh-CN"/>
              </w:rPr>
              <w:t>1</w:t>
            </w:r>
            <w:r>
              <w:rPr>
                <w:rFonts w:hint="eastAsia"/>
              </w:rPr>
              <w:t>年</w:t>
            </w:r>
          </w:p>
        </w:tc>
        <w:tc>
          <w:tcPr>
            <w:tcW w:w="1219" w:type="dxa"/>
            <w:shd w:val="clear" w:color="auto" w:fill="auto"/>
            <w:vAlign w:val="center"/>
          </w:tcPr>
          <w:p w14:paraId="18969758">
            <w:pPr>
              <w:rPr>
                <w:rFonts w:hint="eastAsia"/>
                <w:lang w:val="en-US" w:eastAsia="zh-CN"/>
              </w:rPr>
            </w:pPr>
            <w:r>
              <w:rPr>
                <w:rFonts w:hint="eastAsia"/>
                <w:lang w:val="en-US" w:eastAsia="zh-CN"/>
              </w:rPr>
              <w:t>2</w:t>
            </w:r>
            <w:r>
              <w:rPr>
                <w:rFonts w:hint="eastAsia"/>
              </w:rPr>
              <w:t>年</w:t>
            </w:r>
          </w:p>
        </w:tc>
      </w:tr>
      <w:tr w14:paraId="0C8F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vAlign w:val="center"/>
          </w:tcPr>
          <w:p w14:paraId="501D16E3">
            <w:pPr>
              <w:rPr>
                <w:rFonts w:hint="eastAsia"/>
              </w:rPr>
            </w:pPr>
            <w:r>
              <w:rPr>
                <w:rFonts w:hint="eastAsia"/>
              </w:rPr>
              <w:t>5</w:t>
            </w:r>
          </w:p>
        </w:tc>
        <w:tc>
          <w:tcPr>
            <w:tcW w:w="2123" w:type="dxa"/>
            <w:vAlign w:val="center"/>
          </w:tcPr>
          <w:p w14:paraId="2B0466C7">
            <w:pPr>
              <w:rPr>
                <w:rFonts w:hint="eastAsia"/>
              </w:rPr>
            </w:pPr>
            <w:r>
              <w:rPr>
                <w:rFonts w:hint="eastAsia"/>
              </w:rPr>
              <w:t>新系统上线检查服务</w:t>
            </w:r>
          </w:p>
        </w:tc>
        <w:tc>
          <w:tcPr>
            <w:tcW w:w="1587" w:type="dxa"/>
            <w:vAlign w:val="center"/>
          </w:tcPr>
          <w:p w14:paraId="1CAFF774">
            <w:pPr>
              <w:rPr>
                <w:rFonts w:hint="eastAsia"/>
                <w:lang w:val="en-US" w:eastAsia="zh-CN"/>
              </w:rPr>
            </w:pPr>
            <w:r>
              <w:rPr>
                <w:rFonts w:hint="eastAsia"/>
                <w:lang w:val="en-US" w:eastAsia="zh-CN"/>
              </w:rPr>
              <w:t>新上线系统</w:t>
            </w:r>
          </w:p>
        </w:tc>
        <w:tc>
          <w:tcPr>
            <w:tcW w:w="1931" w:type="dxa"/>
            <w:shd w:val="clear" w:color="auto" w:fill="auto"/>
            <w:vAlign w:val="center"/>
          </w:tcPr>
          <w:p w14:paraId="60458ACF">
            <w:pPr>
              <w:rPr>
                <w:rFonts w:hint="eastAsia"/>
                <w:lang w:val="en-US" w:eastAsia="zh-CN"/>
              </w:rPr>
            </w:pPr>
            <w:r>
              <w:rPr>
                <w:rFonts w:hint="eastAsia"/>
              </w:rPr>
              <w:t>4次/年</w:t>
            </w:r>
          </w:p>
        </w:tc>
        <w:tc>
          <w:tcPr>
            <w:tcW w:w="1219" w:type="dxa"/>
            <w:shd w:val="clear" w:color="auto" w:fill="auto"/>
            <w:vAlign w:val="center"/>
          </w:tcPr>
          <w:p w14:paraId="47BD21EE">
            <w:pPr>
              <w:rPr>
                <w:rFonts w:hint="eastAsia"/>
                <w:lang w:val="en-US" w:eastAsia="zh-CN"/>
              </w:rPr>
            </w:pPr>
            <w:r>
              <w:rPr>
                <w:rFonts w:hint="eastAsia"/>
                <w:lang w:val="en-US" w:eastAsia="zh-CN"/>
              </w:rPr>
              <w:t>2</w:t>
            </w:r>
            <w:r>
              <w:rPr>
                <w:rFonts w:hint="eastAsia"/>
              </w:rPr>
              <w:t>年</w:t>
            </w:r>
          </w:p>
        </w:tc>
      </w:tr>
      <w:tr w14:paraId="65BB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vAlign w:val="center"/>
          </w:tcPr>
          <w:p w14:paraId="28411923">
            <w:pPr>
              <w:rPr>
                <w:rFonts w:hint="eastAsia"/>
              </w:rPr>
            </w:pPr>
            <w:r>
              <w:rPr>
                <w:rFonts w:hint="eastAsia"/>
              </w:rPr>
              <w:t>6</w:t>
            </w:r>
          </w:p>
        </w:tc>
        <w:tc>
          <w:tcPr>
            <w:tcW w:w="2123" w:type="dxa"/>
            <w:vAlign w:val="center"/>
          </w:tcPr>
          <w:p w14:paraId="42A523C5">
            <w:pPr>
              <w:rPr>
                <w:rFonts w:hint="eastAsia"/>
              </w:rPr>
            </w:pPr>
            <w:r>
              <w:rPr>
                <w:rFonts w:hint="eastAsia"/>
              </w:rPr>
              <w:t>应急响应服务</w:t>
            </w:r>
          </w:p>
        </w:tc>
        <w:tc>
          <w:tcPr>
            <w:tcW w:w="1587" w:type="dxa"/>
            <w:vAlign w:val="center"/>
          </w:tcPr>
          <w:p w14:paraId="28671A18">
            <w:pPr>
              <w:rPr>
                <w:rFonts w:hint="eastAsia"/>
                <w:lang w:val="en-US" w:eastAsia="zh-CN"/>
              </w:rPr>
            </w:pPr>
            <w:r>
              <w:rPr>
                <w:rFonts w:hint="eastAsia"/>
                <w:lang w:val="en-US" w:eastAsia="zh-CN"/>
              </w:rPr>
              <w:t>全网</w:t>
            </w:r>
          </w:p>
        </w:tc>
        <w:tc>
          <w:tcPr>
            <w:tcW w:w="1931" w:type="dxa"/>
            <w:shd w:val="clear" w:color="auto" w:fill="auto"/>
            <w:vAlign w:val="center"/>
          </w:tcPr>
          <w:p w14:paraId="04FB3687">
            <w:pPr>
              <w:rPr>
                <w:rFonts w:hint="eastAsia"/>
                <w:lang w:val="en-US" w:eastAsia="zh-CN"/>
              </w:rPr>
            </w:pPr>
            <w:r>
              <w:rPr>
                <w:rFonts w:hint="eastAsia"/>
              </w:rPr>
              <w:t>全年</w:t>
            </w:r>
          </w:p>
        </w:tc>
        <w:tc>
          <w:tcPr>
            <w:tcW w:w="1219" w:type="dxa"/>
            <w:shd w:val="clear" w:color="auto" w:fill="auto"/>
            <w:vAlign w:val="center"/>
          </w:tcPr>
          <w:p w14:paraId="56F73AFA">
            <w:pPr>
              <w:rPr>
                <w:rFonts w:hint="eastAsia"/>
                <w:lang w:val="en-US" w:eastAsia="zh-CN"/>
              </w:rPr>
            </w:pPr>
            <w:r>
              <w:rPr>
                <w:rFonts w:hint="eastAsia"/>
                <w:lang w:val="en-US" w:eastAsia="zh-CN"/>
              </w:rPr>
              <w:t>2</w:t>
            </w:r>
            <w:r>
              <w:rPr>
                <w:rFonts w:hint="eastAsia"/>
              </w:rPr>
              <w:t>年</w:t>
            </w:r>
          </w:p>
        </w:tc>
      </w:tr>
      <w:tr w14:paraId="336A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vAlign w:val="center"/>
          </w:tcPr>
          <w:p w14:paraId="24DC74FE">
            <w:pPr>
              <w:rPr>
                <w:rFonts w:hint="eastAsia"/>
              </w:rPr>
            </w:pPr>
            <w:r>
              <w:rPr>
                <w:rFonts w:hint="eastAsia"/>
              </w:rPr>
              <w:t>7</w:t>
            </w:r>
          </w:p>
        </w:tc>
        <w:tc>
          <w:tcPr>
            <w:tcW w:w="2123" w:type="dxa"/>
            <w:vAlign w:val="center"/>
          </w:tcPr>
          <w:p w14:paraId="19C445A4">
            <w:pPr>
              <w:rPr>
                <w:rFonts w:hint="eastAsia"/>
              </w:rPr>
            </w:pPr>
            <w:r>
              <w:rPr>
                <w:rFonts w:hint="eastAsia"/>
              </w:rPr>
              <w:t>宣传教育培训服务</w:t>
            </w:r>
          </w:p>
        </w:tc>
        <w:tc>
          <w:tcPr>
            <w:tcW w:w="1587" w:type="dxa"/>
            <w:vAlign w:val="center"/>
          </w:tcPr>
          <w:p w14:paraId="33B5683A">
            <w:pPr>
              <w:rPr>
                <w:rFonts w:hint="eastAsia"/>
                <w:lang w:val="en-US" w:eastAsia="zh-CN"/>
              </w:rPr>
            </w:pPr>
            <w:r>
              <w:rPr>
                <w:rFonts w:hint="eastAsia"/>
                <w:lang w:val="en-US" w:eastAsia="zh-CN"/>
              </w:rPr>
              <w:t>医保信息部门</w:t>
            </w:r>
          </w:p>
        </w:tc>
        <w:tc>
          <w:tcPr>
            <w:tcW w:w="1931" w:type="dxa"/>
            <w:shd w:val="clear" w:color="auto" w:fill="auto"/>
            <w:vAlign w:val="center"/>
          </w:tcPr>
          <w:p w14:paraId="36AE87E0">
            <w:pPr>
              <w:rPr>
                <w:rFonts w:hint="eastAsia"/>
                <w:lang w:val="en-US" w:eastAsia="zh-CN"/>
              </w:rPr>
            </w:pPr>
            <w:r>
              <w:rPr>
                <w:rFonts w:hint="eastAsia"/>
                <w:lang w:val="en-US" w:eastAsia="zh-CN"/>
              </w:rPr>
              <w:t>2</w:t>
            </w:r>
            <w:r>
              <w:rPr>
                <w:rFonts w:hint="eastAsia"/>
              </w:rPr>
              <w:t>次/年</w:t>
            </w:r>
          </w:p>
        </w:tc>
        <w:tc>
          <w:tcPr>
            <w:tcW w:w="1219" w:type="dxa"/>
            <w:shd w:val="clear" w:color="auto" w:fill="auto"/>
            <w:vAlign w:val="center"/>
          </w:tcPr>
          <w:p w14:paraId="48EFEB38">
            <w:pPr>
              <w:rPr>
                <w:rFonts w:hint="eastAsia"/>
                <w:lang w:val="en-US" w:eastAsia="zh-CN"/>
              </w:rPr>
            </w:pPr>
            <w:r>
              <w:rPr>
                <w:rFonts w:hint="eastAsia"/>
                <w:lang w:val="en-US" w:eastAsia="zh-CN"/>
              </w:rPr>
              <w:t>2</w:t>
            </w:r>
            <w:r>
              <w:rPr>
                <w:rFonts w:hint="eastAsia"/>
              </w:rPr>
              <w:t>年</w:t>
            </w:r>
          </w:p>
        </w:tc>
      </w:tr>
      <w:tr w14:paraId="2A36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vAlign w:val="center"/>
          </w:tcPr>
          <w:p w14:paraId="384C8EE4">
            <w:pPr>
              <w:rPr>
                <w:rFonts w:hint="eastAsia"/>
              </w:rPr>
            </w:pPr>
            <w:r>
              <w:rPr>
                <w:rFonts w:hint="eastAsia"/>
              </w:rPr>
              <w:t>8</w:t>
            </w:r>
          </w:p>
        </w:tc>
        <w:tc>
          <w:tcPr>
            <w:tcW w:w="2123" w:type="dxa"/>
            <w:vAlign w:val="center"/>
          </w:tcPr>
          <w:p w14:paraId="54A3A7E3">
            <w:pPr>
              <w:rPr>
                <w:rFonts w:hint="eastAsia"/>
              </w:rPr>
            </w:pPr>
            <w:r>
              <w:rPr>
                <w:rFonts w:hint="eastAsia"/>
              </w:rPr>
              <w:t>重大时期保障服务</w:t>
            </w:r>
          </w:p>
        </w:tc>
        <w:tc>
          <w:tcPr>
            <w:tcW w:w="1587" w:type="dxa"/>
            <w:vAlign w:val="center"/>
          </w:tcPr>
          <w:p w14:paraId="610253DF">
            <w:pPr>
              <w:rPr>
                <w:rFonts w:hint="eastAsia"/>
                <w:lang w:val="en-US" w:eastAsia="zh-CN"/>
              </w:rPr>
            </w:pPr>
            <w:r>
              <w:rPr>
                <w:rFonts w:hint="eastAsia"/>
                <w:lang w:val="en-US" w:eastAsia="zh-CN"/>
              </w:rPr>
              <w:t>全网</w:t>
            </w:r>
          </w:p>
        </w:tc>
        <w:tc>
          <w:tcPr>
            <w:tcW w:w="1931" w:type="dxa"/>
            <w:shd w:val="clear" w:color="auto" w:fill="auto"/>
            <w:vAlign w:val="center"/>
          </w:tcPr>
          <w:p w14:paraId="7A978C22">
            <w:pPr>
              <w:rPr>
                <w:rFonts w:hint="eastAsia"/>
                <w:lang w:val="en-US" w:eastAsia="zh-CN"/>
              </w:rPr>
            </w:pPr>
            <w:r>
              <w:rPr>
                <w:rFonts w:hint="eastAsia"/>
                <w:lang w:val="en-US" w:eastAsia="zh-CN"/>
              </w:rPr>
              <w:t>重大活动时期</w:t>
            </w:r>
          </w:p>
        </w:tc>
        <w:tc>
          <w:tcPr>
            <w:tcW w:w="1219" w:type="dxa"/>
            <w:shd w:val="clear" w:color="auto" w:fill="auto"/>
            <w:vAlign w:val="center"/>
          </w:tcPr>
          <w:p w14:paraId="6AC98FB6">
            <w:pPr>
              <w:rPr>
                <w:rFonts w:hint="eastAsia"/>
                <w:lang w:val="en-US" w:eastAsia="zh-CN"/>
              </w:rPr>
            </w:pPr>
            <w:r>
              <w:rPr>
                <w:rFonts w:hint="eastAsia"/>
                <w:lang w:val="en-US" w:eastAsia="zh-CN"/>
              </w:rPr>
              <w:t>2</w:t>
            </w:r>
            <w:r>
              <w:rPr>
                <w:rFonts w:hint="eastAsia"/>
              </w:rPr>
              <w:t>年</w:t>
            </w:r>
          </w:p>
        </w:tc>
      </w:tr>
      <w:tr w14:paraId="76D1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vAlign w:val="center"/>
          </w:tcPr>
          <w:p w14:paraId="6FD16A70">
            <w:pPr>
              <w:rPr>
                <w:rFonts w:hint="eastAsia"/>
              </w:rPr>
            </w:pPr>
            <w:r>
              <w:rPr>
                <w:rFonts w:hint="eastAsia"/>
              </w:rPr>
              <w:t>9</w:t>
            </w:r>
          </w:p>
        </w:tc>
        <w:tc>
          <w:tcPr>
            <w:tcW w:w="2123" w:type="dxa"/>
            <w:vAlign w:val="center"/>
          </w:tcPr>
          <w:p w14:paraId="5B9815EF">
            <w:pPr>
              <w:rPr>
                <w:rFonts w:hint="eastAsia"/>
              </w:rPr>
            </w:pPr>
            <w:r>
              <w:rPr>
                <w:rFonts w:hint="eastAsia"/>
              </w:rPr>
              <w:t>现有安全运维工具升级</w:t>
            </w:r>
          </w:p>
        </w:tc>
        <w:tc>
          <w:tcPr>
            <w:tcW w:w="1587" w:type="dxa"/>
            <w:vAlign w:val="center"/>
          </w:tcPr>
          <w:p w14:paraId="7F05A965">
            <w:pPr>
              <w:rPr>
                <w:rFonts w:hint="eastAsia"/>
                <w:lang w:val="en-US" w:eastAsia="zh-CN"/>
              </w:rPr>
            </w:pPr>
            <w:r>
              <w:rPr>
                <w:rFonts w:hint="eastAsia"/>
                <w:lang w:val="en-US" w:eastAsia="zh-CN"/>
              </w:rPr>
              <w:t>全网</w:t>
            </w:r>
          </w:p>
        </w:tc>
        <w:tc>
          <w:tcPr>
            <w:tcW w:w="1931" w:type="dxa"/>
            <w:shd w:val="clear" w:color="auto" w:fill="auto"/>
            <w:vAlign w:val="center"/>
          </w:tcPr>
          <w:p w14:paraId="42F0E949">
            <w:pPr>
              <w:rPr>
                <w:rFonts w:hint="eastAsia"/>
                <w:lang w:val="en-US" w:eastAsia="zh-CN"/>
              </w:rPr>
            </w:pPr>
            <w:r>
              <w:rPr>
                <w:rFonts w:hint="eastAsia"/>
                <w:lang w:val="en-US" w:eastAsia="zh-CN"/>
              </w:rPr>
              <w:t>1年</w:t>
            </w:r>
          </w:p>
        </w:tc>
        <w:tc>
          <w:tcPr>
            <w:tcW w:w="1219" w:type="dxa"/>
            <w:shd w:val="clear" w:color="auto" w:fill="auto"/>
            <w:vAlign w:val="center"/>
          </w:tcPr>
          <w:p w14:paraId="1E60E3C4">
            <w:pPr>
              <w:rPr>
                <w:rFonts w:hint="eastAsia"/>
                <w:lang w:val="en-US" w:eastAsia="zh-CN"/>
              </w:rPr>
            </w:pPr>
            <w:r>
              <w:rPr>
                <w:rFonts w:hint="eastAsia"/>
                <w:lang w:val="en-US" w:eastAsia="zh-CN"/>
              </w:rPr>
              <w:t>2</w:t>
            </w:r>
            <w:r>
              <w:rPr>
                <w:rFonts w:hint="eastAsia"/>
              </w:rPr>
              <w:t>年</w:t>
            </w:r>
          </w:p>
        </w:tc>
      </w:tr>
    </w:tbl>
    <w:p w14:paraId="5A819E99">
      <w:pPr>
        <w:rPr>
          <w:rFonts w:hint="eastAsia"/>
          <w:lang w:val="en-US" w:eastAsia="zh-CN"/>
        </w:rPr>
      </w:pPr>
      <w:r>
        <w:rPr>
          <w:rFonts w:hint="eastAsia"/>
          <w:lang w:val="en-US" w:eastAsia="zh-CN"/>
        </w:rPr>
        <w:t>服务技术要求</w:t>
      </w:r>
    </w:p>
    <w:p w14:paraId="2CD40C2C">
      <w:pPr>
        <w:rPr>
          <w:rFonts w:hint="eastAsia"/>
        </w:rPr>
      </w:pPr>
      <w:r>
        <w:rPr>
          <w:rFonts w:hint="eastAsia"/>
          <w:lang w:val="en-US" w:eastAsia="zh-CN"/>
        </w:rPr>
        <w:t>1</w:t>
      </w:r>
      <w:r>
        <w:rPr>
          <w:rFonts w:hint="eastAsia"/>
        </w:rPr>
        <w:t>、</w:t>
      </w:r>
      <w:r>
        <w:rPr>
          <w:rFonts w:hint="eastAsia"/>
          <w:lang w:val="en-US" w:eastAsia="zh-CN"/>
        </w:rPr>
        <w:t>★</w:t>
      </w:r>
      <w:r>
        <w:rPr>
          <w:rFonts w:hint="eastAsia"/>
        </w:rPr>
        <w:t>MDR安全运营服务</w:t>
      </w:r>
    </w:p>
    <w:p w14:paraId="00650B79">
      <w:pPr>
        <w:rPr>
          <w:rFonts w:hint="eastAsia"/>
        </w:rPr>
      </w:pPr>
      <w:r>
        <w:rPr>
          <w:rFonts w:hint="eastAsia"/>
        </w:rPr>
        <w:t>围绕资产、威胁、事件等为业务系统提供7*24小时威胁监测与分析服务，云端安全运营团队对威胁事件持续监测，实时事件分析及研判，并将确认的攻陷/重点攻击事件等及时通知，提供事件处置建议，协助事件闭环管理，建立7*24h、持续主动、有效闭环的安全运营体系。</w:t>
      </w:r>
    </w:p>
    <w:p w14:paraId="7CF299D6">
      <w:pPr>
        <w:rPr>
          <w:rFonts w:hint="eastAsia"/>
        </w:rPr>
      </w:pPr>
      <w:r>
        <w:rPr>
          <w:rFonts w:hint="eastAsia"/>
        </w:rPr>
        <w:t>1.支持僵木蠕类威胁事件的监测、研判、处置，如勒索病毒、挖矿病毒等多种类型的僵木蠕类事件监测与响应。</w:t>
      </w:r>
    </w:p>
    <w:p w14:paraId="5F871F0D">
      <w:pPr>
        <w:rPr>
          <w:rFonts w:hint="eastAsia"/>
        </w:rPr>
      </w:pPr>
      <w:r>
        <w:rPr>
          <w:rFonts w:hint="eastAsia"/>
        </w:rPr>
        <w:t>2.日常情况下，每周针对攻击检测规则及能力进行升级更新。紧急高危事件情况下，1小时内提供自定义检测规则，24小时内进行工具规则更新</w:t>
      </w:r>
    </w:p>
    <w:p w14:paraId="48780E1F">
      <w:pPr>
        <w:rPr>
          <w:rFonts w:hint="eastAsia"/>
        </w:rPr>
      </w:pPr>
      <w:r>
        <w:rPr>
          <w:rFonts w:hint="eastAsia"/>
        </w:rPr>
        <w:t>3.支持恶意软件类（挖矿软件、勒索软件等）威胁事件监测、研判、处置，如恶意程序通信类事件的监测与响应。</w:t>
      </w:r>
    </w:p>
    <w:p w14:paraId="0E693D12">
      <w:pPr>
        <w:rPr>
          <w:rFonts w:hint="eastAsia"/>
          <w:lang w:eastAsia="zh-CN"/>
        </w:rPr>
      </w:pPr>
      <w:r>
        <w:rPr>
          <w:rFonts w:hint="eastAsia"/>
        </w:rPr>
        <w:t>4.▲支持webshell类威胁监测、研判、处置。如冰蝎、哥斯拉等大量webshell样本的连接、上传,加密webshell检测等监测与响应，同时为了能够更好针对web类攻击形成阻断，需要本次服务的云端平台能够和现有网站防火墙形成联动机制，云端平台能够下发针对风险IP阻断指令给网站防火墙（提供</w:t>
      </w:r>
      <w:r>
        <w:rPr>
          <w:rFonts w:hint="eastAsia"/>
          <w:lang w:val="en-US" w:eastAsia="zh-CN"/>
        </w:rPr>
        <w:t>所投安全服务</w:t>
      </w:r>
      <w:r>
        <w:rPr>
          <w:rFonts w:hint="eastAsia"/>
        </w:rPr>
        <w:t>厂商承诺函</w:t>
      </w:r>
      <w:r>
        <w:rPr>
          <w:rFonts w:hint="eastAsia"/>
          <w:lang w:val="en-US" w:eastAsia="zh-CN"/>
        </w:rPr>
        <w:t>加盖原厂公章</w:t>
      </w:r>
      <w:r>
        <w:rPr>
          <w:rFonts w:hint="eastAsia"/>
        </w:rPr>
        <w:t>）</w:t>
      </w:r>
      <w:r>
        <w:rPr>
          <w:rFonts w:hint="eastAsia"/>
          <w:lang w:eastAsia="zh-CN"/>
        </w:rPr>
        <w:t>。</w:t>
      </w:r>
    </w:p>
    <w:p w14:paraId="6FA08AC2">
      <w:pPr>
        <w:rPr>
          <w:rFonts w:hint="eastAsia" w:eastAsia="仿宋_GB2312"/>
          <w:lang w:eastAsia="zh-CN"/>
        </w:rPr>
      </w:pPr>
      <w:r>
        <w:rPr>
          <w:rFonts w:hint="eastAsia"/>
        </w:rPr>
        <w:t>5.▲支持针对攻防演练实战中常见高危漏洞的真实攻击类威胁事件监测、研判、处置。如组件RCE、OA系统RCE等常见攻防演练高危漏洞威胁监测与响应</w:t>
      </w:r>
      <w:r>
        <w:rPr>
          <w:rFonts w:hint="eastAsia"/>
          <w:lang w:eastAsia="zh-CN"/>
        </w:rPr>
        <w:t>。</w:t>
      </w:r>
    </w:p>
    <w:p w14:paraId="681E4651">
      <w:pPr>
        <w:rPr>
          <w:rFonts w:hint="eastAsia"/>
        </w:rPr>
      </w:pPr>
      <w:r>
        <w:rPr>
          <w:rFonts w:hint="eastAsia"/>
        </w:rPr>
        <w:t>6.支持对客户发现、威胁监测以及狩猎场景发现的安全事件，按需进行应急响应。云端安全专家7*24进行威胁事件的应急响应，对勒索病毒类、挖矿木马类、僵尸网络类、其他恶意程序通信类、漏洞利用成功类等失陷事件提供应急响应服务，协助完成恶意程序、后门、权限维持收到清理，并提供后续建议。</w:t>
      </w:r>
    </w:p>
    <w:p w14:paraId="10E8D603">
      <w:pPr>
        <w:rPr>
          <w:rFonts w:hint="eastAsia"/>
        </w:rPr>
      </w:pPr>
      <w:r>
        <w:rPr>
          <w:rFonts w:hint="eastAsia"/>
        </w:rPr>
        <w:t>7.▲服务交付中需应用厂商自有安全大模型及多个其他模型，如deepseek等，辅助威胁分析交叉验证，同时可支持大模型研判结果的反馈及校验，确保分析模型持续学习，以提升分析能力，确保对安全事件检出的效果（提供功能截图）</w:t>
      </w:r>
    </w:p>
    <w:p w14:paraId="10B1D02C">
      <w:pPr>
        <w:rPr>
          <w:rFonts w:hint="eastAsia"/>
        </w:rPr>
      </w:pPr>
      <w:r>
        <w:rPr>
          <w:rFonts w:hint="eastAsia"/>
        </w:rPr>
        <w:t>8.大模型支持对海量告警降噪，并可提供事件优先级判定分数，帮助分析人员尽快确定事件处置优先级别，提升分析效率。</w:t>
      </w:r>
    </w:p>
    <w:p w14:paraId="346904AF">
      <w:pPr>
        <w:rPr>
          <w:rFonts w:hint="eastAsia"/>
        </w:rPr>
      </w:pPr>
      <w:r>
        <w:rPr>
          <w:rFonts w:hint="eastAsia"/>
        </w:rPr>
        <w:t>9.展示客户威胁态势，包括：威胁风险情况（事件、失陷主机等）、被攻击IP及恶意攻击IPTOP5；威胁事件的闭环情况、事件状态情况；威胁事件列表及威胁事件的所处状态情况；威胁事件趋势及事件闭环趋势等。</w:t>
      </w:r>
    </w:p>
    <w:p w14:paraId="5CD7AB3F">
      <w:pPr>
        <w:rPr>
          <w:rFonts w:hint="eastAsia"/>
        </w:rPr>
      </w:pPr>
      <w:r>
        <w:rPr>
          <w:rFonts w:hint="eastAsia"/>
        </w:rPr>
        <w:t>10.▲支持移动端APP形式实时事件的通知</w:t>
      </w:r>
      <w:r>
        <w:rPr>
          <w:rFonts w:hint="eastAsia"/>
          <w:lang w:eastAsia="zh-CN"/>
        </w:rPr>
        <w:t>。</w:t>
      </w:r>
      <w:r>
        <w:rPr>
          <w:rFonts w:hint="eastAsia"/>
        </w:rPr>
        <w:t>（为了保证为用户提供软件安全可靠、软件供应商需要达到中国信息通信研究院颁发《软件供应链安全能力成熟度》二级及以上，提功证书复印件证明）</w:t>
      </w:r>
    </w:p>
    <w:p w14:paraId="06DB736C">
      <w:pPr>
        <w:rPr>
          <w:rFonts w:hint="eastAsia"/>
        </w:rPr>
      </w:pPr>
      <w:r>
        <w:rPr>
          <w:rFonts w:hint="eastAsia"/>
        </w:rPr>
        <w:t>11.门户支持用户门户同一客户下的账号分权分域，主账号管理所有事件，多个子账号分管各自事件。</w:t>
      </w:r>
    </w:p>
    <w:p w14:paraId="7DF16755">
      <w:pPr>
        <w:rPr>
          <w:rFonts w:hint="eastAsia"/>
        </w:rPr>
      </w:pPr>
      <w:r>
        <w:rPr>
          <w:rFonts w:hint="eastAsia"/>
        </w:rPr>
        <w:t>12.▲云端安全运营平台支持与现有的安全运营工具联动，云端平台能够下发针对风险IP阻断指令给运营工具，提示运营处置效率（提供厂商承诺函）</w:t>
      </w:r>
    </w:p>
    <w:p w14:paraId="4AF3713A">
      <w:pPr>
        <w:rPr>
          <w:rFonts w:hint="eastAsia"/>
        </w:rPr>
      </w:pPr>
      <w:r>
        <w:rPr>
          <w:rFonts w:hint="eastAsia"/>
        </w:rPr>
        <w:t>13.研判分析过程中，可提供详细的分析过程，如分析思路、分析方法等，确保事件分析结论正确有效。</w:t>
      </w:r>
    </w:p>
    <w:p w14:paraId="48B6B44B">
      <w:pPr>
        <w:rPr>
          <w:rFonts w:hint="eastAsia"/>
        </w:rPr>
      </w:pPr>
      <w:r>
        <w:rPr>
          <w:rFonts w:hint="eastAsia"/>
          <w:lang w:val="en-US" w:eastAsia="zh-CN"/>
        </w:rPr>
        <w:t>2</w:t>
      </w:r>
      <w:r>
        <w:rPr>
          <w:rFonts w:hint="eastAsia"/>
        </w:rPr>
        <w:t>、</w:t>
      </w:r>
      <w:r>
        <w:rPr>
          <w:rFonts w:hint="eastAsia"/>
          <w:lang w:val="en-US" w:eastAsia="zh-CN"/>
        </w:rPr>
        <w:t>★</w:t>
      </w:r>
      <w:r>
        <w:rPr>
          <w:rFonts w:hint="eastAsia"/>
        </w:rPr>
        <w:t>基线检查服务</w:t>
      </w:r>
    </w:p>
    <w:p w14:paraId="5AED91A8">
      <w:pPr>
        <w:rPr>
          <w:rFonts w:hint="eastAsia"/>
          <w:lang w:val="en-US" w:eastAsia="zh-CN"/>
        </w:rPr>
      </w:pPr>
      <w:r>
        <w:rPr>
          <w:rFonts w:hint="eastAsia"/>
        </w:rPr>
        <w:t>通过安全配置核查产品或人工方式，对系统中网络设备、操作系统、数据库和应用服务器的配置进行安全检查，提供安全配置评估报告和改进建议</w:t>
      </w:r>
      <w:r>
        <w:rPr>
          <w:rFonts w:hint="eastAsia"/>
          <w:lang w:eastAsia="zh-CN"/>
        </w:rPr>
        <w:t>。</w:t>
      </w:r>
      <w:r>
        <w:rPr>
          <w:rFonts w:hint="eastAsia"/>
          <w:lang w:val="en-US" w:eastAsia="zh-CN"/>
        </w:rPr>
        <w:t>每年4次。</w:t>
      </w:r>
    </w:p>
    <w:p w14:paraId="1C198A85">
      <w:pPr>
        <w:rPr>
          <w:rFonts w:hint="eastAsia"/>
        </w:rPr>
      </w:pPr>
      <w:r>
        <w:rPr>
          <w:rFonts w:hint="eastAsia"/>
          <w:lang w:val="en-US" w:eastAsia="zh-CN"/>
        </w:rPr>
        <w:t>3</w:t>
      </w:r>
      <w:r>
        <w:rPr>
          <w:rFonts w:hint="eastAsia"/>
        </w:rPr>
        <w:t>、</w:t>
      </w:r>
      <w:r>
        <w:rPr>
          <w:rFonts w:hint="eastAsia"/>
          <w:lang w:val="en-US" w:eastAsia="zh-CN"/>
        </w:rPr>
        <w:t>★</w:t>
      </w:r>
      <w:r>
        <w:rPr>
          <w:rFonts w:hint="eastAsia"/>
        </w:rPr>
        <w:t>漏洞扫描服务</w:t>
      </w:r>
    </w:p>
    <w:p w14:paraId="2321EF33">
      <w:pPr>
        <w:rPr>
          <w:rFonts w:hint="eastAsia"/>
          <w:lang w:val="en-US" w:eastAsia="zh-CN"/>
        </w:rPr>
      </w:pPr>
      <w:r>
        <w:rPr>
          <w:rFonts w:hint="eastAsia"/>
        </w:rPr>
        <w:t>通过自动化扫描工具，针对网络设备、操作系统、数据库、常见应用服务器以及WEB应用等资产，检查存在的安全漏洞，提供漏洞评估报告和修复建议。</w:t>
      </w:r>
      <w:r>
        <w:rPr>
          <w:rFonts w:hint="eastAsia"/>
          <w:lang w:val="en-US" w:eastAsia="zh-CN"/>
        </w:rPr>
        <w:t>每年4次。</w:t>
      </w:r>
    </w:p>
    <w:p w14:paraId="1FF406CA">
      <w:pPr>
        <w:rPr>
          <w:rFonts w:hint="eastAsia"/>
        </w:rPr>
      </w:pPr>
      <w:r>
        <w:rPr>
          <w:rFonts w:hint="eastAsia"/>
          <w:lang w:val="en-US" w:eastAsia="zh-CN"/>
        </w:rPr>
        <w:t>4</w:t>
      </w:r>
      <w:r>
        <w:rPr>
          <w:rFonts w:hint="eastAsia"/>
        </w:rPr>
        <w:t>、</w:t>
      </w:r>
      <w:r>
        <w:rPr>
          <w:rFonts w:hint="eastAsia"/>
          <w:lang w:val="en-US" w:eastAsia="zh-CN"/>
        </w:rPr>
        <w:t>★</w:t>
      </w:r>
      <w:r>
        <w:rPr>
          <w:rFonts w:hint="eastAsia"/>
        </w:rPr>
        <w:t>渗透测试服务</w:t>
      </w:r>
    </w:p>
    <w:p w14:paraId="3AEDFB6A">
      <w:pPr>
        <w:rPr>
          <w:rFonts w:hint="eastAsia"/>
          <w:lang w:val="en-US" w:eastAsia="zh-CN"/>
        </w:rPr>
      </w:pPr>
      <w:r>
        <w:rPr>
          <w:rFonts w:hint="eastAsia"/>
        </w:rPr>
        <w:t>通过人工黑盒的测试方式，按照采购人要求对网络、应用、数据、终端等系统进行渗透测试,以判断现有存量系统是否存在风险隐患，出具正式检测报告。</w:t>
      </w:r>
      <w:r>
        <w:rPr>
          <w:rFonts w:hint="eastAsia"/>
          <w:lang w:val="en-US" w:eastAsia="zh-CN"/>
        </w:rPr>
        <w:t>每年4次。</w:t>
      </w:r>
    </w:p>
    <w:p w14:paraId="2349C0BC">
      <w:pPr>
        <w:rPr>
          <w:rFonts w:hint="eastAsia"/>
        </w:rPr>
      </w:pPr>
      <w:r>
        <w:rPr>
          <w:rFonts w:hint="eastAsia"/>
          <w:lang w:val="en-US" w:eastAsia="zh-CN"/>
        </w:rPr>
        <w:t>5</w:t>
      </w:r>
      <w:r>
        <w:rPr>
          <w:rFonts w:hint="eastAsia"/>
        </w:rPr>
        <w:t>、</w:t>
      </w:r>
      <w:r>
        <w:rPr>
          <w:rFonts w:hint="eastAsia"/>
          <w:lang w:val="en-US" w:eastAsia="zh-CN"/>
        </w:rPr>
        <w:t>★</w:t>
      </w:r>
      <w:r>
        <w:rPr>
          <w:rFonts w:hint="eastAsia"/>
        </w:rPr>
        <w:t>新系统上线检查服务</w:t>
      </w:r>
    </w:p>
    <w:p w14:paraId="0D92DDD3">
      <w:pPr>
        <w:rPr>
          <w:rFonts w:hint="eastAsia"/>
          <w:lang w:val="en-US" w:eastAsia="zh-CN"/>
        </w:rPr>
      </w:pPr>
      <w:r>
        <w:rPr>
          <w:rFonts w:hint="eastAsia"/>
        </w:rPr>
        <w:t>提供新上线业务提供上线前安全检查服务，提供专业的安全检查方案、输出评估结果、解决建议，配合应用相关开发和维护人员解决或规避安全风险，以确保新上线的应用程序的安全风险可以被接受，并对评审通过的解决方案实施结果进行复查，确保即将上线的系统安全性。</w:t>
      </w:r>
      <w:r>
        <w:rPr>
          <w:rFonts w:hint="eastAsia"/>
          <w:lang w:val="en-US" w:eastAsia="zh-CN"/>
        </w:rPr>
        <w:t>每年4次。</w:t>
      </w:r>
    </w:p>
    <w:p w14:paraId="60AE745B">
      <w:pPr>
        <w:rPr>
          <w:rFonts w:hint="eastAsia"/>
        </w:rPr>
      </w:pPr>
      <w:r>
        <w:rPr>
          <w:rFonts w:hint="eastAsia"/>
          <w:lang w:val="en-US" w:eastAsia="zh-CN"/>
        </w:rPr>
        <w:t>6</w:t>
      </w:r>
      <w:r>
        <w:rPr>
          <w:rFonts w:hint="eastAsia"/>
        </w:rPr>
        <w:t>、</w:t>
      </w:r>
      <w:r>
        <w:rPr>
          <w:rFonts w:hint="eastAsia"/>
          <w:lang w:val="en-US" w:eastAsia="zh-CN"/>
        </w:rPr>
        <w:t>★</w:t>
      </w:r>
      <w:r>
        <w:rPr>
          <w:rFonts w:hint="eastAsia"/>
        </w:rPr>
        <w:t>应急响应服务</w:t>
      </w:r>
    </w:p>
    <w:p w14:paraId="1376BE93">
      <w:pPr>
        <w:rPr>
          <w:rFonts w:hint="eastAsia"/>
          <w:lang w:val="en-US" w:eastAsia="zh-CN"/>
        </w:rPr>
      </w:pPr>
      <w:r>
        <w:rPr>
          <w:rFonts w:hint="eastAsia"/>
        </w:rPr>
        <w:t>根据事件类别，提供全年的应急响应服务，通过远程和现场支持的形式协助客户对遇到的突发性安全事件进行紧急分析和处理。主要工作内容包括：突发事件相关信息的收集、事件的分析、报告提交、问题解决建议等。紧急事件主要包括：勒索病毒、病毒和蠕虫事件、数据泄露、挖矿事件等。</w:t>
      </w:r>
      <w:r>
        <w:rPr>
          <w:rFonts w:hint="eastAsia"/>
          <w:lang w:val="en-US" w:eastAsia="zh-CN"/>
        </w:rPr>
        <w:t>全年7*24小时即时响应。</w:t>
      </w:r>
    </w:p>
    <w:p w14:paraId="3C825E61">
      <w:pPr>
        <w:rPr>
          <w:rFonts w:hint="eastAsia"/>
        </w:rPr>
      </w:pPr>
      <w:r>
        <w:rPr>
          <w:rFonts w:hint="eastAsia"/>
          <w:lang w:val="en-US" w:eastAsia="zh-CN"/>
        </w:rPr>
        <w:t>7</w:t>
      </w:r>
      <w:r>
        <w:rPr>
          <w:rFonts w:hint="eastAsia"/>
        </w:rPr>
        <w:t>、</w:t>
      </w:r>
      <w:r>
        <w:rPr>
          <w:rFonts w:hint="eastAsia"/>
          <w:lang w:val="en-US" w:eastAsia="zh-CN"/>
        </w:rPr>
        <w:t>★</w:t>
      </w:r>
      <w:r>
        <w:rPr>
          <w:rFonts w:hint="eastAsia"/>
        </w:rPr>
        <w:t>宣传教育培训服务</w:t>
      </w:r>
    </w:p>
    <w:p w14:paraId="65340BAB">
      <w:pPr>
        <w:rPr>
          <w:rFonts w:hint="eastAsia"/>
        </w:rPr>
      </w:pPr>
      <w:r>
        <w:rPr>
          <w:rFonts w:hint="eastAsia"/>
        </w:rPr>
        <w:t>对医保信息部门提供专业技术培训1年</w:t>
      </w:r>
      <w:r>
        <w:rPr>
          <w:rFonts w:hint="eastAsia"/>
          <w:lang w:val="en-US" w:eastAsia="zh-CN"/>
        </w:rPr>
        <w:t>4</w:t>
      </w:r>
      <w:r>
        <w:rPr>
          <w:rFonts w:hint="eastAsia"/>
        </w:rPr>
        <w:t>次。</w:t>
      </w:r>
    </w:p>
    <w:p w14:paraId="2E467EA9">
      <w:pPr>
        <w:rPr>
          <w:rFonts w:hint="eastAsia"/>
        </w:rPr>
      </w:pPr>
      <w:r>
        <w:rPr>
          <w:rFonts w:hint="eastAsia"/>
          <w:lang w:val="en-US" w:eastAsia="zh-CN"/>
        </w:rPr>
        <w:t>8</w:t>
      </w:r>
      <w:r>
        <w:rPr>
          <w:rFonts w:hint="eastAsia"/>
        </w:rPr>
        <w:t>、</w:t>
      </w:r>
      <w:r>
        <w:rPr>
          <w:rFonts w:hint="eastAsia"/>
          <w:lang w:val="en-US" w:eastAsia="zh-CN"/>
        </w:rPr>
        <w:t>★</w:t>
      </w:r>
      <w:r>
        <w:rPr>
          <w:rFonts w:hint="eastAsia"/>
        </w:rPr>
        <w:t>重大时期保障服务</w:t>
      </w:r>
    </w:p>
    <w:p w14:paraId="26E1C96A">
      <w:pPr>
        <w:rPr>
          <w:rFonts w:hint="eastAsia"/>
          <w:lang w:val="en-US" w:eastAsia="zh-CN"/>
        </w:rPr>
      </w:pPr>
      <w:r>
        <w:rPr>
          <w:rFonts w:hint="eastAsia"/>
        </w:rPr>
        <w:t>在重要时间节点期间提供不少于一人的安全人员驻场，保障系统持续、稳定的运行，对客户重要系统进行安全保障。</w:t>
      </w:r>
      <w:r>
        <w:rPr>
          <w:rFonts w:hint="eastAsia"/>
          <w:lang w:val="en-US" w:eastAsia="zh-CN"/>
        </w:rPr>
        <w:t>每年不少于4次。</w:t>
      </w:r>
    </w:p>
    <w:p w14:paraId="30C6F9DD">
      <w:pPr>
        <w:rPr>
          <w:rFonts w:hint="eastAsia"/>
        </w:rPr>
      </w:pPr>
      <w:r>
        <w:rPr>
          <w:rFonts w:hint="eastAsia"/>
          <w:lang w:val="en-US" w:eastAsia="zh-CN"/>
        </w:rPr>
        <w:t>9</w:t>
      </w:r>
      <w:r>
        <w:rPr>
          <w:rFonts w:hint="eastAsia"/>
        </w:rPr>
        <w:t>、</w:t>
      </w:r>
      <w:r>
        <w:rPr>
          <w:rFonts w:hint="eastAsia"/>
          <w:lang w:val="en-US" w:eastAsia="zh-CN"/>
        </w:rPr>
        <w:t>★</w:t>
      </w:r>
      <w:r>
        <w:rPr>
          <w:rFonts w:hint="eastAsia"/>
        </w:rPr>
        <w:t>现有安全运维工具升级</w:t>
      </w:r>
    </w:p>
    <w:p w14:paraId="7B1F6D09">
      <w:pPr>
        <w:rPr>
          <w:rFonts w:hint="eastAsia"/>
        </w:rPr>
      </w:pPr>
      <w:r>
        <w:rPr>
          <w:rFonts w:hint="eastAsia"/>
        </w:rPr>
        <w:t>现有安全运维工具：</w:t>
      </w:r>
    </w:p>
    <w:p w14:paraId="7397D083">
      <w:pPr>
        <w:rPr>
          <w:rFonts w:hint="eastAsia"/>
        </w:rPr>
      </w:pPr>
      <w:r>
        <w:rPr>
          <w:rFonts w:hint="eastAsia"/>
        </w:rPr>
        <w:t>1.绿盟UTS综合威胁探针UTSNX3-HD4100；</w:t>
      </w:r>
    </w:p>
    <w:p w14:paraId="071CF63F">
      <w:pPr>
        <w:rPr>
          <w:rFonts w:hint="eastAsia"/>
        </w:rPr>
      </w:pPr>
      <w:r>
        <w:rPr>
          <w:rFonts w:hint="eastAsia"/>
        </w:rPr>
        <w:t>2.华为镜像交换机S5735S-L24T4X；</w:t>
      </w:r>
    </w:p>
    <w:p w14:paraId="03CCAD22">
      <w:pPr>
        <w:rPr>
          <w:rFonts w:hint="eastAsia"/>
        </w:rPr>
      </w:pPr>
      <w:r>
        <w:rPr>
          <w:rFonts w:hint="eastAsia"/>
        </w:rPr>
        <w:t>升级内容：</w:t>
      </w:r>
    </w:p>
    <w:p w14:paraId="48DA69E3">
      <w:pPr>
        <w:rPr>
          <w:rFonts w:hint="eastAsia"/>
        </w:rPr>
      </w:pPr>
      <w:r>
        <w:rPr>
          <w:rFonts w:hint="eastAsia"/>
        </w:rPr>
        <w:t>1. 现有安全监测工具（探针）主要包含入侵检测、威胁情报等模块，本次需要增加恶意文件检测、web应用检测等能力。所有功能模块授权增加</w:t>
      </w:r>
      <w:r>
        <w:rPr>
          <w:rFonts w:hint="eastAsia"/>
          <w:lang w:val="en-US" w:eastAsia="zh-CN"/>
        </w:rPr>
        <w:t>2</w:t>
      </w:r>
      <w:r>
        <w:rPr>
          <w:rFonts w:hint="eastAsia"/>
        </w:rPr>
        <w:t>年，设备原厂续保增加</w:t>
      </w:r>
      <w:r>
        <w:rPr>
          <w:rFonts w:hint="eastAsia"/>
          <w:lang w:val="en-US" w:eastAsia="zh-CN"/>
        </w:rPr>
        <w:t>2</w:t>
      </w:r>
      <w:r>
        <w:rPr>
          <w:rFonts w:hint="eastAsia"/>
        </w:rPr>
        <w:t>年。</w:t>
      </w:r>
    </w:p>
    <w:p w14:paraId="1495163C">
      <w:pPr>
        <w:rPr>
          <w:rFonts w:hint="eastAsia"/>
        </w:rPr>
      </w:pPr>
      <w:r>
        <w:rPr>
          <w:rFonts w:hint="eastAsia"/>
        </w:rPr>
        <w:t>2.镜像交换机增加设备原厂续保</w:t>
      </w:r>
      <w:r>
        <w:rPr>
          <w:rFonts w:hint="eastAsia"/>
          <w:lang w:val="en-US" w:eastAsia="zh-CN"/>
        </w:rPr>
        <w:t>2</w:t>
      </w:r>
      <w:r>
        <w:rPr>
          <w:rFonts w:hint="eastAsia"/>
        </w:rPr>
        <w:t>年。</w:t>
      </w:r>
    </w:p>
    <w:p w14:paraId="64993750">
      <w:pPr>
        <w:rPr>
          <w:rFonts w:hint="default"/>
          <w:b/>
          <w:bCs/>
          <w:lang w:val="en-US" w:eastAsia="zh-CN"/>
        </w:rPr>
      </w:pPr>
      <w:r>
        <w:rPr>
          <w:rFonts w:hint="eastAsia"/>
          <w:b/>
          <w:bCs/>
          <w:lang w:val="en-US" w:eastAsia="zh-CN"/>
        </w:rPr>
        <w:t>注：上述除原厂授权外，各供应商能证明其升级方案符合同等技术标准（如支持相同硬件架构、性能指标、安全认证），并获原厂授权的视为有效响应。</w:t>
      </w:r>
    </w:p>
    <w:p w14:paraId="5B5A1EE6">
      <w:pPr>
        <w:rPr>
          <w:rFonts w:hint="eastAsia"/>
          <w:lang w:val="en-US" w:eastAsia="zh-CN"/>
        </w:rPr>
      </w:pPr>
      <w:r>
        <w:rPr>
          <w:rFonts w:hint="eastAsia"/>
          <w:lang w:val="en-US" w:eastAsia="zh-CN"/>
        </w:rPr>
        <w:t>四、项目实施要求：</w:t>
      </w:r>
    </w:p>
    <w:p w14:paraId="5653F703">
      <w:pPr>
        <w:rPr>
          <w:rFonts w:hint="eastAsia"/>
        </w:rPr>
      </w:pPr>
      <w:r>
        <w:rPr>
          <w:rFonts w:hint="eastAsia"/>
        </w:rPr>
        <w:t>1.所有网络安全调整加固均需采购人同意后，方可实施，同时，要做好纸质资料、电子文档留存工作。合同期结束，由本项目产生的资料中标人装订交于招标方，同时中标人不应留存本项目任何资料，包括纸质资料、电子文档等。</w:t>
      </w:r>
    </w:p>
    <w:p w14:paraId="6379B08C">
      <w:pPr>
        <w:rPr>
          <w:rFonts w:hint="eastAsia"/>
        </w:rPr>
      </w:pPr>
      <w:r>
        <w:rPr>
          <w:rFonts w:hint="eastAsia"/>
        </w:rPr>
        <w:t>2.中标人对项目实施过程中接触到的技术和业务信息（包括网络拓扑、设备清单、技术方案、服务内容、实现方法、运作流程、技术指标、软件系统、数据库、运行环境、测试结果、使用手册、技术文档等）应主动采取加密措施进行保护，防止任何第三方知悉及使用，不得刺探或者以其他不正当手段获取与该项目无关的信息，造成采购人遭受经济损失或者严重后果的，中标人应当承担相应经济和法律责任。</w:t>
      </w:r>
    </w:p>
    <w:p w14:paraId="354B6346">
      <w:pPr>
        <w:rPr>
          <w:rFonts w:hint="default"/>
          <w:lang w:val="en-US" w:eastAsia="zh-CN"/>
        </w:rPr>
      </w:pPr>
      <w:r>
        <w:rPr>
          <w:rFonts w:hint="eastAsia"/>
          <w:lang w:val="en-US" w:eastAsia="zh-CN"/>
        </w:rPr>
        <w:t>3.</w:t>
      </w:r>
      <w:r>
        <w:rPr>
          <w:rFonts w:hint="eastAsia"/>
        </w:rPr>
        <w:t>本项目服务的业务专网为市级</w:t>
      </w:r>
      <w:r>
        <w:rPr>
          <w:rFonts w:hint="eastAsia"/>
          <w:lang w:val="en-US" w:eastAsia="zh-CN"/>
        </w:rPr>
        <w:t>医保网络</w:t>
      </w:r>
      <w:r>
        <w:rPr>
          <w:rFonts w:hint="eastAsia"/>
        </w:rPr>
        <w:t>。</w:t>
      </w:r>
    </w:p>
    <w:p w14:paraId="29649A47">
      <w:pPr>
        <w:rPr>
          <w:rFonts w:hint="default"/>
          <w:lang w:val="en-US" w:eastAsia="zh-CN"/>
        </w:rPr>
      </w:pPr>
      <w:r>
        <w:rPr>
          <w:rFonts w:hint="eastAsia"/>
          <w:lang w:val="en-US" w:eastAsia="zh-CN"/>
        </w:rPr>
        <w:t>五、项目服务期：自合同签订生效之日起2年。</w:t>
      </w:r>
    </w:p>
    <w:p w14:paraId="04BC375E">
      <w:r>
        <w:rPr>
          <w:rFonts w:hint="eastAsia"/>
          <w:lang w:val="en-US" w:eastAsia="zh-CN"/>
        </w:rPr>
        <w:t>六、其他要求：</w:t>
      </w:r>
      <w:r>
        <w:rPr>
          <w:lang w:eastAsia="zh-CN"/>
        </w:rPr>
        <w:t>见</w:t>
      </w:r>
      <w:r>
        <w:rPr>
          <w:rFonts w:hint="eastAsia"/>
          <w:lang w:val="en-US" w:eastAsia="zh-CN"/>
        </w:rPr>
        <w:t>磋商</w:t>
      </w:r>
      <w:r>
        <w:rPr>
          <w:lang w:eastAsia="zh-CN"/>
        </w:rPr>
        <w:t>文件第</w:t>
      </w:r>
      <w:r>
        <w:rPr>
          <w:rFonts w:hint="eastAsia"/>
          <w:lang w:val="en-US" w:eastAsia="zh-CN"/>
        </w:rPr>
        <w:t>十</w:t>
      </w:r>
      <w:r>
        <w:rPr>
          <w:lang w:eastAsia="zh-CN"/>
        </w:rPr>
        <w:t>章《拟签订的合同文本》。</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4" w:lineRule="auto"/>
        <w:ind w:firstLine="480"/>
      </w:pPr>
      <w:r>
        <w:separator/>
      </w:r>
    </w:p>
  </w:footnote>
  <w:footnote w:type="continuationSeparator" w:id="1">
    <w:p>
      <w:pPr>
        <w:spacing w:line="274"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1359C"/>
    <w:rsid w:val="0FA75B98"/>
    <w:rsid w:val="14544FB7"/>
    <w:rsid w:val="20284750"/>
    <w:rsid w:val="26613C06"/>
    <w:rsid w:val="35507E89"/>
    <w:rsid w:val="60D14B46"/>
    <w:rsid w:val="6B935421"/>
    <w:rsid w:val="6F0F16A2"/>
    <w:rsid w:val="753D2245"/>
    <w:rsid w:val="7AED3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6"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4" w:lineRule="auto"/>
      <w:ind w:firstLine="200" w:firstLineChars="200"/>
      <w:jc w:val="both"/>
    </w:pPr>
    <w:rPr>
      <w:rFonts w:ascii="仿宋_GB2312" w:hAnsi="Calibri" w:eastAsia="仿宋_GB2312"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widowControl/>
      <w:ind w:firstLine="420"/>
      <w:jc w:val="left"/>
    </w:pPr>
    <w:rPr>
      <w:sz w:val="20"/>
    </w:rPr>
  </w:style>
  <w:style w:type="paragraph" w:styleId="3">
    <w:name w:val="Body Text Indent"/>
    <w:basedOn w:val="1"/>
    <w:qFormat/>
    <w:uiPriority w:val="0"/>
    <w:pPr>
      <w:spacing w:after="120"/>
      <w:ind w:left="420" w:leftChars="200"/>
    </w:pPr>
  </w:style>
  <w:style w:type="paragraph" w:styleId="4">
    <w:name w:val="Block Text"/>
    <w:basedOn w:val="1"/>
    <w:qFormat/>
    <w:uiPriority w:val="6"/>
    <w:pPr>
      <w:widowControl w:val="0"/>
      <w:spacing w:after="0" w:line="274" w:lineRule="auto"/>
      <w:ind w:left="256" w:right="6" w:firstLine="624"/>
      <w:jc w:val="both"/>
    </w:pPr>
    <w:rPr>
      <w:rFonts w:ascii="Times New Roman" w:hAnsi="Times New Roman" w:eastAsia="仿宋"/>
      <w:sz w:val="28"/>
      <w:szCs w:val="20"/>
      <w:lang w:eastAsia="zh-CN"/>
    </w:rPr>
  </w:style>
  <w:style w:type="paragraph" w:styleId="5">
    <w:name w:val="Title"/>
    <w:basedOn w:val="1"/>
    <w:next w:val="1"/>
    <w:qFormat/>
    <w:uiPriority w:val="10"/>
    <w:pPr>
      <w:spacing w:before="300" w:after="300"/>
      <w:jc w:val="center"/>
      <w:outlineLvl w:val="0"/>
    </w:pPr>
    <w:rPr>
      <w:rFonts w:ascii="Cambria" w:hAnsi="Cambria" w:eastAsia="仿宋_GB2312" w:cs="Times New Roman"/>
      <w:b/>
      <w:bCs/>
      <w:sz w:val="36"/>
      <w:szCs w:val="32"/>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paragraph" w:customStyle="1" w:styleId="9">
    <w:name w:val="标题 11"/>
    <w:basedOn w:val="10"/>
    <w:next w:val="10"/>
    <w:qFormat/>
    <w:uiPriority w:val="0"/>
    <w:pPr>
      <w:keepNext/>
      <w:keepLines/>
      <w:spacing w:before="340" w:after="330" w:line="578" w:lineRule="auto"/>
      <w:outlineLvl w:val="0"/>
    </w:pPr>
    <w:rPr>
      <w:b/>
      <w:bCs/>
      <w:sz w:val="44"/>
      <w:szCs w:val="44"/>
    </w:rPr>
  </w:style>
  <w:style w:type="paragraph" w:customStyle="1" w:styleId="10">
    <w:name w:val="正文11"/>
    <w:next w:val="1"/>
    <w:qFormat/>
    <w:uiPriority w:val="0"/>
    <w:pPr>
      <w:jc w:val="both"/>
    </w:pPr>
    <w:rPr>
      <w:rFonts w:hint="default" w:ascii="Times New Roman" w:hAnsi="Times New Roman" w:eastAsia="宋体" w:cs="Times New Roman"/>
      <w:lang w:val="en-US" w:eastAsia="zh-CN" w:bidi="ar-SA"/>
    </w:rPr>
  </w:style>
  <w:style w:type="paragraph" w:customStyle="1" w:styleId="11">
    <w:name w:val="正文1"/>
    <w:basedOn w:val="10"/>
    <w:next w:val="12"/>
    <w:qFormat/>
    <w:uiPriority w:val="0"/>
    <w:pPr>
      <w:spacing w:line="360" w:lineRule="atLeast"/>
      <w:jc w:val="left"/>
    </w:pPr>
    <w:rPr>
      <w:rFonts w:ascii="宋体"/>
      <w:sz w:val="24"/>
    </w:rPr>
  </w:style>
  <w:style w:type="paragraph" w:customStyle="1" w:styleId="12">
    <w:name w:val="正文文本1"/>
    <w:basedOn w:val="13"/>
    <w:next w:val="11"/>
    <w:qFormat/>
    <w:uiPriority w:val="0"/>
    <w:rPr>
      <w:rFonts w:eastAsia="黑体"/>
      <w:b/>
      <w:bCs/>
      <w:spacing w:val="20"/>
      <w:sz w:val="56"/>
    </w:rPr>
  </w:style>
  <w:style w:type="paragraph" w:customStyle="1" w:styleId="13">
    <w:name w:val="正文12"/>
    <w:next w:val="12"/>
    <w:qFormat/>
    <w:uiPriority w:val="0"/>
    <w:pPr>
      <w:spacing w:after="200" w:line="276" w:lineRule="auto"/>
    </w:pPr>
    <w:rPr>
      <w:rFonts w:hint="default" w:ascii="Times New Roman" w:hAnsi="Times New Roman" w:eastAsia="宋体" w:cs="Times New Roman"/>
      <w:color w:val="0563C1"/>
      <w:u w:val="single"/>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2725</Words>
  <Characters>2874</Characters>
  <Lines>0</Lines>
  <Paragraphs>0</Paragraphs>
  <TotalTime>1</TotalTime>
  <ScaleCrop>false</ScaleCrop>
  <LinksUpToDate>false</LinksUpToDate>
  <CharactersWithSpaces>2880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2025-02-18T01:49:00Z</dcterms:created>
  <dc:creator>江苏泓科-03号主机</dc:creator>
  <cp:lastModifiedBy>他言</cp:lastModifiedBy>
  <dcterms:modified xsi:type="dcterms:W3CDTF">2025-08-18T03:33:46Z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eyJoZGlkIjoiMzcwMzkwNjdkYjc5ZDc4MjA0NjlhMzJiMTZhMWRmZmEiLCJ1c2VySWQiOiI0OTM4MDY3MzgifQ==</vt:lpwstr>
  </property>
  <property fmtid="{D5CDD505-2E9C-101B-9397-08002B2CF9AE}" pid="4" name="ICV">
    <vt:lpwstr>8350CD982289475DAEAAC82F5B127239_13</vt:lpwstr>
  </property>
</Properties>
</file>