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AB12">
      <w:pPr>
        <w:pStyle w:val="4"/>
        <w:numPr>
          <w:ilvl w:val="0"/>
          <w:numId w:val="0"/>
        </w:numPr>
        <w:spacing w:line="360" w:lineRule="auto"/>
        <w:jc w:val="left"/>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如有建议或意见，请以书面形式并加盖公章、注明联系人、联系方式，于2025年</w:t>
      </w:r>
      <w:r>
        <w:rPr>
          <w:rFonts w:hint="eastAsia"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cs="宋体"/>
          <w:color w:val="auto"/>
          <w:sz w:val="24"/>
          <w:szCs w:val="24"/>
          <w:highlight w:val="none"/>
          <w:lang w:val="en-US" w:eastAsia="zh-CN" w:bidi="ar-SA"/>
        </w:rPr>
        <w:t>21</w:t>
      </w:r>
      <w:r>
        <w:rPr>
          <w:rFonts w:hint="eastAsia" w:ascii="宋体" w:hAnsi="宋体" w:eastAsia="宋体" w:cs="宋体"/>
          <w:color w:val="auto"/>
          <w:sz w:val="24"/>
          <w:szCs w:val="24"/>
          <w:highlight w:val="none"/>
          <w:lang w:val="en-US" w:eastAsia="zh-CN" w:bidi="ar-SA"/>
        </w:rPr>
        <w:t>日17:00之前送至我单位，逾期不受理（如邮寄，2025年</w:t>
      </w:r>
      <w:r>
        <w:rPr>
          <w:rFonts w:hint="eastAsia"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cs="宋体"/>
          <w:color w:val="auto"/>
          <w:sz w:val="24"/>
          <w:szCs w:val="24"/>
          <w:highlight w:val="none"/>
          <w:lang w:val="en-US" w:eastAsia="zh-CN" w:bidi="ar-SA"/>
        </w:rPr>
        <w:t>21</w:t>
      </w:r>
      <w:r>
        <w:rPr>
          <w:rFonts w:hint="eastAsia" w:ascii="宋体" w:hAnsi="宋体" w:eastAsia="宋体" w:cs="宋体"/>
          <w:color w:val="auto"/>
          <w:sz w:val="24"/>
          <w:szCs w:val="24"/>
          <w:highlight w:val="none"/>
          <w:lang w:val="en-US" w:eastAsia="zh-CN" w:bidi="ar-SA"/>
        </w:rPr>
        <w:t>日17:00之后到达本单位的邮件将不再受理）。</w:t>
      </w:r>
    </w:p>
    <w:p w14:paraId="190D7598">
      <w:pPr>
        <w:widowControl w:val="0"/>
        <w:numPr>
          <w:ilvl w:val="0"/>
          <w:numId w:val="1"/>
        </w:numPr>
        <w:spacing w:line="360" w:lineRule="auto"/>
        <w:ind w:left="256" w:right="6" w:firstLine="482"/>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采购标的</w:t>
      </w:r>
    </w:p>
    <w:p w14:paraId="77841B65">
      <w:pPr>
        <w:widowControl w:val="0"/>
        <w:numPr>
          <w:ilvl w:val="0"/>
          <w:numId w:val="2"/>
        </w:numPr>
        <w:spacing w:line="360" w:lineRule="auto"/>
        <w:ind w:firstLine="819"/>
        <w:jc w:val="both"/>
        <w:rPr>
          <w:rFonts w:hint="eastAsia"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项目名称:</w:t>
      </w:r>
      <w:r>
        <w:rPr>
          <w:rFonts w:hint="eastAsia" w:ascii="宋体" w:hAnsi="宋体" w:eastAsia="宋体" w:cs="Times New Roman"/>
          <w:sz w:val="24"/>
          <w:szCs w:val="24"/>
          <w:highlight w:val="none"/>
          <w:lang w:val="en-US" w:eastAsia="zh-CN" w:bidi="ar-SA"/>
        </w:rPr>
        <w:t>沛县2023年农村道路（镇镇之间）路面黑化工程（</w:t>
      </w:r>
      <w:bookmarkStart w:id="0" w:name="_GoBack"/>
      <w:r>
        <w:rPr>
          <w:rFonts w:hint="eastAsia" w:ascii="宋体" w:hAnsi="宋体" w:eastAsia="宋体" w:cs="Times New Roman"/>
          <w:sz w:val="24"/>
          <w:szCs w:val="24"/>
          <w:highlight w:val="none"/>
          <w:lang w:val="en-US" w:eastAsia="zh-CN" w:bidi="ar-SA"/>
        </w:rPr>
        <w:t>魏庙镇梅沿线、杨佟线及联络线</w:t>
      </w:r>
      <w:bookmarkEnd w:id="0"/>
      <w:r>
        <w:rPr>
          <w:rFonts w:hint="eastAsia" w:ascii="宋体" w:hAnsi="宋体" w:eastAsia="宋体" w:cs="Times New Roman"/>
          <w:sz w:val="24"/>
          <w:szCs w:val="24"/>
          <w:highlight w:val="none"/>
          <w:lang w:val="en-US" w:eastAsia="zh-CN" w:bidi="ar-SA"/>
        </w:rPr>
        <w:t>）</w:t>
      </w:r>
    </w:p>
    <w:p w14:paraId="0E2BB098">
      <w:pPr>
        <w:widowControl w:val="0"/>
        <w:numPr>
          <w:ilvl w:val="0"/>
          <w:numId w:val="0"/>
        </w:numPr>
        <w:spacing w:line="360" w:lineRule="auto"/>
        <w:ind w:firstLine="723"/>
        <w:jc w:val="both"/>
        <w:rPr>
          <w:rFonts w:hint="default" w:ascii="宋体" w:hAnsi="宋体" w:eastAsia="宋体" w:cs="Times New Roman"/>
          <w:b/>
          <w:bCs/>
          <w:sz w:val="24"/>
          <w:szCs w:val="24"/>
          <w:highlight w:val="none"/>
          <w:lang w:val="en-US" w:eastAsia="zh-CN" w:bidi="ar-SA"/>
        </w:rPr>
      </w:pPr>
      <w:r>
        <w:rPr>
          <w:rFonts w:hint="eastAsia" w:ascii="宋体" w:hAnsi="宋体" w:eastAsia="宋体" w:cs="Times New Roman"/>
          <w:b/>
          <w:bCs/>
          <w:sz w:val="24"/>
          <w:szCs w:val="24"/>
          <w:highlight w:val="none"/>
          <w:lang w:val="en-US" w:eastAsia="zh-CN" w:bidi="ar-SA"/>
        </w:rPr>
        <w:t>2.</w:t>
      </w:r>
      <w:r>
        <w:rPr>
          <w:rFonts w:hint="default" w:ascii="宋体" w:hAnsi="宋体" w:eastAsia="宋体" w:cs="Times New Roman"/>
          <w:b/>
          <w:bCs/>
          <w:sz w:val="24"/>
          <w:szCs w:val="24"/>
          <w:highlight w:val="none"/>
          <w:lang w:val="en-US" w:eastAsia="zh-CN" w:bidi="ar-SA"/>
        </w:rPr>
        <w:t>本项目</w:t>
      </w:r>
      <w:r>
        <w:rPr>
          <w:rFonts w:hint="eastAsia" w:ascii="宋体" w:hAnsi="宋体" w:eastAsia="宋体" w:cs="Times New Roman"/>
          <w:b/>
          <w:bCs/>
          <w:sz w:val="24"/>
          <w:szCs w:val="24"/>
          <w:highlight w:val="none"/>
          <w:lang w:val="en-US" w:eastAsia="zh-CN" w:bidi="ar-SA"/>
        </w:rPr>
        <w:t>采购预算价1271155.86元人民币，最高限价1271155.86元人民币，</w:t>
      </w:r>
      <w:r>
        <w:rPr>
          <w:rFonts w:hint="default" w:ascii="宋体" w:hAnsi="宋体" w:eastAsia="宋体" w:cs="Times New Roman"/>
          <w:b/>
          <w:bCs/>
          <w:sz w:val="24"/>
          <w:szCs w:val="24"/>
          <w:highlight w:val="none"/>
          <w:lang w:val="en-US" w:eastAsia="zh-CN" w:bidi="ar-SA"/>
        </w:rPr>
        <w:t>不接受超过</w:t>
      </w:r>
      <w:r>
        <w:rPr>
          <w:rFonts w:hint="eastAsia" w:ascii="宋体" w:hAnsi="宋体" w:eastAsia="宋体" w:cs="Times New Roman"/>
          <w:b/>
          <w:bCs/>
          <w:sz w:val="24"/>
          <w:szCs w:val="24"/>
          <w:highlight w:val="none"/>
          <w:lang w:val="en-US" w:eastAsia="zh-CN" w:bidi="ar-SA"/>
        </w:rPr>
        <w:t>最高限价1271155.86元人民币</w:t>
      </w:r>
      <w:r>
        <w:rPr>
          <w:rFonts w:hint="default" w:ascii="宋体" w:hAnsi="宋体" w:eastAsia="宋体" w:cs="Times New Roman"/>
          <w:b/>
          <w:bCs/>
          <w:sz w:val="24"/>
          <w:szCs w:val="24"/>
          <w:highlight w:val="none"/>
          <w:lang w:val="en-US" w:eastAsia="zh-CN" w:bidi="ar-SA"/>
        </w:rPr>
        <w:t>的报价</w:t>
      </w:r>
      <w:r>
        <w:rPr>
          <w:rFonts w:hint="default" w:ascii="宋体" w:hAnsi="宋体" w:eastAsia="宋体" w:cs="Times New Roman"/>
          <w:b/>
          <w:sz w:val="24"/>
          <w:szCs w:val="24"/>
          <w:highlight w:val="none"/>
          <w:lang w:val="en-US" w:eastAsia="zh-CN" w:bidi="ar-SA"/>
        </w:rPr>
        <w:t>。</w:t>
      </w:r>
      <w:r>
        <w:rPr>
          <w:rFonts w:hint="default" w:ascii="宋体" w:hAnsi="宋体" w:eastAsia="宋体" w:cs="Times New Roman"/>
          <w:b/>
          <w:bCs/>
          <w:sz w:val="24"/>
          <w:szCs w:val="24"/>
          <w:highlight w:val="none"/>
          <w:lang w:val="en-US" w:eastAsia="zh-CN" w:bidi="ar-SA"/>
        </w:rPr>
        <w:t>报价包括但不限于产品价、税金、运费、</w:t>
      </w:r>
      <w:r>
        <w:rPr>
          <w:rFonts w:hint="eastAsia" w:ascii="宋体" w:hAnsi="宋体" w:eastAsia="宋体" w:cs="Times New Roman"/>
          <w:b/>
          <w:bCs/>
          <w:sz w:val="24"/>
          <w:szCs w:val="24"/>
          <w:highlight w:val="none"/>
          <w:lang w:val="en-US" w:eastAsia="zh-CN" w:bidi="ar-SA"/>
        </w:rPr>
        <w:t>人工费</w:t>
      </w:r>
      <w:r>
        <w:rPr>
          <w:rFonts w:hint="default" w:ascii="宋体" w:hAnsi="宋体" w:eastAsia="宋体" w:cs="Times New Roman"/>
          <w:b/>
          <w:bCs/>
          <w:sz w:val="24"/>
          <w:szCs w:val="24"/>
          <w:highlight w:val="none"/>
          <w:lang w:val="en-US" w:eastAsia="zh-CN" w:bidi="ar-SA"/>
        </w:rPr>
        <w:t>、供应商的利润、</w:t>
      </w:r>
      <w:r>
        <w:rPr>
          <w:rFonts w:hint="eastAsia" w:ascii="宋体" w:hAnsi="宋体" w:eastAsia="宋体" w:cs="Times New Roman"/>
          <w:b/>
          <w:bCs/>
          <w:sz w:val="24"/>
          <w:szCs w:val="24"/>
          <w:highlight w:val="none"/>
          <w:lang w:val="en-US" w:eastAsia="zh-CN" w:bidi="ar-SA"/>
        </w:rPr>
        <w:t>扬尘、措施费、安全文明施工费</w:t>
      </w:r>
      <w:r>
        <w:rPr>
          <w:rFonts w:hint="default" w:ascii="宋体" w:hAnsi="宋体" w:eastAsia="宋体" w:cs="Times New Roman"/>
          <w:b/>
          <w:bCs/>
          <w:sz w:val="24"/>
          <w:szCs w:val="24"/>
          <w:highlight w:val="none"/>
          <w:lang w:val="en-US" w:eastAsia="zh-CN" w:bidi="ar-SA"/>
        </w:rPr>
        <w:t>等</w:t>
      </w:r>
      <w:r>
        <w:rPr>
          <w:rFonts w:hint="eastAsia" w:ascii="宋体" w:hAnsi="宋体" w:eastAsia="宋体" w:cs="Times New Roman"/>
          <w:b/>
          <w:bCs/>
          <w:sz w:val="24"/>
          <w:szCs w:val="24"/>
          <w:highlight w:val="none"/>
          <w:lang w:val="en-US" w:eastAsia="zh-CN" w:bidi="ar-SA"/>
        </w:rPr>
        <w:t>完成本项目所需要的</w:t>
      </w:r>
      <w:r>
        <w:rPr>
          <w:rFonts w:hint="default" w:ascii="宋体" w:hAnsi="宋体" w:eastAsia="宋体" w:cs="Times New Roman"/>
          <w:b/>
          <w:bCs/>
          <w:sz w:val="24"/>
          <w:szCs w:val="24"/>
          <w:highlight w:val="none"/>
          <w:lang w:val="en-US" w:eastAsia="zh-CN" w:bidi="ar-SA"/>
        </w:rPr>
        <w:t>全部费用。采购人不再支付报价以外的任何费用。</w:t>
      </w:r>
    </w:p>
    <w:p w14:paraId="4DD7CF71">
      <w:pPr>
        <w:widowControl w:val="0"/>
        <w:numPr>
          <w:ilvl w:val="0"/>
          <w:numId w:val="1"/>
        </w:numPr>
        <w:shd w:val="clear"/>
        <w:spacing w:line="360" w:lineRule="auto"/>
        <w:ind w:left="256" w:right="6" w:firstLine="482"/>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项目具体要求：</w:t>
      </w:r>
    </w:p>
    <w:p w14:paraId="3ADCC6F0">
      <w:pPr>
        <w:widowControl w:val="0"/>
        <w:shd w:val="clear"/>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2.1工程概况</w:t>
      </w:r>
    </w:p>
    <w:p w14:paraId="0B3A910A">
      <w:pPr>
        <w:widowControl w:val="0"/>
        <w:shd w:val="clear"/>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2.1.1建设地点：</w:t>
      </w:r>
      <w:r>
        <w:rPr>
          <w:rFonts w:hint="eastAsia" w:ascii="宋体" w:hAnsi="宋体" w:eastAsia="宋体" w:cs="Times New Roman"/>
          <w:sz w:val="24"/>
          <w:szCs w:val="24"/>
          <w:highlight w:val="none"/>
          <w:lang w:val="en-US" w:eastAsia="zh-CN" w:bidi="ar-SA"/>
        </w:rPr>
        <w:t>沛县魏庙镇</w:t>
      </w:r>
      <w:r>
        <w:rPr>
          <w:rFonts w:hint="default" w:ascii="宋体" w:hAnsi="宋体" w:eastAsia="宋体" w:cs="Times New Roman"/>
          <w:sz w:val="24"/>
          <w:szCs w:val="24"/>
          <w:highlight w:val="none"/>
          <w:lang w:val="en-US" w:eastAsia="zh-CN" w:bidi="ar-SA"/>
        </w:rPr>
        <w:t>。</w:t>
      </w:r>
    </w:p>
    <w:p w14:paraId="0070BE04">
      <w:pPr>
        <w:widowControl w:val="0"/>
        <w:numPr>
          <w:ilvl w:val="0"/>
          <w:numId w:val="0"/>
        </w:numPr>
        <w:shd w:val="clear"/>
        <w:spacing w:line="360" w:lineRule="auto"/>
        <w:ind w:left="256" w:right="6" w:firstLine="480" w:firstLineChars="20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2.1.2主要工程内容：本次招标为沛县2023年农村道路（镇镇之间）路面黑化工程（魏庙镇梅沿线、杨佟线及联络线），位于沛县魏庙镇内，具体详情如下：</w:t>
      </w:r>
    </w:p>
    <w:p w14:paraId="0994A03D">
      <w:pPr>
        <w:widowControl w:val="0"/>
        <w:numPr>
          <w:ilvl w:val="0"/>
          <w:numId w:val="0"/>
        </w:numPr>
        <w:shd w:val="clear"/>
        <w:spacing w:line="360" w:lineRule="auto"/>
        <w:ind w:left="256" w:right="6" w:firstLine="480" w:firstLineChars="20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Y203 杨佟线及联络线位于魏庙镇，老路为水泥混凝土路面，本次设计长度为1.157Km。其中，Y203 杨佟线设计起点接 C146 杨孙线，宽 8.0m，为三级公路，沥青路面，起点桩号：K5+941；设计终点接联络线起点，终点桩号：K6+128，设计长度为0.187Km；联络线起点接 Y203 杨佟线，起点桩号 K0+000，终点接 X305 魏栖线，宽 10.0m，为二级公路，沥青路面，终点桩号：K0+970，设计长度为 0.970Km。</w:t>
      </w:r>
    </w:p>
    <w:p w14:paraId="2EFCF9F0">
      <w:pPr>
        <w:widowControl w:val="0"/>
        <w:numPr>
          <w:ilvl w:val="0"/>
          <w:numId w:val="0"/>
        </w:numPr>
        <w:shd w:val="clear"/>
        <w:spacing w:line="360" w:lineRule="auto"/>
        <w:ind w:left="256" w:right="6" w:firstLine="480" w:firstLineChars="20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Y205 梅沿线位于魏庙镇，老路为水泥路混凝土路面，本次分两段实施，设计长度共 0.967Km。其中，实施段一设计起点桩号：K2+780，设计终点桩号：K3+410，设计长度为 0.630Km；实施段二起点桩号：K4+080，设计终点接 X201 大五线，终点桩号：K4+417，设计长度为 0.337Km。</w:t>
      </w:r>
    </w:p>
    <w:p w14:paraId="693616BB">
      <w:pPr>
        <w:widowControl w:val="0"/>
        <w:shd w:val="clear"/>
        <w:tabs>
          <w:tab w:val="left" w:pos="312"/>
        </w:tabs>
        <w:spacing w:line="360" w:lineRule="auto"/>
        <w:ind w:left="0" w:leftChars="0" w:right="6" w:firstLine="0" w:firstLineChars="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主要内容为路面黑化、路基、标志、标线、标牌、绿化、交安设施、破碎板修复等工程，具体详见图纸及工程量清单全部内容，最终满足招标人要求。</w:t>
      </w:r>
    </w:p>
    <w:p w14:paraId="04DA1FFC">
      <w:pPr>
        <w:widowControl w:val="0"/>
        <w:shd w:val="clear"/>
        <w:tabs>
          <w:tab w:val="left" w:pos="312"/>
        </w:tabs>
        <w:spacing w:line="360" w:lineRule="auto"/>
        <w:ind w:left="0" w:leftChars="0" w:right="6" w:firstLine="0" w:firstLineChars="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2.1.3 工程质量要求：合格。</w:t>
      </w:r>
    </w:p>
    <w:p w14:paraId="5005A9DB">
      <w:pPr>
        <w:widowControl w:val="0"/>
        <w:shd w:val="clear"/>
        <w:tabs>
          <w:tab w:val="left" w:pos="312"/>
        </w:tabs>
        <w:spacing w:line="360" w:lineRule="auto"/>
        <w:ind w:left="0" w:right="6" w:firstLine="480"/>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2.1.4工期要求：</w:t>
      </w:r>
      <w:r>
        <w:rPr>
          <w:rFonts w:hint="eastAsia" w:ascii="宋体" w:hAnsi="宋体" w:eastAsia="宋体" w:cs="Times New Roman"/>
          <w:b/>
          <w:bCs/>
          <w:color w:val="auto"/>
          <w:sz w:val="24"/>
          <w:szCs w:val="24"/>
          <w:highlight w:val="none"/>
          <w:lang w:val="en-US" w:eastAsia="zh-CN" w:bidi="ar-SA"/>
        </w:rPr>
        <w:t>60</w:t>
      </w:r>
      <w:r>
        <w:rPr>
          <w:rFonts w:hint="eastAsia" w:ascii="宋体" w:hAnsi="宋体" w:eastAsia="宋体" w:cs="Times New Roman"/>
          <w:b/>
          <w:bCs/>
          <w:sz w:val="24"/>
          <w:szCs w:val="24"/>
          <w:highlight w:val="none"/>
          <w:lang w:val="en-US" w:eastAsia="zh-CN" w:bidi="ar-SA"/>
        </w:rPr>
        <w:t>日历天（具体以双方实际签订合同为准）</w:t>
      </w:r>
      <w:r>
        <w:rPr>
          <w:rFonts w:hint="default" w:ascii="宋体" w:hAnsi="宋体" w:eastAsia="宋体" w:cs="Times New Roman"/>
          <w:b/>
          <w:bCs/>
          <w:sz w:val="24"/>
          <w:szCs w:val="24"/>
          <w:highlight w:val="none"/>
          <w:lang w:val="en-US" w:eastAsia="zh-CN" w:bidi="ar-SA"/>
        </w:rPr>
        <w:t>。</w:t>
      </w:r>
    </w:p>
    <w:p w14:paraId="44539DF9">
      <w:pPr>
        <w:widowControl w:val="0"/>
        <w:shd w:val="clear"/>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2.1.5验收标准：满足采购需求要求。</w:t>
      </w:r>
    </w:p>
    <w:p w14:paraId="0D5B427D">
      <w:pPr>
        <w:widowControl w:val="0"/>
        <w:shd w:val="clear"/>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2.1.6项目承包方式：包工包料，不得分包与转包。</w:t>
      </w:r>
    </w:p>
    <w:p w14:paraId="071B41FC">
      <w:pPr>
        <w:widowControl w:val="0"/>
        <w:shd w:val="clear"/>
        <w:tabs>
          <w:tab w:val="left" w:pos="312"/>
        </w:tabs>
        <w:spacing w:line="360" w:lineRule="auto"/>
        <w:ind w:left="0" w:right="6" w:firstLine="480"/>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2.1.7质量保修期限：</w:t>
      </w:r>
      <w:r>
        <w:rPr>
          <w:rFonts w:hint="eastAsia" w:ascii="宋体" w:hAnsi="宋体" w:eastAsia="宋体" w:cs="Times New Roman"/>
          <w:b/>
          <w:bCs/>
          <w:sz w:val="24"/>
          <w:szCs w:val="24"/>
          <w:highlight w:val="none"/>
          <w:lang w:val="en-US" w:eastAsia="zh-CN" w:bidi="ar-SA"/>
        </w:rPr>
        <w:t>24个月</w:t>
      </w:r>
      <w:r>
        <w:rPr>
          <w:rFonts w:hint="default" w:ascii="宋体" w:hAnsi="宋体" w:eastAsia="宋体" w:cs="Times New Roman"/>
          <w:b/>
          <w:bCs/>
          <w:sz w:val="24"/>
          <w:szCs w:val="24"/>
          <w:highlight w:val="none"/>
          <w:lang w:val="en-US" w:eastAsia="zh-CN" w:bidi="ar-SA"/>
        </w:rPr>
        <w:t>。</w:t>
      </w:r>
    </w:p>
    <w:p w14:paraId="7F57AEA8">
      <w:pPr>
        <w:widowControl w:val="0"/>
        <w:shd w:val="clear"/>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w:t>
      </w:r>
      <w:r>
        <w:rPr>
          <w:rFonts w:hint="eastAsia" w:ascii="宋体" w:hAnsi="宋体" w:eastAsia="宋体" w:cs="Times New Roman"/>
          <w:sz w:val="24"/>
          <w:szCs w:val="24"/>
          <w:highlight w:val="none"/>
          <w:lang w:val="en-US" w:eastAsia="zh-CN" w:bidi="ar-SA"/>
        </w:rPr>
        <w:t>8</w:t>
      </w:r>
      <w:r>
        <w:rPr>
          <w:rFonts w:hint="default" w:ascii="宋体" w:hAnsi="宋体" w:eastAsia="宋体" w:cs="Times New Roman"/>
          <w:sz w:val="24"/>
          <w:szCs w:val="24"/>
          <w:highlight w:val="none"/>
          <w:lang w:val="en-US" w:eastAsia="zh-CN" w:bidi="ar-SA"/>
        </w:rPr>
        <w:t xml:space="preserve"> 其他: 本工程共分一个标段。</w:t>
      </w:r>
    </w:p>
    <w:p w14:paraId="4E9732AA">
      <w:pPr>
        <w:widowControl w:val="0"/>
        <w:shd w:val="clear"/>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2.2技术标准和要求：符合现行国家技术、施工及验收规范规程，对施工工艺的特殊要求，按国家有关规定执行。</w:t>
      </w:r>
    </w:p>
    <w:p w14:paraId="77A35AD8">
      <w:pPr>
        <w:widowControl w:val="0"/>
        <w:numPr>
          <w:ilvl w:val="0"/>
          <w:numId w:val="1"/>
        </w:numPr>
        <w:shd w:val="clear"/>
        <w:spacing w:line="360" w:lineRule="auto"/>
        <w:ind w:left="256" w:right="6" w:firstLine="482"/>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报价要求：</w:t>
      </w:r>
    </w:p>
    <w:p w14:paraId="3F481521">
      <w:pPr>
        <w:widowControl w:val="0"/>
        <w:shd w:val="clear"/>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 xml:space="preserve">1、报价内容 </w:t>
      </w:r>
    </w:p>
    <w:p w14:paraId="4008D6A0">
      <w:pPr>
        <w:widowControl w:val="0"/>
        <w:shd w:val="clear"/>
        <w:spacing w:line="360" w:lineRule="auto"/>
        <w:ind w:firstLine="4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 工程量清单以及图纸详见本项目磋商文件附件（后附）</w:t>
      </w:r>
    </w:p>
    <w:p w14:paraId="58EC222B">
      <w:pPr>
        <w:widowControl w:val="0"/>
        <w:shd w:val="clear"/>
        <w:spacing w:line="360" w:lineRule="auto"/>
        <w:ind w:firstLine="4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 《已标价的工程量清单》报价要求</w:t>
      </w:r>
    </w:p>
    <w:p w14:paraId="648689B0">
      <w:pPr>
        <w:widowControl w:val="0"/>
        <w:shd w:val="clear"/>
        <w:spacing w:line="360" w:lineRule="auto"/>
        <w:ind w:firstLine="422"/>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1、报价内容</w:t>
      </w:r>
    </w:p>
    <w:p w14:paraId="190CBDFB">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 响应报价应包括磋商文件中所确定的范围内工程量清单以及施工图中所含的全部内容，以及为完成上述内容所需的全部费用。</w:t>
      </w:r>
    </w:p>
    <w:p w14:paraId="535C6A5A">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注：供应商必须按采购人提供的工程量清单进行报价，否则视为对竞争性磋商文件商务条款的实质性偏离。供应商不得修改工程量清单中的分布分项内容及数量，否则视为不响应磋商文件。</w:t>
      </w:r>
    </w:p>
    <w:p w14:paraId="6C2AD196">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1.2供应商应按采购人提供的工程量清单填报价格。填写的项目名称、项目特征、计量单位、工程量必须与采购人提供的一致。</w:t>
      </w:r>
    </w:p>
    <w:p w14:paraId="6D619E66">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7B618B21">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1.4响应的供应商必须按统一的工程量清单报价，成交后，在施工过程中，不论由于工程量清单有误或漏项，还是由于设计变更、现场变更、签证引起的工程量清单项目或清单项目工程数量的增减，均按实调整。</w:t>
      </w:r>
    </w:p>
    <w:p w14:paraId="6965767D">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1.5技术参数、项目实施方案所描述的技术措施所发生的费用，视为已体现在供应商报价的非实体性消耗所发生的费用中。</w:t>
      </w:r>
    </w:p>
    <w:p w14:paraId="49824282">
      <w:pPr>
        <w:keepNext w:val="0"/>
        <w:keepLines w:val="0"/>
        <w:pageBreakBefore w:val="0"/>
        <w:widowControl w:val="0"/>
        <w:shd w:val="clear"/>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64CEDAD9">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1616725A">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1.8由供应商负责办理相关建设、城管、市政、安全、环保等部门的手续，施工供应商在响应报价时应考虑这样因素，费用包含在报价中，采购人不接受供应商关于此类费用的任何诉讼或索赔。</w:t>
      </w:r>
    </w:p>
    <w:p w14:paraId="77D379BB">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1.9垃圾外运，在报价中综合考虑。</w:t>
      </w:r>
    </w:p>
    <w:p w14:paraId="67D191D0">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1.10辅助工程部分：综合单价中应包括招标人提供的施工图所含内容，以及工程量清单报价中的价格，应包括完成清单项目的人工费、材料费、机械费、管理费及利润等费用。政策性文件规定及施工进程中包含的所有风险、责任等各项应有费用，并含相应的平整场地、地基处理调整等图纸及建设方要求的工程施工全部内容的全部费用。</w:t>
      </w:r>
    </w:p>
    <w:p w14:paraId="0B40B85C">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1.11地方关系协调费供应商自行考虑，就此项招标人不支付任何费用。</w:t>
      </w:r>
    </w:p>
    <w:p w14:paraId="616CE4FC">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1.12施工时需做好防护措施保证周边安全，因中标人保障不利对招标人或第三方造成损失的，赔偿责任全部由中标人承担，若因此会增加费用，控制价不计取，供应商自行考虑在报价中，结算时不予调整。</w:t>
      </w:r>
    </w:p>
    <w:p w14:paraId="0D6223BE">
      <w:pPr>
        <w:widowControl w:val="0"/>
        <w:shd w:val="clear"/>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2、报价方式</w:t>
      </w:r>
    </w:p>
    <w:p w14:paraId="35E95AAA">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 报价方</w:t>
      </w:r>
      <w:r>
        <w:rPr>
          <w:rFonts w:hint="eastAsia" w:ascii="宋体" w:hAnsi="宋体" w:eastAsia="宋体" w:cs="宋体"/>
          <w:b w:val="0"/>
          <w:bCs w:val="0"/>
          <w:color w:val="auto"/>
          <w:kern w:val="0"/>
          <w:sz w:val="24"/>
          <w:szCs w:val="24"/>
          <w:highlight w:val="none"/>
          <w:lang w:val="en-US" w:eastAsia="zh-CN" w:bidi="ar-SA"/>
        </w:rPr>
        <w:t>式为总价（磋商报价表中填报总价，工程量清单中填报综合单价）</w:t>
      </w:r>
      <w:r>
        <w:rPr>
          <w:rFonts w:hint="eastAsia" w:ascii="宋体" w:hAnsi="宋体" w:eastAsia="宋体" w:cs="宋体"/>
          <w:color w:val="auto"/>
          <w:kern w:val="0"/>
          <w:sz w:val="24"/>
          <w:szCs w:val="24"/>
          <w:highlight w:val="none"/>
          <w:lang w:val="en-US" w:eastAsia="zh-CN" w:bidi="ar-SA"/>
        </w:rPr>
        <w:t>。供应商应充分考虑施工期间各类建材的市场风险，并计入总报价，供应商在计算报价时应考虑一定的风险系数。</w:t>
      </w:r>
    </w:p>
    <w:p w14:paraId="5E0D9DC9">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2.2材料风险约定：</w:t>
      </w:r>
    </w:p>
    <w:p w14:paraId="4ED76A96">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2.2.1对于法律、法规、规章或有关政策出台导致工程税金、规费等发生变化的，应按照有关规定执行。</w:t>
      </w:r>
    </w:p>
    <w:p w14:paraId="24B258F3">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本工程对材料风险约定如下：供应商应充分考虑施工期间各类建材的市场风险，充分考虑政策性关于人工、机械费用等方面调整，并计入总报价，供应商所填写的单价在合同实施期间不因市场变化因素而变动，结算不再调整。</w:t>
      </w:r>
    </w:p>
    <w:p w14:paraId="51F83143">
      <w:pPr>
        <w:widowControl w:val="0"/>
        <w:shd w:val="clear"/>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3、报价的计价方法</w:t>
      </w:r>
    </w:p>
    <w:p w14:paraId="5436C086">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7F7BFC6C">
      <w:pPr>
        <w:widowControl w:val="0"/>
        <w:shd w:val="clear"/>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4、报价编制依据及要求：详见工程量清单。</w:t>
      </w:r>
    </w:p>
    <w:p w14:paraId="24E2FFB8">
      <w:pPr>
        <w:widowControl w:val="0"/>
        <w:shd w:val="clear"/>
        <w:spacing w:line="360" w:lineRule="auto"/>
        <w:ind w:firstLine="482"/>
        <w:jc w:val="both"/>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五、低于成本报价：</w:t>
      </w:r>
    </w:p>
    <w:p w14:paraId="61D40906">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专家小组认为供应商的报价明显低于其他通过符合性审查供应商的报价，有可能影响工程质量或者不能诚信履约的，磋商专家小组通过“苏采云”“系统中的视频会议”要求供应商人作出必要的说明，并规定回复时间。供应商说明应当采用通过“苏采云”“系统中的视频会议”系统（扫描件，加盖签章）形式回复。供应商不能证明其报价合理性的，磋商专家小组会应当将其作为不响应磋商文件作无效处理。</w:t>
      </w:r>
    </w:p>
    <w:p w14:paraId="10579701">
      <w:pPr>
        <w:widowControl w:val="0"/>
        <w:shd w:val="clear"/>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委员会全体成员三分之二以上认为该供应商不能合理说明或者不能提供相关证明材料的，认定该供应商以低于成本报价，其响应文件应作无效响应文件处理。持有异议的评标委员会成员可以书面方式阐述其不同意见和理由，拒绝签字且不陈述其不同意见和理由的，视为同意。</w:t>
      </w:r>
    </w:p>
    <w:p w14:paraId="64D1D1B4">
      <w:pPr>
        <w:widowControl w:val="0"/>
        <w:pBdr>
          <w:top w:val="none" w:color="000000" w:sz="0" w:space="0"/>
          <w:left w:val="none" w:color="000000" w:sz="0" w:space="0"/>
          <w:bottom w:val="none" w:color="000000" w:sz="0" w:space="0"/>
          <w:right w:val="none" w:color="000000" w:sz="0" w:space="0"/>
        </w:pBdr>
        <w:shd w:val="clear"/>
        <w:spacing w:line="360" w:lineRule="auto"/>
        <w:ind w:firstLine="482"/>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六、响应文件要求</w:t>
      </w:r>
    </w:p>
    <w:p w14:paraId="22A635AE">
      <w:pPr>
        <w:widowControl w:val="0"/>
        <w:pBdr>
          <w:top w:val="none" w:color="000000" w:sz="0" w:space="0"/>
          <w:left w:val="none" w:color="000000" w:sz="0" w:space="0"/>
          <w:bottom w:val="none" w:color="000000" w:sz="0" w:space="0"/>
          <w:right w:val="none" w:color="000000" w:sz="0" w:space="0"/>
        </w:pBdr>
        <w:shd w:val="clear"/>
        <w:spacing w:line="360" w:lineRule="auto"/>
        <w:ind w:firstLine="480"/>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1.首次响应文件中提供《已标价的工程量清单》文件。</w:t>
      </w:r>
    </w:p>
    <w:p w14:paraId="0BD3E726">
      <w:pPr>
        <w:widowControl w:val="0"/>
        <w:pBdr>
          <w:top w:val="none" w:color="000000" w:sz="0" w:space="0"/>
          <w:left w:val="none" w:color="000000" w:sz="0" w:space="0"/>
          <w:bottom w:val="none" w:color="000000" w:sz="0" w:space="0"/>
          <w:right w:val="none" w:color="000000" w:sz="0" w:space="0"/>
        </w:pBdr>
        <w:shd w:val="clear"/>
        <w:spacing w:line="360" w:lineRule="auto"/>
        <w:ind w:firstLine="480"/>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2.按照《工程量清单》编制《已标价的工程量清单》。</w:t>
      </w:r>
    </w:p>
    <w:p w14:paraId="00F45210">
      <w:pPr>
        <w:widowControl w:val="0"/>
        <w:pBdr>
          <w:top w:val="none" w:color="000000" w:sz="0" w:space="0"/>
          <w:left w:val="none" w:color="000000" w:sz="0" w:space="0"/>
          <w:bottom w:val="none" w:color="000000" w:sz="0" w:space="0"/>
          <w:right w:val="none" w:color="000000" w:sz="0" w:space="0"/>
        </w:pBdr>
        <w:shd w:val="clear"/>
        <w:spacing w:line="360" w:lineRule="auto"/>
        <w:ind w:firstLine="482"/>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供应商必须说明其是否响应采购文件中提出的全部服务内容与要求，如果其中某些条款不响应时，应在文件中逐条列出，未列出的视同响应。</w:t>
      </w:r>
    </w:p>
    <w:p w14:paraId="2220AE75">
      <w:pPr>
        <w:widowControl w:val="0"/>
        <w:pBdr>
          <w:top w:val="none" w:color="000000" w:sz="0" w:space="0"/>
          <w:left w:val="none" w:color="000000" w:sz="0" w:space="0"/>
          <w:bottom w:val="none" w:color="000000" w:sz="0" w:space="0"/>
          <w:right w:val="none" w:color="000000" w:sz="0" w:space="0"/>
        </w:pBdr>
        <w:shd w:val="clear"/>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七、服务要求</w:t>
      </w:r>
    </w:p>
    <w:p w14:paraId="16A29032">
      <w:pPr>
        <w:keepNext w:val="0"/>
        <w:keepLines w:val="0"/>
        <w:pageBreakBefore w:val="0"/>
        <w:widowControl w:val="0"/>
        <w:shd w:val="clear"/>
        <w:spacing w:after="0" w:line="360" w:lineRule="auto"/>
        <w:ind w:firstLine="480"/>
        <w:jc w:val="both"/>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1、质保及售后服务：整体工程质保期为2年。质保期从本项目验收合格之日起计算。质保期外，工程质量出现问题，成交供应商应主动提供维修方案，只收取材料费。 </w:t>
      </w:r>
    </w:p>
    <w:p w14:paraId="5ED559F1">
      <w:pPr>
        <w:keepNext w:val="0"/>
        <w:keepLines w:val="0"/>
        <w:pageBreakBefore w:val="0"/>
        <w:widowControl w:val="0"/>
        <w:shd w:val="clear"/>
        <w:spacing w:after="0"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2、质保期内，如发生故障，采购人通知成交供应商售后服务人员时，相关服务人员要在2小时内到达现场配合采购人处理问题，进行更换或进行必要的维修。 </w:t>
      </w:r>
    </w:p>
    <w:p w14:paraId="0762858C">
      <w:pPr>
        <w:keepNext w:val="0"/>
        <w:keepLines w:val="0"/>
        <w:pageBreakBefore w:val="0"/>
        <w:widowControl w:val="0"/>
        <w:shd w:val="clear"/>
        <w:spacing w:after="0"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3、供应商需根据本项目特征及自身情况编制施工方案。</w:t>
      </w:r>
    </w:p>
    <w:p w14:paraId="42880EFF">
      <w:pPr>
        <w:keepNext w:val="0"/>
        <w:keepLines w:val="0"/>
        <w:pageBreakBefore w:val="0"/>
        <w:widowControl/>
        <w:spacing w:line="360" w:lineRule="auto"/>
        <w:ind w:right="26" w:firstLine="361"/>
        <w:jc w:val="left"/>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lang w:val="en-US" w:eastAsia="zh-CN"/>
        </w:rPr>
        <w:t>(1)具有公路工程施工总承包三级及以上资质，并在有效期内；</w:t>
      </w:r>
    </w:p>
    <w:p w14:paraId="297B4516">
      <w:pPr>
        <w:keepNext w:val="0"/>
        <w:keepLines w:val="0"/>
        <w:pageBreakBefore w:val="0"/>
        <w:widowControl/>
        <w:spacing w:line="360" w:lineRule="auto"/>
        <w:ind w:right="26" w:firstLine="241" w:firstLineChars="100"/>
        <w:jc w:val="left"/>
        <w:rPr>
          <w:rFonts w:hint="eastAsia" w:ascii="宋体" w:hAnsi="宋体" w:eastAsia="宋体" w:cs="宋体"/>
          <w:b/>
          <w:bCs/>
          <w:color w:val="FF0000"/>
          <w:kern w:val="0"/>
          <w:sz w:val="24"/>
          <w:szCs w:val="20"/>
          <w:highlight w:val="none"/>
        </w:rPr>
      </w:pPr>
      <w:r>
        <w:rPr>
          <w:rFonts w:hint="eastAsia" w:ascii="宋体" w:hAnsi="宋体" w:eastAsia="宋体" w:cs="宋体"/>
          <w:b/>
          <w:bCs/>
          <w:color w:val="auto"/>
          <w:kern w:val="0"/>
          <w:sz w:val="24"/>
          <w:szCs w:val="20"/>
          <w:highlight w:val="none"/>
        </w:rPr>
        <w:t>（</w:t>
      </w:r>
      <w:r>
        <w:rPr>
          <w:rFonts w:hint="eastAsia" w:ascii="宋体" w:hAnsi="宋体" w:eastAsia="宋体" w:cs="宋体"/>
          <w:b/>
          <w:bCs/>
          <w:color w:val="auto"/>
          <w:kern w:val="0"/>
          <w:sz w:val="24"/>
          <w:szCs w:val="20"/>
          <w:highlight w:val="none"/>
          <w:lang w:val="en-US" w:eastAsia="zh-CN"/>
        </w:rPr>
        <w:t>2</w:t>
      </w:r>
      <w:r>
        <w:rPr>
          <w:rFonts w:hint="eastAsia" w:ascii="宋体" w:hAnsi="宋体" w:eastAsia="宋体" w:cs="宋体"/>
          <w:b/>
          <w:bCs/>
          <w:color w:val="auto"/>
          <w:kern w:val="0"/>
          <w:sz w:val="24"/>
          <w:szCs w:val="20"/>
          <w:highlight w:val="none"/>
        </w:rPr>
        <w:t>）项目经理具有公路工程专业二级注册建造师及以上资质，持有省级</w:t>
      </w:r>
      <w:r>
        <w:rPr>
          <w:rFonts w:hint="eastAsia" w:ascii="宋体" w:hAnsi="宋体" w:eastAsia="宋体" w:cs="宋体"/>
          <w:b/>
          <w:bCs/>
          <w:color w:val="auto"/>
          <w:kern w:val="0"/>
          <w:sz w:val="24"/>
          <w:szCs w:val="20"/>
          <w:highlight w:val="none"/>
          <w:lang w:val="en-US" w:eastAsia="zh-CN"/>
        </w:rPr>
        <w:t>及以上</w:t>
      </w:r>
      <w:r>
        <w:rPr>
          <w:rFonts w:hint="eastAsia" w:ascii="宋体" w:hAnsi="宋体" w:eastAsia="宋体" w:cs="宋体"/>
          <w:b/>
          <w:bCs/>
          <w:color w:val="auto"/>
          <w:kern w:val="0"/>
          <w:sz w:val="24"/>
          <w:szCs w:val="20"/>
          <w:highlight w:val="none"/>
        </w:rPr>
        <w:t>交通运输主管部门核发的有效的《公路水运工程施工主要负责人和安全生产管理人员安全生产考核合格证书》(B类</w:t>
      </w:r>
      <w:r>
        <w:rPr>
          <w:rFonts w:hint="eastAsia" w:ascii="宋体" w:hAnsi="宋体" w:eastAsia="宋体" w:cs="宋体"/>
          <w:b/>
          <w:bCs/>
          <w:color w:val="auto"/>
          <w:kern w:val="0"/>
          <w:sz w:val="24"/>
          <w:szCs w:val="20"/>
          <w:highlight w:val="none"/>
          <w:lang w:eastAsia="zh-CN"/>
        </w:rPr>
        <w:t>）或《公路水运工程施工单位主要负责人、项目负责人和专职安全生产管理人员安全生产考核合格证书》(B类）</w:t>
      </w:r>
      <w:r>
        <w:rPr>
          <w:rFonts w:hint="eastAsia" w:ascii="宋体" w:hAnsi="宋体" w:eastAsia="宋体" w:cs="宋体"/>
          <w:b/>
          <w:bCs/>
          <w:color w:val="auto"/>
          <w:kern w:val="0"/>
          <w:sz w:val="24"/>
          <w:szCs w:val="20"/>
          <w:highlight w:val="none"/>
        </w:rPr>
        <w:t>，拟投入的项目经理无其他在建项目</w:t>
      </w:r>
      <w:r>
        <w:rPr>
          <w:rFonts w:hint="eastAsia" w:ascii="宋体" w:hAnsi="宋体" w:eastAsia="宋体" w:cs="宋体"/>
          <w:b/>
          <w:bCs/>
          <w:color w:val="auto"/>
          <w:kern w:val="0"/>
          <w:sz w:val="24"/>
          <w:szCs w:val="20"/>
          <w:highlight w:val="none"/>
          <w:lang w:eastAsia="zh-CN"/>
        </w:rPr>
        <w:t>，</w:t>
      </w:r>
      <w:r>
        <w:rPr>
          <w:rFonts w:hint="eastAsia" w:ascii="宋体" w:hAnsi="宋体" w:eastAsia="宋体" w:cs="宋体"/>
          <w:b/>
          <w:bCs/>
          <w:color w:val="auto"/>
          <w:kern w:val="0"/>
          <w:sz w:val="24"/>
          <w:szCs w:val="20"/>
          <w:highlight w:val="none"/>
          <w:lang w:val="en-US" w:eastAsia="zh-CN"/>
        </w:rPr>
        <w:t>（提供无在建承诺书，格式自拟）</w:t>
      </w:r>
      <w:r>
        <w:rPr>
          <w:rFonts w:hint="eastAsia" w:ascii="宋体" w:hAnsi="宋体" w:eastAsia="宋体" w:cs="宋体"/>
          <w:b/>
          <w:bCs/>
          <w:color w:val="auto"/>
          <w:kern w:val="0"/>
          <w:sz w:val="24"/>
          <w:szCs w:val="20"/>
          <w:highlight w:val="none"/>
        </w:rPr>
        <w:t>。</w:t>
      </w:r>
    </w:p>
    <w:p w14:paraId="024BF11E">
      <w:pPr>
        <w:keepNext w:val="0"/>
        <w:keepLines w:val="0"/>
        <w:pageBreakBefore w:val="0"/>
        <w:widowControl/>
        <w:spacing w:line="360" w:lineRule="auto"/>
        <w:ind w:right="26" w:firstLine="361"/>
        <w:jc w:val="left"/>
        <w:rPr>
          <w:rFonts w:hint="eastAsia" w:ascii="宋体" w:hAnsi="宋体" w:eastAsia="宋体" w:cs="宋体"/>
          <w:b/>
          <w:bCs/>
          <w:color w:val="auto"/>
          <w:kern w:val="0"/>
          <w:sz w:val="24"/>
          <w:szCs w:val="20"/>
          <w:highlight w:val="none"/>
          <w:lang w:eastAsia="zh-CN"/>
        </w:rPr>
      </w:pPr>
      <w:r>
        <w:rPr>
          <w:rFonts w:hint="eastAsia" w:ascii="宋体" w:hAnsi="宋体" w:eastAsia="宋体" w:cs="宋体"/>
          <w:b/>
          <w:bCs/>
          <w:color w:val="auto"/>
          <w:kern w:val="0"/>
          <w:sz w:val="24"/>
          <w:szCs w:val="20"/>
          <w:highlight w:val="none"/>
          <w:lang w:eastAsia="zh-CN"/>
        </w:rPr>
        <w:t>（</w:t>
      </w:r>
      <w:r>
        <w:rPr>
          <w:rFonts w:hint="eastAsia" w:ascii="宋体" w:hAnsi="宋体" w:eastAsia="宋体" w:cs="宋体"/>
          <w:b/>
          <w:bCs/>
          <w:color w:val="auto"/>
          <w:kern w:val="0"/>
          <w:sz w:val="24"/>
          <w:szCs w:val="20"/>
          <w:highlight w:val="none"/>
          <w:lang w:val="en-US" w:eastAsia="zh-CN"/>
        </w:rPr>
        <w:t>3</w:t>
      </w:r>
      <w:r>
        <w:rPr>
          <w:rFonts w:hint="eastAsia" w:ascii="宋体" w:hAnsi="宋体" w:eastAsia="宋体" w:cs="宋体"/>
          <w:b/>
          <w:bCs/>
          <w:color w:val="auto"/>
          <w:kern w:val="0"/>
          <w:sz w:val="24"/>
          <w:szCs w:val="20"/>
          <w:highlight w:val="none"/>
          <w:lang w:eastAsia="zh-CN"/>
        </w:rPr>
        <w:t>）项目总工必须具有公路工程相关专业中级及以上技术职称，持有省级交通运输主管部门核发的有效的《公路水运工程施工主要负责人和安全生产管理人员安全生产考核合格证书》(B类)；拟投入的项目总工无其他在建项目。</w:t>
      </w:r>
    </w:p>
    <w:p w14:paraId="29E722CB">
      <w:pPr>
        <w:ind w:left="0" w:leftChars="0" w:firstLine="241" w:firstLineChars="100"/>
        <w:contextualSpacing/>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）具有省级及以上建设行政主管部门核发的《安全生产许可证》，并在有效期内；</w:t>
      </w:r>
    </w:p>
    <w:p w14:paraId="718CD49C">
      <w:pPr>
        <w:spacing w:line="360" w:lineRule="auto"/>
        <w:ind w:left="0" w:leftChars="0" w:firstLine="241" w:firstLineChars="100"/>
        <w:contextualSpacing/>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拟投入项目负责人、项目总工应为投标人本单位人员，并提供社保系统打印的本单位人员缴费明细或其他能够证明项目负责人在本单位参加社保的有效证明材料。社保缴费时间段应为递交当月的前一个月开始往前6个月任意一个月（不含递交当月的前一个月）。</w:t>
      </w:r>
    </w:p>
    <w:p w14:paraId="47533BBA">
      <w:pPr>
        <w:spacing w:line="360" w:lineRule="auto"/>
        <w:ind w:left="0" w:leftChars="0" w:firstLine="241" w:firstLineChars="100"/>
        <w:contextualSpacing/>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注：公路工程相关专业职称包括：公路工程、桥梁工程、公路与桥梁工程、交通土建、隧道 （地下结构）工程、交通工程等专业职称。</w:t>
      </w:r>
    </w:p>
    <w:p w14:paraId="06CFF5B0">
      <w:pPr>
        <w:widowControl/>
        <w:jc w:val="left"/>
        <w:rPr>
          <w:rFonts w:hint="default" w:ascii="Times New Roman" w:hAnsi="Times New Roman" w:eastAsia="宋体" w:cs="Times New Roman"/>
          <w:kern w:val="0"/>
          <w:sz w:val="20"/>
          <w:szCs w:val="20"/>
          <w:lang w:val="en-US" w:eastAsia="zh-CN"/>
        </w:rPr>
      </w:pPr>
    </w:p>
    <w:p w14:paraId="02C1C47C">
      <w:pPr>
        <w:keepNext w:val="0"/>
        <w:keepLines w:val="0"/>
        <w:pageBreakBefore w:val="0"/>
        <w:widowControl w:val="0"/>
        <w:shd w:val="clear"/>
        <w:spacing w:after="0" w:line="360" w:lineRule="auto"/>
        <w:ind w:firstLine="480"/>
        <w:jc w:val="both"/>
        <w:rPr>
          <w:rFonts w:hint="eastAsia" w:ascii="宋体" w:hAnsi="宋体" w:eastAsia="宋体" w:cs="宋体"/>
          <w:color w:val="auto"/>
          <w:kern w:val="0"/>
          <w:sz w:val="24"/>
          <w:szCs w:val="24"/>
          <w:highlight w:val="none"/>
          <w:lang w:val="en-US" w:eastAsia="zh-CN" w:bidi="ar-SA"/>
        </w:rPr>
      </w:pPr>
    </w:p>
    <w:p w14:paraId="4CD3F2B6">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40482"/>
    <w:multiLevelType w:val="multilevel"/>
    <w:tmpl w:val="0E640482"/>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60382F6E"/>
    <w:multiLevelType w:val="multilevel"/>
    <w:tmpl w:val="60382F6E"/>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75E52"/>
    <w:rsid w:val="119B29BC"/>
    <w:rsid w:val="2E5B02E2"/>
    <w:rsid w:val="35A672D6"/>
    <w:rsid w:val="5D282A51"/>
    <w:rsid w:val="756465AF"/>
    <w:rsid w:val="77C75E52"/>
    <w:rsid w:val="7C0E2F2D"/>
    <w:rsid w:val="7CA0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next w:val="5"/>
    <w:autoRedefine/>
    <w:qFormat/>
    <w:uiPriority w:val="0"/>
    <w:pPr>
      <w:widowControl w:val="0"/>
      <w:spacing w:line="360" w:lineRule="atLeast"/>
      <w:jc w:val="left"/>
    </w:pPr>
    <w:rPr>
      <w:rFonts w:hint="default" w:ascii="宋体" w:hAnsi="Times New Roman" w:eastAsia="宋体" w:cs="Times New Roman"/>
      <w:sz w:val="24"/>
      <w:szCs w:val="20"/>
      <w:lang w:val="en-US" w:eastAsia="en-US" w:bidi="ar-SA"/>
    </w:rPr>
  </w:style>
  <w:style w:type="paragraph" w:customStyle="1" w:styleId="5">
    <w:name w:val="标题 21"/>
    <w:next w:val="4"/>
    <w:autoRedefine/>
    <w:qFormat/>
    <w:uiPriority w:val="0"/>
    <w:pPr>
      <w:keepNext/>
      <w:keepLines/>
      <w:widowControl w:val="0"/>
      <w:spacing w:before="260" w:after="260" w:line="416" w:lineRule="auto"/>
      <w:jc w:val="both"/>
      <w:outlineLvl w:val="1"/>
    </w:pPr>
    <w:rPr>
      <w:rFonts w:hint="default" w:ascii="Cambria" w:hAnsi="Cambria" w:eastAsia="宋体" w:cs="Times New Roman"/>
      <w:b/>
      <w:bCs/>
      <w:sz w:val="32"/>
      <w:szCs w:val="32"/>
      <w:lang w:val="en-US" w:eastAsia="zh-CN" w:bidi="ar-SA"/>
    </w:rPr>
  </w:style>
  <w:style w:type="paragraph" w:customStyle="1" w:styleId="6">
    <w:name w:val="正文111"/>
    <w:next w:val="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正文首行缩进1"/>
    <w:next w:val="8"/>
    <w:autoRedefine/>
    <w:qFormat/>
    <w:uiPriority w:val="0"/>
    <w:pPr>
      <w:widowControl w:val="0"/>
      <w:spacing w:after="120" w:line="360" w:lineRule="auto"/>
      <w:ind w:firstLine="200"/>
      <w:jc w:val="both"/>
    </w:pPr>
    <w:rPr>
      <w:rFonts w:hint="default" w:ascii="仿宋_GB2312" w:hAnsi="Times New Roman" w:eastAsia="仿宋_GB2312" w:cs="Times New Roman"/>
      <w:sz w:val="30"/>
      <w:szCs w:val="30"/>
      <w:lang w:val="en-US" w:eastAsia="en-US" w:bidi="ar-SA"/>
    </w:rPr>
  </w:style>
  <w:style w:type="paragraph" w:customStyle="1" w:styleId="8">
    <w:name w:val="正文首行缩进 21"/>
    <w:next w:val="6"/>
    <w:autoRedefine/>
    <w:qFormat/>
    <w:uiPriority w:val="0"/>
    <w:pPr>
      <w:spacing w:after="0" w:line="360" w:lineRule="auto"/>
      <w:ind w:left="0" w:firstLine="420"/>
      <w:jc w:val="both"/>
    </w:pPr>
    <w:rPr>
      <w:rFonts w:hint="default" w:ascii="宋体" w:hAnsi="宋体" w:eastAsia="宋体" w:cs="Times New Roman"/>
      <w:sz w:val="20"/>
      <w:szCs w:val="20"/>
      <w:lang w:val="en-US" w:eastAsia="en-US" w:bidi="ar-SA"/>
    </w:rPr>
  </w:style>
  <w:style w:type="paragraph" w:customStyle="1" w:styleId="9">
    <w:name w:val="正文文本11"/>
    <w:next w:val="10"/>
    <w:autoRedefine/>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10">
    <w:name w:val="一级条标题"/>
    <w:next w:val="11"/>
    <w:autoRedefine/>
    <w:qFormat/>
    <w:uiPriority w:val="0"/>
    <w:pPr>
      <w:tabs>
        <w:tab w:val="left" w:pos="810"/>
        <w:tab w:val="left" w:pos="907"/>
        <w:tab w:val="left" w:pos="1265"/>
      </w:tabs>
      <w:spacing w:before="0" w:after="0"/>
      <w:ind w:left="907" w:hanging="907"/>
      <w:jc w:val="both"/>
      <w:outlineLvl w:val="2"/>
    </w:pPr>
    <w:rPr>
      <w:rFonts w:hint="default" w:ascii="黑体" w:hAnsi="宋体" w:eastAsia="黑体" w:cs="Times New Roman"/>
      <w:sz w:val="20"/>
      <w:szCs w:val="20"/>
      <w:lang w:val="en-US" w:eastAsia="en-US" w:bidi="ar-SA"/>
    </w:rPr>
  </w:style>
  <w:style w:type="paragraph" w:customStyle="1" w:styleId="11">
    <w:name w:val="段"/>
    <w:next w:val="1"/>
    <w:autoRedefine/>
    <w:qFormat/>
    <w:uiPriority w:val="0"/>
    <w:pPr>
      <w:widowControl/>
      <w:spacing w:line="360" w:lineRule="atLeast"/>
      <w:ind w:firstLine="200"/>
      <w:jc w:val="left"/>
    </w:pPr>
    <w:rPr>
      <w:rFonts w:hint="default" w:ascii="宋体" w:hAnsi="Times New Roman" w:eastAsia="宋体" w:cs="Times New Roman"/>
      <w:sz w:val="20"/>
      <w:szCs w:val="20"/>
      <w:lang w:val="en-US" w:eastAsia="en-US" w:bidi="ar-SA"/>
    </w:rPr>
  </w:style>
  <w:style w:type="paragraph" w:customStyle="1" w:styleId="12">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3">
    <w:name w:val="正文文本缩进1"/>
    <w:autoRedefine/>
    <w:qFormat/>
    <w:uiPriority w:val="0"/>
    <w:pPr>
      <w:spacing w:after="120"/>
      <w:ind w:left="420"/>
      <w:jc w:val="both"/>
    </w:pPr>
    <w:rPr>
      <w:rFonts w:hint="default" w:ascii="Times New Roman" w:hAnsi="Times New Roman" w:eastAsia="宋体" w:cs="Times New Roman"/>
      <w:lang w:val="en-US" w:eastAsia="en-US" w:bidi="ar-SA"/>
    </w:rPr>
  </w:style>
  <w:style w:type="paragraph" w:customStyle="1" w:styleId="14">
    <w:name w:val="正文11"/>
    <w:next w:val="15"/>
    <w:qFormat/>
    <w:uiPriority w:val="0"/>
    <w:pPr>
      <w:jc w:val="both"/>
    </w:pPr>
    <w:rPr>
      <w:rFonts w:hint="default" w:ascii="Times New Roman" w:hAnsi="Times New Roman" w:eastAsia="宋体" w:cs="Times New Roman"/>
      <w:lang w:val="en-US" w:eastAsia="zh-CN" w:bidi="ar-SA"/>
    </w:rPr>
  </w:style>
  <w:style w:type="paragraph" w:customStyle="1" w:styleId="15">
    <w:name w:val="标题 211"/>
    <w:next w:val="14"/>
    <w:qFormat/>
    <w:uiPriority w:val="0"/>
    <w:pPr>
      <w:keepNext/>
      <w:keepLines/>
      <w:widowControl w:val="0"/>
      <w:spacing w:before="260" w:after="260" w:line="416" w:lineRule="auto"/>
      <w:jc w:val="both"/>
      <w:outlineLvl w:val="1"/>
    </w:pPr>
    <w:rPr>
      <w:rFonts w:hint="default" w:ascii="Calibri Light" w:hAnsi="Calibri Light" w:eastAsia="宋体" w:cs="Times New Roman"/>
      <w:b/>
      <w:bCs/>
      <w:sz w:val="32"/>
      <w:szCs w:val="32"/>
      <w:lang w:val="en-US" w:eastAsia="zh-CN" w:bidi="ar-SA"/>
    </w:rPr>
  </w:style>
  <w:style w:type="paragraph" w:customStyle="1" w:styleId="16">
    <w:name w:val="正文112"/>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首行缩进11"/>
    <w:next w:val="18"/>
    <w:qFormat/>
    <w:uiPriority w:val="0"/>
    <w:pPr>
      <w:widowControl w:val="0"/>
      <w:spacing w:after="120"/>
      <w:ind w:firstLine="420"/>
      <w:jc w:val="both"/>
    </w:pPr>
    <w:rPr>
      <w:rFonts w:hint="default" w:ascii="仿宋_GB2312" w:hAnsi="Times New Roman" w:eastAsia="仿宋_GB2312" w:cs="Times New Roman"/>
      <w:sz w:val="30"/>
      <w:szCs w:val="30"/>
      <w:lang w:val="en-US" w:eastAsia="zh-CN" w:bidi="ar-SA"/>
    </w:rPr>
  </w:style>
  <w:style w:type="paragraph" w:customStyle="1" w:styleId="18">
    <w:name w:val="正文首行缩进 22"/>
    <w:next w:val="16"/>
    <w:qFormat/>
    <w:uiPriority w:val="0"/>
    <w:pPr>
      <w:widowControl w:val="0"/>
      <w:spacing w:after="0" w:line="360" w:lineRule="auto"/>
      <w:ind w:left="0" w:firstLine="420"/>
      <w:jc w:val="both"/>
    </w:pPr>
    <w:rPr>
      <w:rFonts w:hint="default" w:ascii="宋体" w:hAnsi="宋体" w:eastAsia="宋体" w:cs="Times New Roman"/>
      <w:sz w:val="20"/>
      <w:szCs w:val="20"/>
      <w:lang w:val="en-US" w:eastAsia="zh-CN" w:bidi="ar-SA"/>
    </w:rPr>
  </w:style>
  <w:style w:type="paragraph" w:customStyle="1" w:styleId="19">
    <w:name w:val="正文文本1"/>
    <w:next w:val="10"/>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20">
    <w:name w:val="正文文本缩进2"/>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 w:type="paragraph" w:styleId="21">
    <w:name w:val="List Paragraph"/>
    <w:autoRedefine/>
    <w:qFormat/>
    <w:uiPriority w:val="34"/>
    <w:pPr>
      <w:ind w:left="720"/>
      <w:contextualSpacing/>
    </w:pPr>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2025-08-14T02:06:00Z</dcterms:created>
  <dc:creator>pc</dc:creator>
  <cp:lastModifiedBy>pc</cp:lastModifiedBy>
  <dcterms:modified xsi:type="dcterms:W3CDTF">2025-08-14T02:12:53Z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8523BCC73ED24CDB92BB91F81F8D7800_11</vt:lpwstr>
  </property>
  <property fmtid="{D5CDD505-2E9C-101B-9397-08002B2CF9AE}" pid="4" name="KSOTemplateDocerSaveRecord">
    <vt:lpwstr>eyJoZGlkIjoiMmQ3NTVlMzBjNWNkZWM0ZjI4YTk4YmFiZTc5NjQzMjciLCJ1c2VySWQiOiIxMzg0NTY4NjY4In0=</vt:lpwstr>
  </property>
</Properties>
</file>