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545B6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tLeast"/>
        <w:ind w:left="0" w:right="0"/>
        <w:rPr>
          <w:sz w:val="24"/>
          <w:szCs w:val="24"/>
        </w:rPr>
      </w:pPr>
      <w:r>
        <w:rPr>
          <w:rFonts w:hint="eastAsia" w:ascii="宋体" w:hAnsi="宋体" w:eastAsia="宋体" w:cs="宋体"/>
          <w:color w:val="000000"/>
          <w:sz w:val="24"/>
          <w:szCs w:val="24"/>
        </w:rPr>
        <w:t>如有建议或意见，请以书面形式并加盖公章、注明联系人、联系方式，于2025年</w:t>
      </w:r>
      <w:r>
        <w:rPr>
          <w:rFonts w:hint="eastAsia" w:cs="宋体"/>
          <w:color w:val="000000"/>
          <w:sz w:val="24"/>
          <w:szCs w:val="24"/>
          <w:lang w:val="en-US" w:eastAsia="zh-CN"/>
        </w:rPr>
        <w:t>8</w:t>
      </w:r>
      <w:r>
        <w:rPr>
          <w:rFonts w:hint="eastAsia" w:ascii="宋体" w:hAnsi="宋体" w:eastAsia="宋体" w:cs="宋体"/>
          <w:color w:val="000000"/>
          <w:sz w:val="24"/>
          <w:szCs w:val="24"/>
        </w:rPr>
        <w:t>月</w:t>
      </w:r>
      <w:r>
        <w:rPr>
          <w:rFonts w:hint="eastAsia" w:cs="宋体"/>
          <w:color w:val="000000"/>
          <w:sz w:val="24"/>
          <w:szCs w:val="24"/>
          <w:lang w:val="en-US" w:eastAsia="zh-CN"/>
        </w:rPr>
        <w:t>15</w:t>
      </w:r>
      <w:r>
        <w:rPr>
          <w:rFonts w:hint="eastAsia" w:ascii="宋体" w:hAnsi="宋体" w:eastAsia="宋体" w:cs="宋体"/>
          <w:color w:val="000000"/>
          <w:sz w:val="24"/>
          <w:szCs w:val="24"/>
        </w:rPr>
        <w:t>日17:00 之前送至我单位，逾期不受理（如邮寄，2025年</w:t>
      </w:r>
      <w:r>
        <w:rPr>
          <w:rFonts w:hint="eastAsia" w:cs="宋体"/>
          <w:color w:val="000000"/>
          <w:sz w:val="24"/>
          <w:szCs w:val="24"/>
          <w:lang w:val="en-US" w:eastAsia="zh-CN"/>
        </w:rPr>
        <w:t>8</w:t>
      </w:r>
      <w:r>
        <w:rPr>
          <w:rFonts w:hint="eastAsia" w:ascii="宋体" w:hAnsi="宋体" w:eastAsia="宋体" w:cs="宋体"/>
          <w:color w:val="000000"/>
          <w:sz w:val="24"/>
          <w:szCs w:val="24"/>
        </w:rPr>
        <w:t>月</w:t>
      </w:r>
      <w:r>
        <w:rPr>
          <w:rFonts w:hint="eastAsia" w:cs="宋体"/>
          <w:color w:val="000000"/>
          <w:sz w:val="24"/>
          <w:szCs w:val="24"/>
          <w:lang w:val="en-US" w:eastAsia="zh-CN"/>
        </w:rPr>
        <w:t>15</w:t>
      </w:r>
      <w:r>
        <w:rPr>
          <w:rFonts w:hint="eastAsia" w:ascii="宋体" w:hAnsi="宋体" w:eastAsia="宋体" w:cs="宋体"/>
          <w:color w:val="000000"/>
          <w:sz w:val="24"/>
          <w:szCs w:val="24"/>
        </w:rPr>
        <w:t>日17:00之后到达本单位的邮件将不再受理）。</w:t>
      </w:r>
    </w:p>
    <w:p w14:paraId="56A9446B">
      <w:pPr>
        <w:widowControl w:val="0"/>
        <w:spacing w:line="360" w:lineRule="auto"/>
        <w:ind w:firstLine="482"/>
        <w:jc w:val="left"/>
        <w:rPr>
          <w:rFonts w:hint="eastAsia" w:ascii="仿宋" w:hAnsi="仿宋" w:eastAsia="仿宋" w:cs="仿宋"/>
          <w:b/>
          <w:bCs w:val="0"/>
          <w:color w:val="auto"/>
          <w:kern w:val="0"/>
          <w:sz w:val="24"/>
          <w:szCs w:val="24"/>
          <w:lang w:val="en-US" w:eastAsia="zh-CN" w:bidi="ar-SA"/>
        </w:rPr>
      </w:pPr>
    </w:p>
    <w:p w14:paraId="4DA2D4B0">
      <w:pPr>
        <w:widowControl w:val="0"/>
        <w:spacing w:line="360" w:lineRule="auto"/>
        <w:ind w:firstLine="482"/>
        <w:jc w:val="left"/>
        <w:rPr>
          <w:rFonts w:hint="eastAsia" w:ascii="仿宋" w:hAnsi="仿宋" w:eastAsia="仿宋" w:cs="仿宋"/>
          <w:b/>
          <w:bCs w:val="0"/>
          <w:color w:val="auto"/>
          <w:kern w:val="0"/>
          <w:sz w:val="24"/>
          <w:szCs w:val="24"/>
          <w:lang w:val="en-US" w:eastAsia="zh-CN" w:bidi="ar-SA"/>
        </w:rPr>
      </w:pPr>
    </w:p>
    <w:p w14:paraId="449068DA">
      <w:pPr>
        <w:widowControl w:val="0"/>
        <w:spacing w:line="360" w:lineRule="auto"/>
        <w:ind w:firstLine="482"/>
        <w:jc w:val="left"/>
        <w:rPr>
          <w:rFonts w:hint="eastAsia" w:ascii="仿宋" w:hAnsi="仿宋" w:eastAsia="仿宋" w:cs="仿宋"/>
          <w:b/>
          <w:bCs w:val="0"/>
          <w:color w:val="auto"/>
          <w:kern w:val="0"/>
          <w:sz w:val="24"/>
          <w:szCs w:val="24"/>
          <w:lang w:val="en-US" w:eastAsia="zh-CN" w:bidi="ar-SA"/>
        </w:rPr>
      </w:pPr>
    </w:p>
    <w:p w14:paraId="2FF600C1">
      <w:pPr>
        <w:widowControl w:val="0"/>
        <w:spacing w:line="360" w:lineRule="auto"/>
        <w:ind w:firstLine="482"/>
        <w:jc w:val="left"/>
        <w:rPr>
          <w:rFonts w:hint="eastAsia" w:ascii="仿宋" w:hAnsi="仿宋" w:eastAsia="仿宋" w:cs="仿宋"/>
          <w:b/>
          <w:bCs w:val="0"/>
          <w:color w:val="auto"/>
          <w:kern w:val="0"/>
          <w:sz w:val="24"/>
          <w:szCs w:val="24"/>
          <w:lang w:val="en-US" w:eastAsia="zh-CN" w:bidi="ar-SA"/>
        </w:rPr>
      </w:pPr>
    </w:p>
    <w:p w14:paraId="7EF2DD37">
      <w:pPr>
        <w:widowControl w:val="0"/>
        <w:spacing w:line="360" w:lineRule="auto"/>
        <w:ind w:firstLine="482"/>
        <w:jc w:val="left"/>
        <w:rPr>
          <w:rFonts w:hint="eastAsia" w:ascii="仿宋" w:hAnsi="仿宋" w:eastAsia="仿宋" w:cs="仿宋"/>
          <w:b/>
          <w:bCs w:val="0"/>
          <w:color w:val="auto"/>
          <w:kern w:val="0"/>
          <w:sz w:val="24"/>
          <w:szCs w:val="24"/>
          <w:lang w:val="en-US" w:eastAsia="zh-CN" w:bidi="ar-SA"/>
        </w:rPr>
      </w:pPr>
    </w:p>
    <w:p w14:paraId="517D44DE">
      <w:pPr>
        <w:widowControl w:val="0"/>
        <w:spacing w:line="360" w:lineRule="auto"/>
        <w:ind w:firstLine="482"/>
        <w:jc w:val="left"/>
        <w:rPr>
          <w:rFonts w:hint="eastAsia" w:ascii="仿宋" w:hAnsi="仿宋" w:eastAsia="仿宋" w:cs="仿宋"/>
          <w:b/>
          <w:bCs w:val="0"/>
          <w:color w:val="auto"/>
          <w:kern w:val="0"/>
          <w:sz w:val="24"/>
          <w:szCs w:val="24"/>
          <w:lang w:val="en-US" w:eastAsia="zh-CN" w:bidi="ar-SA"/>
        </w:rPr>
      </w:pPr>
    </w:p>
    <w:p w14:paraId="2B42B85B">
      <w:pPr>
        <w:widowControl w:val="0"/>
        <w:spacing w:line="360" w:lineRule="auto"/>
        <w:ind w:firstLine="482"/>
        <w:jc w:val="left"/>
        <w:rPr>
          <w:rFonts w:hint="eastAsia" w:ascii="仿宋" w:hAnsi="仿宋" w:eastAsia="仿宋" w:cs="仿宋"/>
          <w:b/>
          <w:bCs w:val="0"/>
          <w:color w:val="auto"/>
          <w:kern w:val="0"/>
          <w:sz w:val="24"/>
          <w:szCs w:val="24"/>
          <w:lang w:val="en-US" w:eastAsia="zh-CN" w:bidi="ar-SA"/>
        </w:rPr>
      </w:pPr>
    </w:p>
    <w:p w14:paraId="64AF0B5D">
      <w:pPr>
        <w:widowControl w:val="0"/>
        <w:spacing w:line="360" w:lineRule="auto"/>
        <w:ind w:firstLine="482"/>
        <w:jc w:val="left"/>
        <w:rPr>
          <w:rFonts w:hint="eastAsia" w:ascii="仿宋" w:hAnsi="仿宋" w:eastAsia="仿宋" w:cs="仿宋"/>
          <w:b/>
          <w:bCs w:val="0"/>
          <w:color w:val="auto"/>
          <w:kern w:val="0"/>
          <w:sz w:val="24"/>
          <w:szCs w:val="24"/>
          <w:lang w:val="en-US" w:eastAsia="zh-CN" w:bidi="ar-SA"/>
        </w:rPr>
      </w:pPr>
    </w:p>
    <w:p w14:paraId="41BAD65B">
      <w:pPr>
        <w:widowControl w:val="0"/>
        <w:spacing w:line="360" w:lineRule="auto"/>
        <w:ind w:firstLine="482"/>
        <w:jc w:val="left"/>
        <w:rPr>
          <w:rFonts w:hint="eastAsia" w:ascii="仿宋" w:hAnsi="仿宋" w:eastAsia="仿宋" w:cs="仿宋"/>
          <w:b/>
          <w:bCs w:val="0"/>
          <w:color w:val="auto"/>
          <w:kern w:val="0"/>
          <w:sz w:val="24"/>
          <w:szCs w:val="24"/>
          <w:lang w:val="en-US" w:eastAsia="zh-CN" w:bidi="ar-SA"/>
        </w:rPr>
      </w:pPr>
    </w:p>
    <w:p w14:paraId="1C98EF09">
      <w:pPr>
        <w:widowControl w:val="0"/>
        <w:spacing w:line="360" w:lineRule="auto"/>
        <w:ind w:firstLine="482"/>
        <w:jc w:val="left"/>
        <w:rPr>
          <w:rFonts w:hint="eastAsia" w:ascii="仿宋" w:hAnsi="仿宋" w:eastAsia="仿宋" w:cs="仿宋"/>
          <w:b/>
          <w:bCs w:val="0"/>
          <w:color w:val="auto"/>
          <w:kern w:val="0"/>
          <w:sz w:val="24"/>
          <w:szCs w:val="24"/>
          <w:lang w:val="en-US" w:eastAsia="zh-CN" w:bidi="ar-SA"/>
        </w:rPr>
      </w:pPr>
    </w:p>
    <w:p w14:paraId="13B6E9E2">
      <w:pPr>
        <w:widowControl w:val="0"/>
        <w:spacing w:line="360" w:lineRule="auto"/>
        <w:ind w:firstLine="482"/>
        <w:jc w:val="left"/>
        <w:rPr>
          <w:rFonts w:hint="eastAsia" w:ascii="仿宋" w:hAnsi="仿宋" w:eastAsia="仿宋" w:cs="仿宋"/>
          <w:b/>
          <w:bCs w:val="0"/>
          <w:color w:val="auto"/>
          <w:kern w:val="0"/>
          <w:sz w:val="24"/>
          <w:szCs w:val="24"/>
          <w:lang w:val="en-US" w:eastAsia="zh-CN" w:bidi="ar-SA"/>
        </w:rPr>
      </w:pPr>
    </w:p>
    <w:p w14:paraId="261E5525">
      <w:pPr>
        <w:widowControl w:val="0"/>
        <w:spacing w:line="360" w:lineRule="auto"/>
        <w:ind w:firstLine="482"/>
        <w:jc w:val="left"/>
        <w:rPr>
          <w:rFonts w:hint="eastAsia" w:ascii="仿宋" w:hAnsi="仿宋" w:eastAsia="仿宋" w:cs="仿宋"/>
          <w:b/>
          <w:bCs w:val="0"/>
          <w:color w:val="auto"/>
          <w:kern w:val="0"/>
          <w:sz w:val="24"/>
          <w:szCs w:val="24"/>
          <w:lang w:val="en-US" w:eastAsia="zh-CN" w:bidi="ar-SA"/>
        </w:rPr>
      </w:pPr>
    </w:p>
    <w:p w14:paraId="559E840B">
      <w:pPr>
        <w:widowControl w:val="0"/>
        <w:spacing w:line="360" w:lineRule="auto"/>
        <w:ind w:firstLine="482"/>
        <w:jc w:val="left"/>
        <w:rPr>
          <w:rFonts w:hint="eastAsia" w:ascii="仿宋" w:hAnsi="仿宋" w:eastAsia="仿宋" w:cs="仿宋"/>
          <w:b/>
          <w:bCs w:val="0"/>
          <w:color w:val="auto"/>
          <w:kern w:val="0"/>
          <w:sz w:val="24"/>
          <w:szCs w:val="24"/>
          <w:lang w:val="en-US" w:eastAsia="zh-CN" w:bidi="ar-SA"/>
        </w:rPr>
      </w:pPr>
    </w:p>
    <w:p w14:paraId="215F2FCF">
      <w:pPr>
        <w:widowControl w:val="0"/>
        <w:spacing w:line="360" w:lineRule="auto"/>
        <w:ind w:firstLine="482"/>
        <w:jc w:val="left"/>
        <w:rPr>
          <w:rFonts w:hint="eastAsia" w:ascii="仿宋" w:hAnsi="仿宋" w:eastAsia="仿宋" w:cs="仿宋"/>
          <w:b/>
          <w:bCs w:val="0"/>
          <w:color w:val="auto"/>
          <w:kern w:val="0"/>
          <w:sz w:val="24"/>
          <w:szCs w:val="24"/>
          <w:lang w:val="en-US" w:eastAsia="zh-CN" w:bidi="ar-SA"/>
        </w:rPr>
      </w:pPr>
    </w:p>
    <w:p w14:paraId="5CDC0074">
      <w:pPr>
        <w:widowControl w:val="0"/>
        <w:spacing w:line="360" w:lineRule="auto"/>
        <w:ind w:firstLine="482"/>
        <w:jc w:val="left"/>
        <w:rPr>
          <w:rFonts w:hint="eastAsia" w:ascii="仿宋" w:hAnsi="仿宋" w:eastAsia="仿宋" w:cs="仿宋"/>
          <w:b/>
          <w:bCs w:val="0"/>
          <w:color w:val="auto"/>
          <w:kern w:val="0"/>
          <w:sz w:val="24"/>
          <w:szCs w:val="24"/>
          <w:lang w:val="en-US" w:eastAsia="zh-CN" w:bidi="ar-SA"/>
        </w:rPr>
      </w:pPr>
    </w:p>
    <w:p w14:paraId="2F3C0AB3">
      <w:pPr>
        <w:widowControl w:val="0"/>
        <w:spacing w:line="360" w:lineRule="auto"/>
        <w:ind w:firstLine="482"/>
        <w:jc w:val="left"/>
        <w:rPr>
          <w:rFonts w:hint="eastAsia" w:ascii="仿宋" w:hAnsi="仿宋" w:eastAsia="仿宋" w:cs="仿宋"/>
          <w:b/>
          <w:bCs w:val="0"/>
          <w:color w:val="auto"/>
          <w:kern w:val="0"/>
          <w:sz w:val="24"/>
          <w:szCs w:val="24"/>
          <w:lang w:val="en-US" w:eastAsia="zh-CN" w:bidi="ar-SA"/>
        </w:rPr>
      </w:pPr>
    </w:p>
    <w:p w14:paraId="0B400F5E">
      <w:pPr>
        <w:widowControl w:val="0"/>
        <w:spacing w:line="360" w:lineRule="auto"/>
        <w:ind w:firstLine="482"/>
        <w:jc w:val="left"/>
        <w:rPr>
          <w:rFonts w:hint="eastAsia" w:ascii="仿宋" w:hAnsi="仿宋" w:eastAsia="仿宋" w:cs="仿宋"/>
          <w:b/>
          <w:bCs w:val="0"/>
          <w:color w:val="auto"/>
          <w:kern w:val="0"/>
          <w:sz w:val="24"/>
          <w:szCs w:val="24"/>
          <w:lang w:val="en-US" w:eastAsia="zh-CN" w:bidi="ar-SA"/>
        </w:rPr>
      </w:pPr>
    </w:p>
    <w:p w14:paraId="1E4553CD">
      <w:pPr>
        <w:widowControl w:val="0"/>
        <w:spacing w:line="360" w:lineRule="auto"/>
        <w:ind w:firstLine="482"/>
        <w:jc w:val="left"/>
        <w:rPr>
          <w:rFonts w:hint="eastAsia" w:ascii="仿宋" w:hAnsi="仿宋" w:eastAsia="仿宋" w:cs="仿宋"/>
          <w:b/>
          <w:bCs w:val="0"/>
          <w:color w:val="auto"/>
          <w:kern w:val="0"/>
          <w:sz w:val="24"/>
          <w:szCs w:val="24"/>
          <w:lang w:val="en-US" w:eastAsia="zh-CN" w:bidi="ar-SA"/>
        </w:rPr>
      </w:pPr>
    </w:p>
    <w:p w14:paraId="55FB2B56">
      <w:pPr>
        <w:widowControl w:val="0"/>
        <w:spacing w:line="360" w:lineRule="auto"/>
        <w:ind w:firstLine="482"/>
        <w:jc w:val="left"/>
        <w:rPr>
          <w:rFonts w:hint="eastAsia" w:ascii="仿宋" w:hAnsi="仿宋" w:eastAsia="仿宋" w:cs="仿宋"/>
          <w:b/>
          <w:bCs w:val="0"/>
          <w:color w:val="auto"/>
          <w:kern w:val="0"/>
          <w:sz w:val="24"/>
          <w:szCs w:val="24"/>
          <w:lang w:val="en-US" w:eastAsia="zh-CN" w:bidi="ar-SA"/>
        </w:rPr>
      </w:pPr>
    </w:p>
    <w:p w14:paraId="28CB2D39">
      <w:pPr>
        <w:widowControl w:val="0"/>
        <w:spacing w:line="360" w:lineRule="auto"/>
        <w:ind w:firstLine="482"/>
        <w:jc w:val="left"/>
        <w:rPr>
          <w:rFonts w:hint="eastAsia" w:ascii="仿宋" w:hAnsi="仿宋" w:eastAsia="仿宋" w:cs="仿宋"/>
          <w:b/>
          <w:bCs w:val="0"/>
          <w:color w:val="auto"/>
          <w:kern w:val="0"/>
          <w:sz w:val="24"/>
          <w:szCs w:val="24"/>
          <w:lang w:val="en-US" w:eastAsia="zh-CN" w:bidi="ar-SA"/>
        </w:rPr>
      </w:pPr>
    </w:p>
    <w:p w14:paraId="7DA85A01">
      <w:pPr>
        <w:widowControl w:val="0"/>
        <w:spacing w:line="360" w:lineRule="auto"/>
        <w:ind w:firstLine="482"/>
        <w:jc w:val="left"/>
        <w:rPr>
          <w:rFonts w:hint="eastAsia" w:ascii="仿宋" w:hAnsi="仿宋" w:eastAsia="仿宋" w:cs="仿宋"/>
          <w:b/>
          <w:bCs w:val="0"/>
          <w:color w:val="auto"/>
          <w:kern w:val="0"/>
          <w:sz w:val="24"/>
          <w:szCs w:val="24"/>
          <w:lang w:val="en-US" w:eastAsia="zh-CN" w:bidi="ar-SA"/>
        </w:rPr>
      </w:pPr>
    </w:p>
    <w:p w14:paraId="4F4545B2">
      <w:pPr>
        <w:widowControl w:val="0"/>
        <w:spacing w:line="360" w:lineRule="auto"/>
        <w:ind w:firstLine="482"/>
        <w:jc w:val="left"/>
        <w:rPr>
          <w:rFonts w:hint="eastAsia" w:ascii="仿宋" w:hAnsi="仿宋" w:eastAsia="仿宋" w:cs="仿宋"/>
          <w:b/>
          <w:bCs w:val="0"/>
          <w:color w:val="auto"/>
          <w:kern w:val="0"/>
          <w:sz w:val="24"/>
          <w:szCs w:val="24"/>
          <w:lang w:val="en-US" w:eastAsia="zh-CN" w:bidi="ar-SA"/>
        </w:rPr>
      </w:pPr>
    </w:p>
    <w:p w14:paraId="3BB2768A">
      <w:pPr>
        <w:widowControl w:val="0"/>
        <w:spacing w:line="360" w:lineRule="auto"/>
        <w:ind w:firstLine="482"/>
        <w:jc w:val="left"/>
        <w:rPr>
          <w:rFonts w:hint="eastAsia" w:ascii="仿宋" w:hAnsi="仿宋" w:eastAsia="仿宋" w:cs="仿宋"/>
          <w:b/>
          <w:bCs w:val="0"/>
          <w:color w:val="auto"/>
          <w:kern w:val="0"/>
          <w:sz w:val="24"/>
          <w:szCs w:val="24"/>
          <w:lang w:val="en-US" w:eastAsia="zh-CN" w:bidi="ar-SA"/>
        </w:rPr>
      </w:pPr>
    </w:p>
    <w:p w14:paraId="67120736">
      <w:pPr>
        <w:widowControl w:val="0"/>
        <w:spacing w:line="360" w:lineRule="auto"/>
        <w:ind w:firstLine="482"/>
        <w:jc w:val="left"/>
        <w:rPr>
          <w:rFonts w:hint="eastAsia" w:ascii="仿宋" w:hAnsi="仿宋" w:eastAsia="仿宋" w:cs="仿宋"/>
          <w:b/>
          <w:bCs w:val="0"/>
          <w:color w:val="auto"/>
          <w:kern w:val="0"/>
          <w:sz w:val="24"/>
          <w:szCs w:val="24"/>
          <w:lang w:val="en-US" w:eastAsia="zh-CN" w:bidi="ar-SA"/>
        </w:rPr>
      </w:pPr>
    </w:p>
    <w:p w14:paraId="1079DF02">
      <w:pPr>
        <w:widowControl w:val="0"/>
        <w:spacing w:line="360" w:lineRule="auto"/>
        <w:ind w:firstLine="482"/>
        <w:jc w:val="left"/>
        <w:rPr>
          <w:rFonts w:hint="eastAsia" w:ascii="仿宋" w:hAnsi="仿宋" w:eastAsia="仿宋" w:cs="仿宋"/>
          <w:b/>
          <w:bCs w:val="0"/>
          <w:color w:val="auto"/>
          <w:kern w:val="0"/>
          <w:sz w:val="24"/>
          <w:szCs w:val="24"/>
          <w:lang w:val="en-US" w:eastAsia="zh-CN" w:bidi="ar-SA"/>
        </w:rPr>
      </w:pPr>
    </w:p>
    <w:p w14:paraId="15819743">
      <w:pPr>
        <w:widowControl w:val="0"/>
        <w:spacing w:line="360" w:lineRule="auto"/>
        <w:ind w:firstLine="482"/>
        <w:jc w:val="left"/>
        <w:rPr>
          <w:rFonts w:hint="eastAsia" w:ascii="仿宋" w:hAnsi="仿宋" w:eastAsia="仿宋" w:cs="仿宋"/>
          <w:b/>
          <w:bCs w:val="0"/>
          <w:color w:val="auto"/>
          <w:kern w:val="0"/>
          <w:sz w:val="24"/>
          <w:szCs w:val="24"/>
          <w:lang w:val="en-US" w:eastAsia="zh-CN" w:bidi="ar-SA"/>
        </w:rPr>
      </w:pPr>
    </w:p>
    <w:p w14:paraId="64E71DA9">
      <w:pPr>
        <w:widowControl w:val="0"/>
        <w:spacing w:line="360" w:lineRule="auto"/>
        <w:jc w:val="left"/>
        <w:rPr>
          <w:rFonts w:hint="eastAsia" w:ascii="仿宋" w:hAnsi="仿宋" w:eastAsia="仿宋" w:cs="仿宋"/>
          <w:b/>
          <w:bCs w:val="0"/>
          <w:color w:val="auto"/>
          <w:kern w:val="0"/>
          <w:sz w:val="24"/>
          <w:szCs w:val="24"/>
          <w:lang w:val="en-US" w:eastAsia="zh-CN" w:bidi="ar-SA"/>
        </w:rPr>
      </w:pPr>
    </w:p>
    <w:p w14:paraId="7308DD22">
      <w:pPr>
        <w:widowControl/>
        <w:spacing w:before="181" w:after="181" w:line="360" w:lineRule="auto"/>
        <w:jc w:val="center"/>
        <w:rPr>
          <w:rFonts w:ascii="宋体" w:hAnsi="宋体" w:cs="宋体"/>
          <w:b/>
          <w:bCs/>
          <w:sz w:val="32"/>
          <w:szCs w:val="32"/>
          <w:highlight w:val="none"/>
        </w:rPr>
      </w:pPr>
      <w:r>
        <w:rPr>
          <w:rFonts w:ascii="宋体" w:hAnsi="宋体" w:cs="宋体"/>
          <w:b/>
          <w:bCs/>
          <w:sz w:val="32"/>
          <w:szCs w:val="32"/>
          <w:highlight w:val="none"/>
        </w:rPr>
        <w:t>项目要求（采购需求）</w:t>
      </w:r>
      <w:bookmarkStart w:id="27" w:name="_GoBack"/>
      <w:bookmarkEnd w:id="27"/>
    </w:p>
    <w:p w14:paraId="343E612B">
      <w:pPr>
        <w:widowControl w:val="0"/>
        <w:spacing w:line="360" w:lineRule="auto"/>
        <w:ind w:firstLine="482"/>
        <w:jc w:val="left"/>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一、本项目不接受超过</w:t>
      </w:r>
      <w:r>
        <w:rPr>
          <w:rFonts w:hint="eastAsia" w:asciiTheme="minorEastAsia" w:hAnsiTheme="minorEastAsia" w:eastAsiaTheme="minorEastAsia" w:cstheme="minorEastAsia"/>
          <w:b/>
          <w:bCs w:val="0"/>
          <w:color w:val="auto"/>
          <w:kern w:val="0"/>
          <w:sz w:val="24"/>
          <w:szCs w:val="24"/>
          <w:u w:val="single"/>
          <w:lang w:val="en-US" w:eastAsia="zh-CN" w:bidi="ar-SA"/>
        </w:rPr>
        <w:t xml:space="preserve"> 220 </w:t>
      </w:r>
      <w:r>
        <w:rPr>
          <w:rFonts w:hint="eastAsia" w:asciiTheme="minorEastAsia" w:hAnsiTheme="minorEastAsia" w:eastAsiaTheme="minorEastAsia" w:cstheme="minorEastAsia"/>
          <w:b/>
          <w:bCs w:val="0"/>
          <w:color w:val="auto"/>
          <w:kern w:val="0"/>
          <w:sz w:val="24"/>
          <w:szCs w:val="24"/>
          <w:lang w:val="en-US" w:eastAsia="zh-CN" w:bidi="ar-SA"/>
        </w:rPr>
        <w:t>万元（采购项目预算金额）的投标报价。投标报价包括但不限于污水处理设备的运行费用、税金、运费、安装、检验、检测、调试、保险、培训、维修保养服务、两座站两年期运维、投标人的利润等全部费用。服务期内如果垃圾转运站实际产生的污水水量超过预估污水处理量时，采购人也不再支付报价以外的任何费用。</w:t>
      </w:r>
    </w:p>
    <w:p w14:paraId="69DCA2F8">
      <w:pPr>
        <w:widowControl w:val="0"/>
        <w:spacing w:line="360" w:lineRule="auto"/>
        <w:ind w:firstLine="482"/>
        <w:jc w:val="left"/>
        <w:rPr>
          <w:rFonts w:hint="eastAsia" w:asciiTheme="minorEastAsia" w:hAnsiTheme="minorEastAsia" w:eastAsiaTheme="minorEastAsia" w:cstheme="minorEastAsia"/>
          <w:b/>
          <w:color w:val="auto"/>
          <w:kern w:val="0"/>
          <w:sz w:val="24"/>
          <w:szCs w:val="24"/>
          <w:lang w:val="en-US" w:eastAsia="zh-CN" w:bidi="ar-SA"/>
        </w:rPr>
      </w:pPr>
      <w:r>
        <w:rPr>
          <w:rFonts w:hint="eastAsia" w:asciiTheme="minorEastAsia" w:hAnsiTheme="minorEastAsia" w:eastAsiaTheme="minorEastAsia" w:cstheme="minorEastAsia"/>
          <w:b/>
          <w:color w:val="auto"/>
          <w:kern w:val="0"/>
          <w:sz w:val="24"/>
          <w:szCs w:val="24"/>
          <w:lang w:val="en-US" w:eastAsia="zh-CN" w:bidi="ar-SA"/>
        </w:rPr>
        <w:t>二、项目概况</w:t>
      </w:r>
    </w:p>
    <w:p w14:paraId="3CE4F030">
      <w:pPr>
        <w:widowControl w:val="0"/>
        <w:spacing w:line="360" w:lineRule="auto"/>
        <w:ind w:firstLine="480"/>
        <w:jc w:val="left"/>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1</w:t>
      </w:r>
      <w:r>
        <w:rPr>
          <w:rFonts w:hint="eastAsia" w:asciiTheme="minorEastAsia" w:hAnsiTheme="minorEastAsia" w:eastAsiaTheme="minorEastAsia" w:cstheme="minorEastAsia"/>
          <w:color w:val="auto"/>
          <w:kern w:val="0"/>
          <w:sz w:val="24"/>
          <w:szCs w:val="24"/>
          <w:lang w:val="en-US" w:eastAsia="zh-CN" w:bidi="ar"/>
        </w:rPr>
        <w:t>.</w:t>
      </w:r>
      <w:r>
        <w:rPr>
          <w:rFonts w:hint="eastAsia" w:asciiTheme="minorEastAsia" w:hAnsiTheme="minorEastAsia" w:eastAsiaTheme="minorEastAsia" w:cstheme="minorEastAsia"/>
          <w:color w:val="auto"/>
          <w:kern w:val="0"/>
          <w:sz w:val="24"/>
          <w:szCs w:val="24"/>
          <w:lang w:val="en-US" w:eastAsia="zh-CN" w:bidi="ar-SA"/>
        </w:rPr>
        <w:t>项目名称：</w:t>
      </w:r>
      <w:r>
        <w:rPr>
          <w:rFonts w:hint="eastAsia" w:asciiTheme="minorEastAsia" w:hAnsiTheme="minorEastAsia" w:eastAsiaTheme="minorEastAsia" w:cstheme="minorEastAsia"/>
          <w:bCs/>
          <w:color w:val="auto"/>
          <w:kern w:val="0"/>
          <w:sz w:val="24"/>
          <w:szCs w:val="24"/>
          <w:lang w:val="en-US" w:eastAsia="zh-CN" w:bidi="ar-SA"/>
        </w:rPr>
        <w:t xml:space="preserve">骆驼山、潘塘垃圾中转站污水处理运维服务外包项目。  </w:t>
      </w:r>
    </w:p>
    <w:p w14:paraId="2F3F178D">
      <w:pPr>
        <w:widowControl w:val="0"/>
        <w:spacing w:line="360" w:lineRule="auto"/>
        <w:ind w:firstLine="480"/>
        <w:jc w:val="left"/>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2</w:t>
      </w:r>
      <w:r>
        <w:rPr>
          <w:rFonts w:hint="eastAsia" w:asciiTheme="minorEastAsia" w:hAnsiTheme="minorEastAsia" w:eastAsiaTheme="minorEastAsia" w:cstheme="minorEastAsia"/>
          <w:color w:val="auto"/>
          <w:kern w:val="0"/>
          <w:sz w:val="24"/>
          <w:szCs w:val="24"/>
          <w:lang w:val="en-US" w:eastAsia="zh-CN" w:bidi="ar"/>
        </w:rPr>
        <w:t>.</w:t>
      </w:r>
      <w:r>
        <w:rPr>
          <w:rFonts w:hint="eastAsia" w:asciiTheme="minorEastAsia" w:hAnsiTheme="minorEastAsia" w:eastAsiaTheme="minorEastAsia" w:cstheme="minorEastAsia"/>
          <w:color w:val="auto"/>
          <w:kern w:val="0"/>
          <w:sz w:val="24"/>
          <w:szCs w:val="24"/>
          <w:lang w:val="en-US" w:eastAsia="zh-CN" w:bidi="ar-SA"/>
        </w:rPr>
        <w:t>采购人：</w:t>
      </w:r>
      <w:r>
        <w:rPr>
          <w:rFonts w:hint="eastAsia" w:asciiTheme="minorEastAsia" w:hAnsiTheme="minorEastAsia" w:eastAsiaTheme="minorEastAsia" w:cstheme="minorEastAsia"/>
          <w:bCs/>
          <w:color w:val="auto"/>
          <w:kern w:val="0"/>
          <w:sz w:val="24"/>
          <w:szCs w:val="24"/>
          <w:lang w:val="en-US" w:eastAsia="zh-CN" w:bidi="ar-SA"/>
        </w:rPr>
        <w:t>徐州市云龙区城市管理局。</w:t>
      </w:r>
      <w:r>
        <w:rPr>
          <w:rFonts w:hint="eastAsia" w:asciiTheme="minorEastAsia" w:hAnsiTheme="minorEastAsia" w:eastAsiaTheme="minorEastAsia" w:cstheme="minorEastAsia"/>
          <w:b/>
          <w:color w:val="auto"/>
          <w:kern w:val="0"/>
          <w:sz w:val="24"/>
          <w:szCs w:val="24"/>
          <w:lang w:val="en-US" w:eastAsia="zh-CN" w:bidi="ar-SA"/>
        </w:rPr>
        <w:t xml:space="preserve"> </w:t>
      </w:r>
    </w:p>
    <w:p w14:paraId="29409837">
      <w:pPr>
        <w:widowControl w:val="0"/>
        <w:spacing w:line="360" w:lineRule="auto"/>
        <w:ind w:firstLine="480"/>
        <w:jc w:val="left"/>
        <w:rPr>
          <w:rFonts w:hint="eastAsia" w:asciiTheme="minorEastAsia" w:hAnsiTheme="minorEastAsia" w:eastAsiaTheme="minorEastAsia" w:cstheme="minorEastAsia"/>
          <w:b/>
          <w:bCs/>
          <w:color w:val="auto"/>
          <w:kern w:val="0"/>
          <w:sz w:val="24"/>
          <w:szCs w:val="24"/>
          <w:lang w:val="en-US" w:eastAsia="zh-CN" w:bidi="ar-SA"/>
        </w:rPr>
      </w:pPr>
      <w:r>
        <w:rPr>
          <w:rFonts w:hint="eastAsia" w:asciiTheme="minorEastAsia" w:hAnsiTheme="minorEastAsia" w:eastAsiaTheme="minorEastAsia" w:cstheme="minorEastAsia"/>
          <w:b/>
          <w:bCs/>
          <w:color w:val="auto"/>
          <w:kern w:val="0"/>
          <w:sz w:val="24"/>
          <w:szCs w:val="24"/>
          <w:lang w:val="en-US" w:eastAsia="zh-CN" w:bidi="ar-SA"/>
        </w:rPr>
        <w:t>三、服务期限：</w:t>
      </w:r>
      <w:r>
        <w:rPr>
          <w:rFonts w:hint="eastAsia" w:asciiTheme="minorEastAsia" w:hAnsiTheme="minorEastAsia" w:eastAsiaTheme="minorEastAsia" w:cstheme="minorEastAsia"/>
          <w:b/>
          <w:bCs/>
          <w:color w:val="auto"/>
          <w:kern w:val="0"/>
          <w:sz w:val="24"/>
          <w:szCs w:val="24"/>
          <w:u w:val="single"/>
          <w:lang w:val="en-US" w:eastAsia="zh-CN" w:bidi="ar-SA"/>
        </w:rPr>
        <w:t xml:space="preserve"> 2 </w:t>
      </w:r>
      <w:r>
        <w:rPr>
          <w:rFonts w:hint="eastAsia" w:asciiTheme="minorEastAsia" w:hAnsiTheme="minorEastAsia" w:eastAsiaTheme="minorEastAsia" w:cstheme="minorEastAsia"/>
          <w:b/>
          <w:bCs/>
          <w:color w:val="auto"/>
          <w:kern w:val="0"/>
          <w:sz w:val="24"/>
          <w:szCs w:val="24"/>
          <w:lang w:val="en-US" w:eastAsia="zh-CN" w:bidi="ar-SA"/>
        </w:rPr>
        <w:t>年，自签订合同之日起开始计算。</w:t>
      </w:r>
    </w:p>
    <w:p w14:paraId="1032BADF">
      <w:pPr>
        <w:widowControl w:val="0"/>
        <w:spacing w:line="360" w:lineRule="auto"/>
        <w:ind w:firstLine="480"/>
        <w:jc w:val="left"/>
        <w:rPr>
          <w:rFonts w:hint="eastAsia" w:asciiTheme="minorEastAsia" w:hAnsiTheme="minorEastAsia" w:eastAsiaTheme="minorEastAsia" w:cstheme="minorEastAsia"/>
          <w:b/>
          <w:bCs/>
          <w:color w:val="auto"/>
          <w:kern w:val="0"/>
          <w:sz w:val="24"/>
          <w:szCs w:val="24"/>
          <w:lang w:val="en-US" w:eastAsia="zh-CN" w:bidi="ar-SA"/>
        </w:rPr>
      </w:pPr>
      <w:r>
        <w:rPr>
          <w:rFonts w:hint="eastAsia" w:asciiTheme="minorEastAsia" w:hAnsiTheme="minorEastAsia" w:eastAsiaTheme="minorEastAsia" w:cstheme="minorEastAsia"/>
          <w:b/>
          <w:bCs/>
          <w:color w:val="auto"/>
          <w:kern w:val="0"/>
          <w:sz w:val="24"/>
          <w:szCs w:val="24"/>
          <w:lang w:val="en-US" w:eastAsia="zh-CN" w:bidi="ar-SA"/>
        </w:rPr>
        <w:t>四、技术要求</w:t>
      </w:r>
    </w:p>
    <w:p w14:paraId="74BD431C">
      <w:pPr>
        <w:widowControl w:val="0"/>
        <w:spacing w:line="360" w:lineRule="auto"/>
        <w:ind w:firstLine="480"/>
        <w:jc w:val="left"/>
        <w:rPr>
          <w:rFonts w:hint="eastAsia" w:asciiTheme="minorEastAsia" w:hAnsiTheme="minorEastAsia" w:eastAsiaTheme="minorEastAsia" w:cstheme="minorEastAsia"/>
          <w:b/>
          <w:bCs/>
          <w:color w:val="auto"/>
          <w:kern w:val="0"/>
          <w:sz w:val="24"/>
          <w:szCs w:val="24"/>
          <w:lang w:val="en-US" w:eastAsia="zh-CN" w:bidi="ar-SA"/>
        </w:rPr>
      </w:pPr>
      <w:bookmarkStart w:id="0" w:name="_Hlk76667309"/>
      <w:bookmarkStart w:id="1" w:name="_Toc303685530"/>
      <w:bookmarkStart w:id="2" w:name="_Toc303685435"/>
      <w:bookmarkStart w:id="3" w:name="_Toc193257911"/>
      <w:bookmarkStart w:id="4" w:name="_Toc193273613"/>
      <w:bookmarkStart w:id="5" w:name="_Toc76667901"/>
      <w:r>
        <w:rPr>
          <w:rFonts w:hint="eastAsia" w:asciiTheme="minorEastAsia" w:hAnsiTheme="minorEastAsia" w:eastAsiaTheme="minorEastAsia" w:cstheme="minorEastAsia"/>
          <w:b/>
          <w:bCs/>
          <w:color w:val="auto"/>
          <w:kern w:val="0"/>
          <w:sz w:val="24"/>
          <w:szCs w:val="24"/>
          <w:lang w:val="en-US" w:eastAsia="zh-CN" w:bidi="ar-SA"/>
        </w:rPr>
        <w:t xml:space="preserve">1. </w:t>
      </w:r>
      <w:bookmarkEnd w:id="0"/>
      <w:r>
        <w:rPr>
          <w:rFonts w:hint="eastAsia" w:asciiTheme="minorEastAsia" w:hAnsiTheme="minorEastAsia" w:eastAsiaTheme="minorEastAsia" w:cstheme="minorEastAsia"/>
          <w:b/>
          <w:bCs/>
          <w:color w:val="auto"/>
          <w:kern w:val="0"/>
          <w:sz w:val="24"/>
          <w:szCs w:val="24"/>
          <w:lang w:val="en-US" w:eastAsia="zh-CN" w:bidi="ar-SA"/>
        </w:rPr>
        <w:t>项目</w:t>
      </w:r>
      <w:bookmarkEnd w:id="1"/>
      <w:bookmarkEnd w:id="2"/>
      <w:bookmarkEnd w:id="3"/>
      <w:bookmarkEnd w:id="4"/>
      <w:r>
        <w:rPr>
          <w:rFonts w:hint="eastAsia" w:asciiTheme="minorEastAsia" w:hAnsiTheme="minorEastAsia" w:eastAsiaTheme="minorEastAsia" w:cstheme="minorEastAsia"/>
          <w:b/>
          <w:bCs/>
          <w:color w:val="auto"/>
          <w:kern w:val="0"/>
          <w:sz w:val="24"/>
          <w:szCs w:val="24"/>
          <w:lang w:val="en-US" w:eastAsia="zh-CN" w:bidi="ar-SA"/>
        </w:rPr>
        <w:t>内容</w:t>
      </w:r>
      <w:bookmarkEnd w:id="5"/>
    </w:p>
    <w:p w14:paraId="3261F414">
      <w:pPr>
        <w:widowControl w:val="0"/>
        <w:spacing w:line="360" w:lineRule="auto"/>
        <w:ind w:firstLine="480"/>
        <w:jc w:val="left"/>
        <w:rPr>
          <w:rFonts w:hint="eastAsia" w:asciiTheme="minorEastAsia" w:hAnsiTheme="minorEastAsia" w:eastAsiaTheme="minorEastAsia" w:cstheme="minorEastAsia"/>
          <w:color w:val="auto"/>
          <w:kern w:val="0"/>
          <w:sz w:val="24"/>
          <w:szCs w:val="24"/>
          <w:lang w:val="en-US" w:eastAsia="zh-CN" w:bidi="ar-SA"/>
        </w:rPr>
      </w:pPr>
      <w:bookmarkStart w:id="6" w:name="_Toc76667903"/>
      <w:bookmarkStart w:id="7" w:name="_Toc303685447"/>
      <w:bookmarkStart w:id="8" w:name="_Toc303685542"/>
      <w:bookmarkStart w:id="9" w:name="_Toc193273626"/>
      <w:r>
        <w:rPr>
          <w:rFonts w:hint="eastAsia" w:asciiTheme="minorEastAsia" w:hAnsiTheme="minorEastAsia" w:eastAsiaTheme="minorEastAsia" w:cstheme="minorEastAsia"/>
          <w:color w:val="auto"/>
          <w:kern w:val="0"/>
          <w:sz w:val="24"/>
          <w:szCs w:val="24"/>
          <w:lang w:val="en-US" w:eastAsia="zh-CN" w:bidi="ar-SA"/>
        </w:rPr>
        <w:t>云龙区垃圾中转站(骆驼山站和潘塘站)污水来源为站内垃圾压缩产生的污水，车辆及地面清洗废水等，确保污水处理工序正常运行，处理后的水质达到排放标准，并完成两年的运维服务。</w:t>
      </w:r>
    </w:p>
    <w:p w14:paraId="22A42A5E">
      <w:pPr>
        <w:widowControl w:val="0"/>
        <w:spacing w:line="360" w:lineRule="auto"/>
        <w:ind w:firstLine="480"/>
        <w:jc w:val="left"/>
        <w:rPr>
          <w:rFonts w:hint="eastAsia" w:asciiTheme="minorEastAsia" w:hAnsiTheme="minorEastAsia" w:eastAsiaTheme="minorEastAsia" w:cstheme="minorEastAsia"/>
          <w:b/>
          <w:bCs/>
          <w:color w:val="auto"/>
          <w:kern w:val="0"/>
          <w:sz w:val="24"/>
          <w:szCs w:val="24"/>
          <w:lang w:val="en-US" w:eastAsia="zh-CN" w:bidi="ar-SA"/>
        </w:rPr>
      </w:pPr>
      <w:r>
        <w:rPr>
          <w:rFonts w:hint="eastAsia" w:asciiTheme="minorEastAsia" w:hAnsiTheme="minorEastAsia" w:eastAsiaTheme="minorEastAsia" w:cstheme="minorEastAsia"/>
          <w:b/>
          <w:bCs/>
          <w:color w:val="auto"/>
          <w:kern w:val="0"/>
          <w:sz w:val="24"/>
          <w:szCs w:val="24"/>
          <w:lang w:val="en-US" w:eastAsia="zh-CN" w:bidi="ar-SA"/>
        </w:rPr>
        <w:t>2. 污水水质</w:t>
      </w:r>
      <w:bookmarkEnd w:id="6"/>
      <w:bookmarkEnd w:id="7"/>
      <w:bookmarkEnd w:id="8"/>
      <w:bookmarkEnd w:id="9"/>
      <w:r>
        <w:rPr>
          <w:rFonts w:hint="eastAsia" w:asciiTheme="minorEastAsia" w:hAnsiTheme="minorEastAsia" w:eastAsiaTheme="minorEastAsia" w:cstheme="minorEastAsia"/>
          <w:b/>
          <w:bCs/>
          <w:color w:val="auto"/>
          <w:kern w:val="0"/>
          <w:sz w:val="24"/>
          <w:szCs w:val="24"/>
          <w:lang w:val="en-US" w:eastAsia="zh-CN" w:bidi="ar-SA"/>
        </w:rPr>
        <w:t>要求</w:t>
      </w:r>
    </w:p>
    <w:p w14:paraId="4C208505">
      <w:pPr>
        <w:widowControl w:val="0"/>
        <w:spacing w:line="360" w:lineRule="auto"/>
        <w:ind w:firstLine="480"/>
        <w:jc w:val="left"/>
        <w:rPr>
          <w:rFonts w:hint="eastAsia" w:asciiTheme="minorEastAsia" w:hAnsiTheme="minorEastAsia" w:eastAsiaTheme="minorEastAsia" w:cstheme="minorEastAsia"/>
          <w:color w:val="auto"/>
          <w:kern w:val="0"/>
          <w:sz w:val="24"/>
          <w:szCs w:val="24"/>
          <w:lang w:val="en-US" w:eastAsia="zh-CN" w:bidi="ar-SA"/>
        </w:rPr>
      </w:pPr>
      <w:bookmarkStart w:id="10" w:name="_Toc76667904"/>
      <w:bookmarkStart w:id="11" w:name="_Toc303685448"/>
      <w:bookmarkStart w:id="12" w:name="_Toc193273627"/>
      <w:bookmarkStart w:id="13" w:name="_Toc303685543"/>
      <w:bookmarkStart w:id="14" w:name="_Toc27795156"/>
      <w:bookmarkStart w:id="15" w:name="_Toc27795157"/>
      <w:r>
        <w:rPr>
          <w:rFonts w:hint="eastAsia" w:asciiTheme="minorEastAsia" w:hAnsiTheme="minorEastAsia" w:eastAsiaTheme="minorEastAsia" w:cstheme="minorEastAsia"/>
          <w:color w:val="auto"/>
          <w:kern w:val="0"/>
          <w:sz w:val="24"/>
          <w:szCs w:val="24"/>
          <w:lang w:val="en-US" w:eastAsia="zh-CN" w:bidi="ar-SA"/>
        </w:rPr>
        <w:t>2.1.进水水质由供应商自行勘察检测。</w:t>
      </w:r>
    </w:p>
    <w:p w14:paraId="0B6AD9F7">
      <w:pPr>
        <w:widowControl w:val="0"/>
        <w:spacing w:line="360" w:lineRule="auto"/>
        <w:ind w:firstLine="480"/>
        <w:jc w:val="left"/>
        <w:rPr>
          <w:rFonts w:hint="eastAsia" w:asciiTheme="minorEastAsia" w:hAnsiTheme="minorEastAsia" w:eastAsiaTheme="minorEastAsia" w:cstheme="minorEastAsia"/>
          <w:b/>
          <w:bCs/>
          <w:color w:val="auto"/>
          <w:kern w:val="0"/>
          <w:sz w:val="24"/>
          <w:szCs w:val="24"/>
          <w:lang w:val="en-US" w:eastAsia="zh-CN" w:bidi="ar-SA"/>
        </w:rPr>
      </w:pPr>
      <w:r>
        <w:rPr>
          <w:rFonts w:hint="eastAsia" w:asciiTheme="minorEastAsia" w:hAnsiTheme="minorEastAsia" w:eastAsiaTheme="minorEastAsia" w:cstheme="minorEastAsia"/>
          <w:b/>
          <w:bCs/>
          <w:color w:val="auto"/>
          <w:kern w:val="0"/>
          <w:sz w:val="24"/>
          <w:szCs w:val="24"/>
          <w:lang w:val="en-US" w:eastAsia="zh-CN" w:bidi="ar-SA"/>
        </w:rPr>
        <w:t>2.2.骆驼山中转站出水指标要求</w:t>
      </w:r>
    </w:p>
    <w:p w14:paraId="166F65EA">
      <w:pPr>
        <w:widowControl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骆驼山垃圾站污水处理后出水水质执行《污水排入城镇下水道水质标准》(GB/T 31962-2015)中的B等级排放标准，其出水水质考核指标如下：</w:t>
      </w:r>
    </w:p>
    <w:tbl>
      <w:tblPr>
        <w:tblStyle w:val="3"/>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2149"/>
        <w:gridCol w:w="2775"/>
        <w:gridCol w:w="2231"/>
      </w:tblGrid>
      <w:tr w14:paraId="5C46D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141" w:type="dxa"/>
          </w:tcPr>
          <w:p w14:paraId="378BC9AF">
            <w:pPr>
              <w:adjustRightInd w:val="0"/>
              <w:snapToGrid w:val="0"/>
              <w:spacing w:line="4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序号</w:t>
            </w:r>
          </w:p>
        </w:tc>
        <w:tc>
          <w:tcPr>
            <w:tcW w:w="2149" w:type="dxa"/>
          </w:tcPr>
          <w:p w14:paraId="4B61B02F">
            <w:pPr>
              <w:adjustRightInd w:val="0"/>
              <w:snapToGrid w:val="0"/>
              <w:spacing w:line="4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名称</w:t>
            </w:r>
          </w:p>
        </w:tc>
        <w:tc>
          <w:tcPr>
            <w:tcW w:w="2775" w:type="dxa"/>
          </w:tcPr>
          <w:p w14:paraId="57CDBD82">
            <w:pPr>
              <w:adjustRightInd w:val="0"/>
              <w:snapToGrid w:val="0"/>
              <w:spacing w:line="4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单位</w:t>
            </w:r>
          </w:p>
        </w:tc>
        <w:tc>
          <w:tcPr>
            <w:tcW w:w="2231" w:type="dxa"/>
          </w:tcPr>
          <w:p w14:paraId="5F1E4042">
            <w:pPr>
              <w:adjustRightInd w:val="0"/>
              <w:snapToGrid w:val="0"/>
              <w:spacing w:line="4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水质要求</w:t>
            </w:r>
          </w:p>
        </w:tc>
      </w:tr>
      <w:tr w14:paraId="287F9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141" w:type="dxa"/>
          </w:tcPr>
          <w:p w14:paraId="536D5AEA">
            <w:pPr>
              <w:adjustRightInd w:val="0"/>
              <w:snapToGrid w:val="0"/>
              <w:spacing w:line="4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w:t>
            </w:r>
          </w:p>
        </w:tc>
        <w:tc>
          <w:tcPr>
            <w:tcW w:w="2149" w:type="dxa"/>
          </w:tcPr>
          <w:p w14:paraId="523F4A22">
            <w:pPr>
              <w:adjustRightInd w:val="0"/>
              <w:snapToGrid w:val="0"/>
              <w:spacing w:line="4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COD</w:t>
            </w:r>
            <w:r>
              <w:rPr>
                <w:rFonts w:hint="eastAsia" w:asciiTheme="minorEastAsia" w:hAnsiTheme="minorEastAsia" w:eastAsiaTheme="minorEastAsia" w:cstheme="minorEastAsia"/>
                <w:color w:val="auto"/>
                <w:kern w:val="0"/>
                <w:sz w:val="24"/>
                <w:szCs w:val="24"/>
                <w:highlight w:val="none"/>
                <w:vertAlign w:val="subscript"/>
              </w:rPr>
              <w:t>cr</w:t>
            </w:r>
          </w:p>
        </w:tc>
        <w:tc>
          <w:tcPr>
            <w:tcW w:w="2775" w:type="dxa"/>
          </w:tcPr>
          <w:p w14:paraId="62C5DC34">
            <w:pPr>
              <w:adjustRightInd w:val="0"/>
              <w:snapToGrid w:val="0"/>
              <w:spacing w:line="4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mg/L</w:t>
            </w:r>
          </w:p>
        </w:tc>
        <w:tc>
          <w:tcPr>
            <w:tcW w:w="2231" w:type="dxa"/>
          </w:tcPr>
          <w:p w14:paraId="180551ED">
            <w:pPr>
              <w:adjustRightInd w:val="0"/>
              <w:snapToGrid w:val="0"/>
              <w:spacing w:line="4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≤500</w:t>
            </w:r>
          </w:p>
        </w:tc>
      </w:tr>
      <w:tr w14:paraId="6D52C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141" w:type="dxa"/>
          </w:tcPr>
          <w:p w14:paraId="3BC722B2">
            <w:pPr>
              <w:adjustRightInd w:val="0"/>
              <w:snapToGrid w:val="0"/>
              <w:spacing w:line="4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w:t>
            </w:r>
          </w:p>
        </w:tc>
        <w:tc>
          <w:tcPr>
            <w:tcW w:w="2149" w:type="dxa"/>
          </w:tcPr>
          <w:p w14:paraId="4FCF085C">
            <w:pPr>
              <w:adjustRightInd w:val="0"/>
              <w:snapToGrid w:val="0"/>
              <w:spacing w:line="4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BOD</w:t>
            </w:r>
            <w:r>
              <w:rPr>
                <w:rFonts w:hint="eastAsia" w:asciiTheme="minorEastAsia" w:hAnsiTheme="minorEastAsia" w:eastAsiaTheme="minorEastAsia" w:cstheme="minorEastAsia"/>
                <w:color w:val="auto"/>
                <w:kern w:val="0"/>
                <w:sz w:val="24"/>
                <w:szCs w:val="24"/>
                <w:highlight w:val="none"/>
                <w:vertAlign w:val="subscript"/>
              </w:rPr>
              <w:t>5</w:t>
            </w:r>
          </w:p>
        </w:tc>
        <w:tc>
          <w:tcPr>
            <w:tcW w:w="2775" w:type="dxa"/>
          </w:tcPr>
          <w:p w14:paraId="7EA437AF">
            <w:pPr>
              <w:adjustRightInd w:val="0"/>
              <w:snapToGrid w:val="0"/>
              <w:spacing w:line="4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mg/L</w:t>
            </w:r>
          </w:p>
        </w:tc>
        <w:tc>
          <w:tcPr>
            <w:tcW w:w="2231" w:type="dxa"/>
          </w:tcPr>
          <w:p w14:paraId="73D153F0">
            <w:pPr>
              <w:adjustRightInd w:val="0"/>
              <w:snapToGrid w:val="0"/>
              <w:spacing w:line="4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en-US" w:eastAsia="zh-CN"/>
              </w:rPr>
              <w:t>35</w:t>
            </w:r>
            <w:r>
              <w:rPr>
                <w:rFonts w:hint="eastAsia" w:asciiTheme="minorEastAsia" w:hAnsiTheme="minorEastAsia" w:eastAsiaTheme="minorEastAsia" w:cstheme="minorEastAsia"/>
                <w:color w:val="auto"/>
                <w:kern w:val="0"/>
                <w:sz w:val="24"/>
                <w:szCs w:val="24"/>
                <w:highlight w:val="none"/>
              </w:rPr>
              <w:t>0</w:t>
            </w:r>
          </w:p>
        </w:tc>
      </w:tr>
      <w:tr w14:paraId="53AF7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141" w:type="dxa"/>
          </w:tcPr>
          <w:p w14:paraId="051F78AA">
            <w:pPr>
              <w:adjustRightInd w:val="0"/>
              <w:snapToGrid w:val="0"/>
              <w:spacing w:line="4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w:t>
            </w:r>
          </w:p>
        </w:tc>
        <w:tc>
          <w:tcPr>
            <w:tcW w:w="2149" w:type="dxa"/>
          </w:tcPr>
          <w:p w14:paraId="4BF3C493">
            <w:pPr>
              <w:adjustRightInd w:val="0"/>
              <w:snapToGrid w:val="0"/>
              <w:spacing w:line="4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氨氮</w:t>
            </w:r>
          </w:p>
        </w:tc>
        <w:tc>
          <w:tcPr>
            <w:tcW w:w="2775" w:type="dxa"/>
          </w:tcPr>
          <w:p w14:paraId="0A419E67">
            <w:pPr>
              <w:adjustRightInd w:val="0"/>
              <w:snapToGrid w:val="0"/>
              <w:spacing w:line="4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mg/L</w:t>
            </w:r>
          </w:p>
        </w:tc>
        <w:tc>
          <w:tcPr>
            <w:tcW w:w="2231" w:type="dxa"/>
          </w:tcPr>
          <w:p w14:paraId="5D3BC902">
            <w:pPr>
              <w:adjustRightInd w:val="0"/>
              <w:snapToGrid w:val="0"/>
              <w:spacing w:line="4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≤45</w:t>
            </w:r>
          </w:p>
        </w:tc>
      </w:tr>
      <w:tr w14:paraId="6C7CA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141" w:type="dxa"/>
          </w:tcPr>
          <w:p w14:paraId="536A4CD0">
            <w:pPr>
              <w:adjustRightInd w:val="0"/>
              <w:snapToGrid w:val="0"/>
              <w:spacing w:line="4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w:t>
            </w:r>
          </w:p>
        </w:tc>
        <w:tc>
          <w:tcPr>
            <w:tcW w:w="2149" w:type="dxa"/>
          </w:tcPr>
          <w:p w14:paraId="3963B497">
            <w:pPr>
              <w:adjustRightInd w:val="0"/>
              <w:snapToGrid w:val="0"/>
              <w:spacing w:line="4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总磷</w:t>
            </w:r>
          </w:p>
        </w:tc>
        <w:tc>
          <w:tcPr>
            <w:tcW w:w="2775" w:type="dxa"/>
          </w:tcPr>
          <w:p w14:paraId="329BF13F">
            <w:pPr>
              <w:adjustRightInd w:val="0"/>
              <w:snapToGrid w:val="0"/>
              <w:spacing w:line="4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mg/L</w:t>
            </w:r>
          </w:p>
        </w:tc>
        <w:tc>
          <w:tcPr>
            <w:tcW w:w="2231" w:type="dxa"/>
          </w:tcPr>
          <w:p w14:paraId="15E3916F">
            <w:pPr>
              <w:adjustRightInd w:val="0"/>
              <w:snapToGrid w:val="0"/>
              <w:spacing w:line="4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≤8</w:t>
            </w:r>
          </w:p>
        </w:tc>
      </w:tr>
      <w:tr w14:paraId="147A6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141" w:type="dxa"/>
          </w:tcPr>
          <w:p w14:paraId="1B240AEE">
            <w:pPr>
              <w:adjustRightInd w:val="0"/>
              <w:snapToGrid w:val="0"/>
              <w:spacing w:line="4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w:t>
            </w:r>
          </w:p>
        </w:tc>
        <w:tc>
          <w:tcPr>
            <w:tcW w:w="2149" w:type="dxa"/>
          </w:tcPr>
          <w:p w14:paraId="5A01983D">
            <w:pPr>
              <w:adjustRightInd w:val="0"/>
              <w:snapToGrid w:val="0"/>
              <w:spacing w:line="4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SS</w:t>
            </w:r>
          </w:p>
        </w:tc>
        <w:tc>
          <w:tcPr>
            <w:tcW w:w="2775" w:type="dxa"/>
          </w:tcPr>
          <w:p w14:paraId="4AA24DD7">
            <w:pPr>
              <w:adjustRightInd w:val="0"/>
              <w:snapToGrid w:val="0"/>
              <w:spacing w:line="4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mg/L</w:t>
            </w:r>
          </w:p>
        </w:tc>
        <w:tc>
          <w:tcPr>
            <w:tcW w:w="2231" w:type="dxa"/>
          </w:tcPr>
          <w:p w14:paraId="3AEBA84F">
            <w:pPr>
              <w:adjustRightInd w:val="0"/>
              <w:snapToGrid w:val="0"/>
              <w:spacing w:line="4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en-US" w:eastAsia="zh-CN"/>
              </w:rPr>
              <w:t>4</w:t>
            </w:r>
            <w:r>
              <w:rPr>
                <w:rFonts w:hint="eastAsia" w:asciiTheme="minorEastAsia" w:hAnsiTheme="minorEastAsia" w:eastAsiaTheme="minorEastAsia" w:cstheme="minorEastAsia"/>
                <w:color w:val="auto"/>
                <w:kern w:val="0"/>
                <w:sz w:val="24"/>
                <w:szCs w:val="24"/>
                <w:highlight w:val="none"/>
              </w:rPr>
              <w:t>00</w:t>
            </w:r>
          </w:p>
        </w:tc>
      </w:tr>
      <w:tr w14:paraId="490F1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141" w:type="dxa"/>
          </w:tcPr>
          <w:p w14:paraId="03A0658D">
            <w:pPr>
              <w:adjustRightInd w:val="0"/>
              <w:snapToGrid w:val="0"/>
              <w:spacing w:line="4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6</w:t>
            </w:r>
          </w:p>
        </w:tc>
        <w:tc>
          <w:tcPr>
            <w:tcW w:w="2149" w:type="dxa"/>
          </w:tcPr>
          <w:p w14:paraId="1B000938">
            <w:pPr>
              <w:adjustRightInd w:val="0"/>
              <w:snapToGrid w:val="0"/>
              <w:spacing w:line="4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pH</w:t>
            </w:r>
          </w:p>
        </w:tc>
        <w:tc>
          <w:tcPr>
            <w:tcW w:w="2775" w:type="dxa"/>
          </w:tcPr>
          <w:p w14:paraId="75317928">
            <w:pPr>
              <w:adjustRightInd w:val="0"/>
              <w:snapToGrid w:val="0"/>
              <w:spacing w:line="4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w:t>
            </w:r>
          </w:p>
        </w:tc>
        <w:tc>
          <w:tcPr>
            <w:tcW w:w="2231" w:type="dxa"/>
          </w:tcPr>
          <w:p w14:paraId="60AA8CEB">
            <w:pPr>
              <w:adjustRightInd w:val="0"/>
              <w:snapToGrid w:val="0"/>
              <w:spacing w:line="400" w:lineRule="exact"/>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6</w:t>
            </w: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~9</w:t>
            </w:r>
            <w:r>
              <w:rPr>
                <w:rFonts w:hint="eastAsia" w:asciiTheme="minorEastAsia" w:hAnsiTheme="minorEastAsia" w:eastAsiaTheme="minorEastAsia" w:cstheme="minorEastAsia"/>
                <w:color w:val="auto"/>
                <w:kern w:val="0"/>
                <w:sz w:val="24"/>
                <w:szCs w:val="24"/>
                <w:highlight w:val="none"/>
                <w:lang w:val="en-US" w:eastAsia="zh-CN"/>
              </w:rPr>
              <w:t>.5</w:t>
            </w:r>
          </w:p>
        </w:tc>
      </w:tr>
    </w:tbl>
    <w:p w14:paraId="3FFB25DC">
      <w:pPr>
        <w:widowControl w:val="0"/>
        <w:spacing w:line="360" w:lineRule="auto"/>
        <w:ind w:firstLine="482" w:firstLineChars="200"/>
        <w:jc w:val="left"/>
        <w:rPr>
          <w:rFonts w:hint="eastAsia" w:asciiTheme="minorEastAsia" w:hAnsiTheme="minorEastAsia" w:eastAsiaTheme="minorEastAsia" w:cstheme="minorEastAsia"/>
          <w:b/>
          <w:bCs/>
          <w:color w:val="auto"/>
          <w:kern w:val="0"/>
          <w:sz w:val="24"/>
          <w:szCs w:val="24"/>
          <w:highlight w:val="none"/>
          <w:lang w:val="en-US" w:eastAsia="zh-CN" w:bidi="ar-SA"/>
        </w:rPr>
      </w:pPr>
      <w:r>
        <w:rPr>
          <w:rFonts w:hint="eastAsia" w:asciiTheme="minorEastAsia" w:hAnsiTheme="minorEastAsia" w:eastAsiaTheme="minorEastAsia" w:cstheme="minorEastAsia"/>
          <w:b/>
          <w:bCs/>
          <w:color w:val="auto"/>
          <w:kern w:val="0"/>
          <w:sz w:val="24"/>
          <w:szCs w:val="24"/>
          <w:highlight w:val="none"/>
          <w:lang w:val="en-US" w:eastAsia="zh-CN" w:bidi="ar-SA"/>
        </w:rPr>
        <w:t>2.3.潘塘中转站出水指标要求</w:t>
      </w:r>
    </w:p>
    <w:p w14:paraId="0E18F5C8">
      <w:pPr>
        <w:widowControl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潘塘垃圾站污水处理后出水水质执行《生活垃圾填埋场污染控制标准》(GB16889-2008)中表3标准，其出水水质考核指标如下：</w:t>
      </w:r>
    </w:p>
    <w:tbl>
      <w:tblPr>
        <w:tblStyle w:val="3"/>
        <w:tblW w:w="9059"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925"/>
        <w:gridCol w:w="3273"/>
        <w:gridCol w:w="1773"/>
        <w:gridCol w:w="3088"/>
      </w:tblGrid>
      <w:tr w14:paraId="5B29300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571" w:hRule="atLeast"/>
          <w:jc w:val="center"/>
        </w:trPr>
        <w:tc>
          <w:tcPr>
            <w:tcW w:w="92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6B65C348">
            <w:pPr>
              <w:widowControl w:val="0"/>
              <w:adjustRightInd w:val="0"/>
              <w:snapToGrid w:val="0"/>
              <w:spacing w:line="360" w:lineRule="auto"/>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序号</w:t>
            </w:r>
          </w:p>
        </w:tc>
        <w:tc>
          <w:tcPr>
            <w:tcW w:w="3273"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59EEEA52">
            <w:pPr>
              <w:widowControl w:val="0"/>
              <w:adjustRightInd w:val="0"/>
              <w:snapToGrid w:val="0"/>
              <w:spacing w:line="360" w:lineRule="auto"/>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控制污染物</w:t>
            </w:r>
          </w:p>
        </w:tc>
        <w:tc>
          <w:tcPr>
            <w:tcW w:w="1773"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573BDF22">
            <w:pPr>
              <w:widowControl w:val="0"/>
              <w:adjustRightInd w:val="0"/>
              <w:snapToGrid w:val="0"/>
              <w:spacing w:line="360" w:lineRule="auto"/>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排放浓度限值</w:t>
            </w:r>
          </w:p>
        </w:tc>
        <w:tc>
          <w:tcPr>
            <w:tcW w:w="3088"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21E212BE">
            <w:pPr>
              <w:widowControl w:val="0"/>
              <w:adjustRightInd w:val="0"/>
              <w:snapToGrid w:val="0"/>
              <w:spacing w:line="360" w:lineRule="auto"/>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污染物排放监控位置</w:t>
            </w:r>
          </w:p>
        </w:tc>
      </w:tr>
      <w:tr w14:paraId="1A62794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1" w:hRule="atLeast"/>
          <w:jc w:val="center"/>
        </w:trPr>
        <w:tc>
          <w:tcPr>
            <w:tcW w:w="92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19F3C3B">
            <w:pPr>
              <w:widowControl w:val="0"/>
              <w:adjustRightInd w:val="0"/>
              <w:snapToGrid w:val="0"/>
              <w:spacing w:line="360" w:lineRule="auto"/>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w:t>
            </w:r>
          </w:p>
        </w:tc>
        <w:tc>
          <w:tcPr>
            <w:tcW w:w="3273" w:type="dxa"/>
            <w:tcBorders>
              <w:top w:val="nil"/>
              <w:left w:val="nil"/>
              <w:bottom w:val="single" w:color="auto" w:sz="8" w:space="0"/>
              <w:right w:val="single" w:color="auto" w:sz="8" w:space="0"/>
            </w:tcBorders>
            <w:shd w:val="clear" w:color="auto" w:fill="FFFFFF"/>
            <w:tcMar>
              <w:left w:w="108" w:type="dxa"/>
              <w:right w:w="108" w:type="dxa"/>
            </w:tcMar>
            <w:vAlign w:val="center"/>
          </w:tcPr>
          <w:p w14:paraId="5AF4638F">
            <w:pPr>
              <w:widowControl w:val="0"/>
              <w:adjustRightInd w:val="0"/>
              <w:snapToGrid w:val="0"/>
              <w:spacing w:line="360" w:lineRule="auto"/>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色度（稀释倍数）</w:t>
            </w:r>
          </w:p>
        </w:tc>
        <w:tc>
          <w:tcPr>
            <w:tcW w:w="1773" w:type="dxa"/>
            <w:tcBorders>
              <w:top w:val="nil"/>
              <w:left w:val="nil"/>
              <w:bottom w:val="single" w:color="auto" w:sz="8" w:space="0"/>
              <w:right w:val="single" w:color="auto" w:sz="8" w:space="0"/>
            </w:tcBorders>
            <w:shd w:val="clear" w:color="auto" w:fill="FFFFFF"/>
            <w:tcMar>
              <w:left w:w="108" w:type="dxa"/>
              <w:right w:w="108" w:type="dxa"/>
            </w:tcMar>
            <w:vAlign w:val="center"/>
          </w:tcPr>
          <w:p w14:paraId="0731958E">
            <w:pPr>
              <w:widowControl w:val="0"/>
              <w:adjustRightInd w:val="0"/>
              <w:snapToGrid w:val="0"/>
              <w:spacing w:line="360" w:lineRule="auto"/>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30</w:t>
            </w:r>
          </w:p>
        </w:tc>
        <w:tc>
          <w:tcPr>
            <w:tcW w:w="3088" w:type="dxa"/>
            <w:tcBorders>
              <w:top w:val="nil"/>
              <w:left w:val="nil"/>
              <w:bottom w:val="single" w:color="auto" w:sz="8" w:space="0"/>
              <w:right w:val="single" w:color="auto" w:sz="8" w:space="0"/>
            </w:tcBorders>
            <w:shd w:val="clear" w:color="auto" w:fill="FFFFFF"/>
            <w:tcMar>
              <w:left w:w="108" w:type="dxa"/>
              <w:right w:w="108" w:type="dxa"/>
            </w:tcMar>
            <w:vAlign w:val="center"/>
          </w:tcPr>
          <w:p w14:paraId="129EDC58">
            <w:pPr>
              <w:widowControl w:val="0"/>
              <w:adjustRightInd w:val="0"/>
              <w:snapToGrid w:val="0"/>
              <w:spacing w:line="360" w:lineRule="auto"/>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常规污水处理设施排放口</w:t>
            </w:r>
          </w:p>
        </w:tc>
      </w:tr>
      <w:tr w14:paraId="48F993E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1" w:hRule="atLeast"/>
          <w:jc w:val="center"/>
        </w:trPr>
        <w:tc>
          <w:tcPr>
            <w:tcW w:w="92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3C01F26">
            <w:pPr>
              <w:widowControl w:val="0"/>
              <w:adjustRightInd w:val="0"/>
              <w:snapToGrid w:val="0"/>
              <w:spacing w:line="360" w:lineRule="auto"/>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2</w:t>
            </w:r>
          </w:p>
        </w:tc>
        <w:tc>
          <w:tcPr>
            <w:tcW w:w="3273" w:type="dxa"/>
            <w:tcBorders>
              <w:top w:val="nil"/>
              <w:left w:val="nil"/>
              <w:bottom w:val="single" w:color="auto" w:sz="8" w:space="0"/>
              <w:right w:val="single" w:color="auto" w:sz="8" w:space="0"/>
            </w:tcBorders>
            <w:shd w:val="clear" w:color="auto" w:fill="FFFFFF"/>
            <w:tcMar>
              <w:left w:w="108" w:type="dxa"/>
              <w:right w:w="108" w:type="dxa"/>
            </w:tcMar>
            <w:vAlign w:val="center"/>
          </w:tcPr>
          <w:p w14:paraId="00A1F83A">
            <w:pPr>
              <w:widowControl w:val="0"/>
              <w:adjustRightInd w:val="0"/>
              <w:snapToGrid w:val="0"/>
              <w:spacing w:line="360" w:lineRule="auto"/>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化学需氧量（CODCr）（mg/L）</w:t>
            </w:r>
          </w:p>
        </w:tc>
        <w:tc>
          <w:tcPr>
            <w:tcW w:w="1773" w:type="dxa"/>
            <w:tcBorders>
              <w:top w:val="nil"/>
              <w:left w:val="nil"/>
              <w:bottom w:val="single" w:color="auto" w:sz="8" w:space="0"/>
              <w:right w:val="single" w:color="auto" w:sz="8" w:space="0"/>
            </w:tcBorders>
            <w:shd w:val="clear" w:color="auto" w:fill="FFFFFF"/>
            <w:tcMar>
              <w:left w:w="108" w:type="dxa"/>
              <w:right w:w="108" w:type="dxa"/>
            </w:tcMar>
            <w:vAlign w:val="center"/>
          </w:tcPr>
          <w:p w14:paraId="7A2D2B71">
            <w:pPr>
              <w:widowControl w:val="0"/>
              <w:adjustRightInd w:val="0"/>
              <w:snapToGrid w:val="0"/>
              <w:spacing w:line="360" w:lineRule="auto"/>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60</w:t>
            </w:r>
          </w:p>
        </w:tc>
        <w:tc>
          <w:tcPr>
            <w:tcW w:w="3088" w:type="dxa"/>
            <w:tcBorders>
              <w:top w:val="nil"/>
              <w:left w:val="nil"/>
              <w:bottom w:val="single" w:color="auto" w:sz="8" w:space="0"/>
              <w:right w:val="single" w:color="auto" w:sz="8" w:space="0"/>
            </w:tcBorders>
            <w:shd w:val="clear" w:color="auto" w:fill="FFFFFF"/>
            <w:tcMar>
              <w:left w:w="108" w:type="dxa"/>
              <w:right w:w="108" w:type="dxa"/>
            </w:tcMar>
            <w:vAlign w:val="center"/>
          </w:tcPr>
          <w:p w14:paraId="7E1A7812">
            <w:pPr>
              <w:widowControl w:val="0"/>
              <w:adjustRightInd w:val="0"/>
              <w:snapToGrid w:val="0"/>
              <w:spacing w:line="360" w:lineRule="auto"/>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常规污水处理设施排放口</w:t>
            </w:r>
          </w:p>
        </w:tc>
      </w:tr>
      <w:tr w14:paraId="0A64D7E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1" w:hRule="atLeast"/>
          <w:jc w:val="center"/>
        </w:trPr>
        <w:tc>
          <w:tcPr>
            <w:tcW w:w="92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92211F0">
            <w:pPr>
              <w:widowControl w:val="0"/>
              <w:adjustRightInd w:val="0"/>
              <w:snapToGrid w:val="0"/>
              <w:spacing w:line="360" w:lineRule="auto"/>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w:t>
            </w:r>
          </w:p>
        </w:tc>
        <w:tc>
          <w:tcPr>
            <w:tcW w:w="3273" w:type="dxa"/>
            <w:tcBorders>
              <w:top w:val="nil"/>
              <w:left w:val="nil"/>
              <w:bottom w:val="single" w:color="auto" w:sz="8" w:space="0"/>
              <w:right w:val="single" w:color="auto" w:sz="8" w:space="0"/>
            </w:tcBorders>
            <w:shd w:val="clear" w:color="auto" w:fill="FFFFFF"/>
            <w:tcMar>
              <w:left w:w="108" w:type="dxa"/>
              <w:right w:w="108" w:type="dxa"/>
            </w:tcMar>
            <w:vAlign w:val="center"/>
          </w:tcPr>
          <w:p w14:paraId="7DF40720">
            <w:pPr>
              <w:widowControl w:val="0"/>
              <w:adjustRightInd w:val="0"/>
              <w:snapToGrid w:val="0"/>
              <w:spacing w:line="360" w:lineRule="auto"/>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生化需氧量（BOD5）（mg/L）</w:t>
            </w:r>
          </w:p>
        </w:tc>
        <w:tc>
          <w:tcPr>
            <w:tcW w:w="1773" w:type="dxa"/>
            <w:tcBorders>
              <w:top w:val="nil"/>
              <w:left w:val="nil"/>
              <w:bottom w:val="single" w:color="auto" w:sz="8" w:space="0"/>
              <w:right w:val="single" w:color="auto" w:sz="8" w:space="0"/>
            </w:tcBorders>
            <w:shd w:val="clear" w:color="auto" w:fill="FFFFFF"/>
            <w:tcMar>
              <w:left w:w="108" w:type="dxa"/>
              <w:right w:w="108" w:type="dxa"/>
            </w:tcMar>
            <w:vAlign w:val="center"/>
          </w:tcPr>
          <w:p w14:paraId="2A8B090A">
            <w:pPr>
              <w:widowControl w:val="0"/>
              <w:adjustRightInd w:val="0"/>
              <w:snapToGrid w:val="0"/>
              <w:spacing w:line="360" w:lineRule="auto"/>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20</w:t>
            </w:r>
          </w:p>
        </w:tc>
        <w:tc>
          <w:tcPr>
            <w:tcW w:w="3088" w:type="dxa"/>
            <w:tcBorders>
              <w:top w:val="nil"/>
              <w:left w:val="nil"/>
              <w:bottom w:val="single" w:color="auto" w:sz="8" w:space="0"/>
              <w:right w:val="single" w:color="auto" w:sz="8" w:space="0"/>
            </w:tcBorders>
            <w:shd w:val="clear" w:color="auto" w:fill="FFFFFF"/>
            <w:tcMar>
              <w:left w:w="108" w:type="dxa"/>
              <w:right w:w="108" w:type="dxa"/>
            </w:tcMar>
            <w:vAlign w:val="center"/>
          </w:tcPr>
          <w:p w14:paraId="0462F03D">
            <w:pPr>
              <w:widowControl w:val="0"/>
              <w:adjustRightInd w:val="0"/>
              <w:snapToGrid w:val="0"/>
              <w:spacing w:line="360" w:lineRule="auto"/>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常规污水处理设施排放口</w:t>
            </w:r>
          </w:p>
        </w:tc>
      </w:tr>
      <w:tr w14:paraId="2B7A3B2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1" w:hRule="atLeast"/>
          <w:jc w:val="center"/>
        </w:trPr>
        <w:tc>
          <w:tcPr>
            <w:tcW w:w="92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431A1FF">
            <w:pPr>
              <w:widowControl w:val="0"/>
              <w:adjustRightInd w:val="0"/>
              <w:snapToGrid w:val="0"/>
              <w:spacing w:line="360" w:lineRule="auto"/>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4</w:t>
            </w:r>
          </w:p>
        </w:tc>
        <w:tc>
          <w:tcPr>
            <w:tcW w:w="3273" w:type="dxa"/>
            <w:tcBorders>
              <w:top w:val="nil"/>
              <w:left w:val="nil"/>
              <w:bottom w:val="single" w:color="auto" w:sz="8" w:space="0"/>
              <w:right w:val="single" w:color="auto" w:sz="8" w:space="0"/>
            </w:tcBorders>
            <w:shd w:val="clear" w:color="auto" w:fill="FFFFFF"/>
            <w:tcMar>
              <w:left w:w="108" w:type="dxa"/>
              <w:right w:w="108" w:type="dxa"/>
            </w:tcMar>
            <w:vAlign w:val="center"/>
          </w:tcPr>
          <w:p w14:paraId="1811C0FF">
            <w:pPr>
              <w:widowControl w:val="0"/>
              <w:adjustRightInd w:val="0"/>
              <w:snapToGrid w:val="0"/>
              <w:spacing w:line="360" w:lineRule="auto"/>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悬浮物（mg/L）</w:t>
            </w:r>
          </w:p>
        </w:tc>
        <w:tc>
          <w:tcPr>
            <w:tcW w:w="1773" w:type="dxa"/>
            <w:tcBorders>
              <w:top w:val="nil"/>
              <w:left w:val="nil"/>
              <w:bottom w:val="single" w:color="auto" w:sz="8" w:space="0"/>
              <w:right w:val="single" w:color="auto" w:sz="8" w:space="0"/>
            </w:tcBorders>
            <w:shd w:val="clear" w:color="auto" w:fill="FFFFFF"/>
            <w:tcMar>
              <w:left w:w="108" w:type="dxa"/>
              <w:right w:w="108" w:type="dxa"/>
            </w:tcMar>
            <w:vAlign w:val="center"/>
          </w:tcPr>
          <w:p w14:paraId="1C150617">
            <w:pPr>
              <w:widowControl w:val="0"/>
              <w:adjustRightInd w:val="0"/>
              <w:snapToGrid w:val="0"/>
              <w:spacing w:line="360" w:lineRule="auto"/>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30</w:t>
            </w:r>
          </w:p>
        </w:tc>
        <w:tc>
          <w:tcPr>
            <w:tcW w:w="3088" w:type="dxa"/>
            <w:tcBorders>
              <w:top w:val="nil"/>
              <w:left w:val="nil"/>
              <w:bottom w:val="single" w:color="auto" w:sz="8" w:space="0"/>
              <w:right w:val="single" w:color="auto" w:sz="8" w:space="0"/>
            </w:tcBorders>
            <w:shd w:val="clear" w:color="auto" w:fill="FFFFFF"/>
            <w:tcMar>
              <w:left w:w="108" w:type="dxa"/>
              <w:right w:w="108" w:type="dxa"/>
            </w:tcMar>
            <w:vAlign w:val="center"/>
          </w:tcPr>
          <w:p w14:paraId="4E2BDB52">
            <w:pPr>
              <w:widowControl w:val="0"/>
              <w:adjustRightInd w:val="0"/>
              <w:snapToGrid w:val="0"/>
              <w:spacing w:line="360" w:lineRule="auto"/>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常规污水处理设施排放口</w:t>
            </w:r>
          </w:p>
        </w:tc>
      </w:tr>
      <w:tr w14:paraId="09EF318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1" w:hRule="atLeast"/>
          <w:jc w:val="center"/>
        </w:trPr>
        <w:tc>
          <w:tcPr>
            <w:tcW w:w="92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0766C63">
            <w:pPr>
              <w:widowControl w:val="0"/>
              <w:adjustRightInd w:val="0"/>
              <w:snapToGrid w:val="0"/>
              <w:spacing w:line="360" w:lineRule="auto"/>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5</w:t>
            </w:r>
          </w:p>
        </w:tc>
        <w:tc>
          <w:tcPr>
            <w:tcW w:w="3273" w:type="dxa"/>
            <w:tcBorders>
              <w:top w:val="nil"/>
              <w:left w:val="nil"/>
              <w:bottom w:val="single" w:color="auto" w:sz="8" w:space="0"/>
              <w:right w:val="single" w:color="auto" w:sz="8" w:space="0"/>
            </w:tcBorders>
            <w:shd w:val="clear" w:color="auto" w:fill="FFFFFF"/>
            <w:tcMar>
              <w:left w:w="108" w:type="dxa"/>
              <w:right w:w="108" w:type="dxa"/>
            </w:tcMar>
            <w:vAlign w:val="center"/>
          </w:tcPr>
          <w:p w14:paraId="2488DEA3">
            <w:pPr>
              <w:widowControl w:val="0"/>
              <w:adjustRightInd w:val="0"/>
              <w:snapToGrid w:val="0"/>
              <w:spacing w:line="360" w:lineRule="auto"/>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总氮（mg/L）</w:t>
            </w:r>
          </w:p>
        </w:tc>
        <w:tc>
          <w:tcPr>
            <w:tcW w:w="1773" w:type="dxa"/>
            <w:tcBorders>
              <w:top w:val="nil"/>
              <w:left w:val="nil"/>
              <w:bottom w:val="single" w:color="auto" w:sz="8" w:space="0"/>
              <w:right w:val="single" w:color="auto" w:sz="8" w:space="0"/>
            </w:tcBorders>
            <w:shd w:val="clear" w:color="auto" w:fill="FFFFFF"/>
            <w:tcMar>
              <w:left w:w="108" w:type="dxa"/>
              <w:right w:w="108" w:type="dxa"/>
            </w:tcMar>
            <w:vAlign w:val="center"/>
          </w:tcPr>
          <w:p w14:paraId="58B3A950">
            <w:pPr>
              <w:widowControl w:val="0"/>
              <w:adjustRightInd w:val="0"/>
              <w:snapToGrid w:val="0"/>
              <w:spacing w:line="360" w:lineRule="auto"/>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20</w:t>
            </w:r>
          </w:p>
        </w:tc>
        <w:tc>
          <w:tcPr>
            <w:tcW w:w="3088" w:type="dxa"/>
            <w:tcBorders>
              <w:top w:val="nil"/>
              <w:left w:val="nil"/>
              <w:bottom w:val="single" w:color="auto" w:sz="8" w:space="0"/>
              <w:right w:val="single" w:color="auto" w:sz="8" w:space="0"/>
            </w:tcBorders>
            <w:shd w:val="clear" w:color="auto" w:fill="FFFFFF"/>
            <w:tcMar>
              <w:left w:w="108" w:type="dxa"/>
              <w:right w:w="108" w:type="dxa"/>
            </w:tcMar>
            <w:vAlign w:val="center"/>
          </w:tcPr>
          <w:p w14:paraId="69B59105">
            <w:pPr>
              <w:widowControl w:val="0"/>
              <w:adjustRightInd w:val="0"/>
              <w:snapToGrid w:val="0"/>
              <w:spacing w:line="360" w:lineRule="auto"/>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常规污水处理设施排放口</w:t>
            </w:r>
          </w:p>
        </w:tc>
      </w:tr>
      <w:tr w14:paraId="516871D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1" w:hRule="atLeast"/>
          <w:jc w:val="center"/>
        </w:trPr>
        <w:tc>
          <w:tcPr>
            <w:tcW w:w="92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9E24B86">
            <w:pPr>
              <w:widowControl w:val="0"/>
              <w:adjustRightInd w:val="0"/>
              <w:snapToGrid w:val="0"/>
              <w:spacing w:line="360" w:lineRule="auto"/>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6</w:t>
            </w:r>
          </w:p>
        </w:tc>
        <w:tc>
          <w:tcPr>
            <w:tcW w:w="3273" w:type="dxa"/>
            <w:tcBorders>
              <w:top w:val="nil"/>
              <w:left w:val="nil"/>
              <w:bottom w:val="single" w:color="auto" w:sz="8" w:space="0"/>
              <w:right w:val="single" w:color="auto" w:sz="8" w:space="0"/>
            </w:tcBorders>
            <w:shd w:val="clear" w:color="auto" w:fill="FFFFFF"/>
            <w:tcMar>
              <w:left w:w="108" w:type="dxa"/>
              <w:right w:w="108" w:type="dxa"/>
            </w:tcMar>
            <w:vAlign w:val="center"/>
          </w:tcPr>
          <w:p w14:paraId="05BC26DB">
            <w:pPr>
              <w:widowControl w:val="0"/>
              <w:adjustRightInd w:val="0"/>
              <w:snapToGrid w:val="0"/>
              <w:spacing w:line="360" w:lineRule="auto"/>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氨氮（mg/L）</w:t>
            </w:r>
          </w:p>
        </w:tc>
        <w:tc>
          <w:tcPr>
            <w:tcW w:w="1773" w:type="dxa"/>
            <w:tcBorders>
              <w:top w:val="nil"/>
              <w:left w:val="nil"/>
              <w:bottom w:val="single" w:color="auto" w:sz="8" w:space="0"/>
              <w:right w:val="single" w:color="auto" w:sz="8" w:space="0"/>
            </w:tcBorders>
            <w:shd w:val="clear" w:color="auto" w:fill="FFFFFF"/>
            <w:tcMar>
              <w:left w:w="108" w:type="dxa"/>
              <w:right w:w="108" w:type="dxa"/>
            </w:tcMar>
            <w:vAlign w:val="center"/>
          </w:tcPr>
          <w:p w14:paraId="66E57956">
            <w:pPr>
              <w:widowControl w:val="0"/>
              <w:adjustRightInd w:val="0"/>
              <w:snapToGrid w:val="0"/>
              <w:spacing w:line="360" w:lineRule="auto"/>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8</w:t>
            </w:r>
          </w:p>
        </w:tc>
        <w:tc>
          <w:tcPr>
            <w:tcW w:w="3088" w:type="dxa"/>
            <w:tcBorders>
              <w:top w:val="nil"/>
              <w:left w:val="nil"/>
              <w:bottom w:val="single" w:color="auto" w:sz="8" w:space="0"/>
              <w:right w:val="single" w:color="auto" w:sz="8" w:space="0"/>
            </w:tcBorders>
            <w:shd w:val="clear" w:color="auto" w:fill="FFFFFF"/>
            <w:tcMar>
              <w:left w:w="108" w:type="dxa"/>
              <w:right w:w="108" w:type="dxa"/>
            </w:tcMar>
            <w:vAlign w:val="center"/>
          </w:tcPr>
          <w:p w14:paraId="5014417D">
            <w:pPr>
              <w:widowControl w:val="0"/>
              <w:adjustRightInd w:val="0"/>
              <w:snapToGrid w:val="0"/>
              <w:spacing w:line="360" w:lineRule="auto"/>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常规污水处理设施排放口</w:t>
            </w:r>
          </w:p>
        </w:tc>
      </w:tr>
      <w:tr w14:paraId="756E508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1" w:hRule="atLeast"/>
          <w:jc w:val="center"/>
        </w:trPr>
        <w:tc>
          <w:tcPr>
            <w:tcW w:w="92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EA49918">
            <w:pPr>
              <w:widowControl w:val="0"/>
              <w:adjustRightInd w:val="0"/>
              <w:snapToGrid w:val="0"/>
              <w:spacing w:line="360" w:lineRule="auto"/>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7</w:t>
            </w:r>
          </w:p>
        </w:tc>
        <w:tc>
          <w:tcPr>
            <w:tcW w:w="3273" w:type="dxa"/>
            <w:tcBorders>
              <w:top w:val="nil"/>
              <w:left w:val="nil"/>
              <w:bottom w:val="single" w:color="auto" w:sz="8" w:space="0"/>
              <w:right w:val="single" w:color="auto" w:sz="8" w:space="0"/>
            </w:tcBorders>
            <w:shd w:val="clear" w:color="auto" w:fill="FFFFFF"/>
            <w:tcMar>
              <w:left w:w="108" w:type="dxa"/>
              <w:right w:w="108" w:type="dxa"/>
            </w:tcMar>
            <w:vAlign w:val="center"/>
          </w:tcPr>
          <w:p w14:paraId="7813573F">
            <w:pPr>
              <w:widowControl w:val="0"/>
              <w:adjustRightInd w:val="0"/>
              <w:snapToGrid w:val="0"/>
              <w:spacing w:line="360" w:lineRule="auto"/>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总磷（mg/L）</w:t>
            </w:r>
          </w:p>
        </w:tc>
        <w:tc>
          <w:tcPr>
            <w:tcW w:w="1773" w:type="dxa"/>
            <w:tcBorders>
              <w:top w:val="nil"/>
              <w:left w:val="nil"/>
              <w:bottom w:val="single" w:color="auto" w:sz="8" w:space="0"/>
              <w:right w:val="single" w:color="auto" w:sz="8" w:space="0"/>
            </w:tcBorders>
            <w:shd w:val="clear" w:color="auto" w:fill="FFFFFF"/>
            <w:tcMar>
              <w:left w:w="108" w:type="dxa"/>
              <w:right w:w="108" w:type="dxa"/>
            </w:tcMar>
            <w:vAlign w:val="center"/>
          </w:tcPr>
          <w:p w14:paraId="75CB9983">
            <w:pPr>
              <w:widowControl w:val="0"/>
              <w:adjustRightInd w:val="0"/>
              <w:snapToGrid w:val="0"/>
              <w:spacing w:line="360" w:lineRule="auto"/>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1.5</w:t>
            </w:r>
          </w:p>
        </w:tc>
        <w:tc>
          <w:tcPr>
            <w:tcW w:w="3088" w:type="dxa"/>
            <w:tcBorders>
              <w:top w:val="nil"/>
              <w:left w:val="nil"/>
              <w:bottom w:val="single" w:color="auto" w:sz="8" w:space="0"/>
              <w:right w:val="single" w:color="auto" w:sz="8" w:space="0"/>
            </w:tcBorders>
            <w:shd w:val="clear" w:color="auto" w:fill="FFFFFF"/>
            <w:tcMar>
              <w:left w:w="108" w:type="dxa"/>
              <w:right w:w="108" w:type="dxa"/>
            </w:tcMar>
            <w:vAlign w:val="center"/>
          </w:tcPr>
          <w:p w14:paraId="2C665695">
            <w:pPr>
              <w:widowControl w:val="0"/>
              <w:adjustRightInd w:val="0"/>
              <w:snapToGrid w:val="0"/>
              <w:spacing w:line="360" w:lineRule="auto"/>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常规污水处理设施排放口</w:t>
            </w:r>
          </w:p>
        </w:tc>
      </w:tr>
      <w:tr w14:paraId="0E36931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1" w:hRule="atLeast"/>
          <w:jc w:val="center"/>
        </w:trPr>
        <w:tc>
          <w:tcPr>
            <w:tcW w:w="92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A9FC3C2">
            <w:pPr>
              <w:widowControl w:val="0"/>
              <w:adjustRightInd w:val="0"/>
              <w:snapToGrid w:val="0"/>
              <w:spacing w:line="360" w:lineRule="auto"/>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8</w:t>
            </w:r>
          </w:p>
        </w:tc>
        <w:tc>
          <w:tcPr>
            <w:tcW w:w="3273" w:type="dxa"/>
            <w:tcBorders>
              <w:top w:val="nil"/>
              <w:left w:val="nil"/>
              <w:bottom w:val="single" w:color="auto" w:sz="8" w:space="0"/>
              <w:right w:val="single" w:color="auto" w:sz="8" w:space="0"/>
            </w:tcBorders>
            <w:shd w:val="clear" w:color="auto" w:fill="FFFFFF"/>
            <w:tcMar>
              <w:left w:w="108" w:type="dxa"/>
              <w:right w:w="108" w:type="dxa"/>
            </w:tcMar>
            <w:vAlign w:val="center"/>
          </w:tcPr>
          <w:p w14:paraId="00EFFAF8">
            <w:pPr>
              <w:widowControl w:val="0"/>
              <w:adjustRightInd w:val="0"/>
              <w:snapToGrid w:val="0"/>
              <w:spacing w:line="360" w:lineRule="auto"/>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粪大肠菌群数（个/L）</w:t>
            </w:r>
          </w:p>
        </w:tc>
        <w:tc>
          <w:tcPr>
            <w:tcW w:w="1773" w:type="dxa"/>
            <w:tcBorders>
              <w:top w:val="nil"/>
              <w:left w:val="nil"/>
              <w:bottom w:val="single" w:color="auto" w:sz="8" w:space="0"/>
              <w:right w:val="single" w:color="auto" w:sz="8" w:space="0"/>
            </w:tcBorders>
            <w:shd w:val="clear" w:color="auto" w:fill="FFFFFF"/>
            <w:tcMar>
              <w:left w:w="108" w:type="dxa"/>
              <w:right w:w="108" w:type="dxa"/>
            </w:tcMar>
            <w:vAlign w:val="center"/>
          </w:tcPr>
          <w:p w14:paraId="66273432">
            <w:pPr>
              <w:widowControl w:val="0"/>
              <w:adjustRightInd w:val="0"/>
              <w:snapToGrid w:val="0"/>
              <w:spacing w:line="360" w:lineRule="auto"/>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10000</w:t>
            </w:r>
          </w:p>
        </w:tc>
        <w:tc>
          <w:tcPr>
            <w:tcW w:w="3088" w:type="dxa"/>
            <w:tcBorders>
              <w:top w:val="nil"/>
              <w:left w:val="nil"/>
              <w:bottom w:val="single" w:color="auto" w:sz="8" w:space="0"/>
              <w:right w:val="single" w:color="auto" w:sz="8" w:space="0"/>
            </w:tcBorders>
            <w:shd w:val="clear" w:color="auto" w:fill="FFFFFF"/>
            <w:tcMar>
              <w:left w:w="108" w:type="dxa"/>
              <w:right w:w="108" w:type="dxa"/>
            </w:tcMar>
            <w:vAlign w:val="center"/>
          </w:tcPr>
          <w:p w14:paraId="57D3A276">
            <w:pPr>
              <w:widowControl w:val="0"/>
              <w:adjustRightInd w:val="0"/>
              <w:snapToGrid w:val="0"/>
              <w:spacing w:line="360" w:lineRule="auto"/>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常规污水处理设施排放口</w:t>
            </w:r>
          </w:p>
        </w:tc>
      </w:tr>
      <w:tr w14:paraId="56AEFFC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1" w:hRule="atLeast"/>
          <w:jc w:val="center"/>
        </w:trPr>
        <w:tc>
          <w:tcPr>
            <w:tcW w:w="92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965C1C0">
            <w:pPr>
              <w:widowControl w:val="0"/>
              <w:adjustRightInd w:val="0"/>
              <w:snapToGrid w:val="0"/>
              <w:spacing w:line="360" w:lineRule="auto"/>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9</w:t>
            </w:r>
          </w:p>
        </w:tc>
        <w:tc>
          <w:tcPr>
            <w:tcW w:w="3273" w:type="dxa"/>
            <w:tcBorders>
              <w:top w:val="nil"/>
              <w:left w:val="nil"/>
              <w:bottom w:val="single" w:color="auto" w:sz="8" w:space="0"/>
              <w:right w:val="single" w:color="auto" w:sz="8" w:space="0"/>
            </w:tcBorders>
            <w:shd w:val="clear" w:color="auto" w:fill="FFFFFF"/>
            <w:tcMar>
              <w:left w:w="108" w:type="dxa"/>
              <w:right w:w="108" w:type="dxa"/>
            </w:tcMar>
            <w:vAlign w:val="center"/>
          </w:tcPr>
          <w:p w14:paraId="3276317E">
            <w:pPr>
              <w:widowControl w:val="0"/>
              <w:adjustRightInd w:val="0"/>
              <w:snapToGrid w:val="0"/>
              <w:spacing w:line="360" w:lineRule="auto"/>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总汞（mg/L）</w:t>
            </w:r>
          </w:p>
        </w:tc>
        <w:tc>
          <w:tcPr>
            <w:tcW w:w="1773" w:type="dxa"/>
            <w:tcBorders>
              <w:top w:val="nil"/>
              <w:left w:val="nil"/>
              <w:bottom w:val="single" w:color="auto" w:sz="8" w:space="0"/>
              <w:right w:val="single" w:color="auto" w:sz="8" w:space="0"/>
            </w:tcBorders>
            <w:shd w:val="clear" w:color="auto" w:fill="FFFFFF"/>
            <w:tcMar>
              <w:left w:w="108" w:type="dxa"/>
              <w:right w:w="108" w:type="dxa"/>
            </w:tcMar>
            <w:vAlign w:val="center"/>
          </w:tcPr>
          <w:p w14:paraId="79AE9DE8">
            <w:pPr>
              <w:widowControl w:val="0"/>
              <w:adjustRightInd w:val="0"/>
              <w:snapToGrid w:val="0"/>
              <w:spacing w:line="360" w:lineRule="auto"/>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0.001</w:t>
            </w:r>
          </w:p>
        </w:tc>
        <w:tc>
          <w:tcPr>
            <w:tcW w:w="3088" w:type="dxa"/>
            <w:tcBorders>
              <w:top w:val="nil"/>
              <w:left w:val="nil"/>
              <w:bottom w:val="single" w:color="auto" w:sz="8" w:space="0"/>
              <w:right w:val="single" w:color="auto" w:sz="8" w:space="0"/>
            </w:tcBorders>
            <w:shd w:val="clear" w:color="auto" w:fill="FFFFFF"/>
            <w:tcMar>
              <w:left w:w="108" w:type="dxa"/>
              <w:right w:w="108" w:type="dxa"/>
            </w:tcMar>
            <w:vAlign w:val="center"/>
          </w:tcPr>
          <w:p w14:paraId="1E349239">
            <w:pPr>
              <w:widowControl w:val="0"/>
              <w:adjustRightInd w:val="0"/>
              <w:snapToGrid w:val="0"/>
              <w:spacing w:line="360" w:lineRule="auto"/>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常规污水处理设施排放口</w:t>
            </w:r>
          </w:p>
        </w:tc>
      </w:tr>
      <w:tr w14:paraId="62AD432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1" w:hRule="atLeast"/>
          <w:jc w:val="center"/>
        </w:trPr>
        <w:tc>
          <w:tcPr>
            <w:tcW w:w="92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B8F3AFA">
            <w:pPr>
              <w:widowControl w:val="0"/>
              <w:adjustRightInd w:val="0"/>
              <w:snapToGrid w:val="0"/>
              <w:spacing w:line="360" w:lineRule="auto"/>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10</w:t>
            </w:r>
          </w:p>
        </w:tc>
        <w:tc>
          <w:tcPr>
            <w:tcW w:w="3273" w:type="dxa"/>
            <w:tcBorders>
              <w:top w:val="nil"/>
              <w:left w:val="nil"/>
              <w:bottom w:val="single" w:color="auto" w:sz="8" w:space="0"/>
              <w:right w:val="single" w:color="auto" w:sz="8" w:space="0"/>
            </w:tcBorders>
            <w:shd w:val="clear" w:color="auto" w:fill="FFFFFF"/>
            <w:tcMar>
              <w:left w:w="108" w:type="dxa"/>
              <w:right w:w="108" w:type="dxa"/>
            </w:tcMar>
            <w:vAlign w:val="center"/>
          </w:tcPr>
          <w:p w14:paraId="3A32771D">
            <w:pPr>
              <w:widowControl w:val="0"/>
              <w:adjustRightInd w:val="0"/>
              <w:snapToGrid w:val="0"/>
              <w:spacing w:line="360" w:lineRule="auto"/>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总镉（mg/L）</w:t>
            </w:r>
          </w:p>
        </w:tc>
        <w:tc>
          <w:tcPr>
            <w:tcW w:w="1773" w:type="dxa"/>
            <w:tcBorders>
              <w:top w:val="nil"/>
              <w:left w:val="nil"/>
              <w:bottom w:val="single" w:color="auto" w:sz="8" w:space="0"/>
              <w:right w:val="single" w:color="auto" w:sz="8" w:space="0"/>
            </w:tcBorders>
            <w:shd w:val="clear" w:color="auto" w:fill="FFFFFF"/>
            <w:tcMar>
              <w:left w:w="108" w:type="dxa"/>
              <w:right w:w="108" w:type="dxa"/>
            </w:tcMar>
            <w:vAlign w:val="center"/>
          </w:tcPr>
          <w:p w14:paraId="347F4B2B">
            <w:pPr>
              <w:widowControl w:val="0"/>
              <w:adjustRightInd w:val="0"/>
              <w:snapToGrid w:val="0"/>
              <w:spacing w:line="360" w:lineRule="auto"/>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0.01</w:t>
            </w:r>
          </w:p>
        </w:tc>
        <w:tc>
          <w:tcPr>
            <w:tcW w:w="3088" w:type="dxa"/>
            <w:tcBorders>
              <w:top w:val="nil"/>
              <w:left w:val="nil"/>
              <w:bottom w:val="single" w:color="auto" w:sz="8" w:space="0"/>
              <w:right w:val="single" w:color="auto" w:sz="8" w:space="0"/>
            </w:tcBorders>
            <w:shd w:val="clear" w:color="auto" w:fill="FFFFFF"/>
            <w:tcMar>
              <w:left w:w="108" w:type="dxa"/>
              <w:right w:w="108" w:type="dxa"/>
            </w:tcMar>
            <w:vAlign w:val="center"/>
          </w:tcPr>
          <w:p w14:paraId="22277535">
            <w:pPr>
              <w:widowControl w:val="0"/>
              <w:adjustRightInd w:val="0"/>
              <w:snapToGrid w:val="0"/>
              <w:spacing w:line="360" w:lineRule="auto"/>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常规污水处理设施排放口</w:t>
            </w:r>
          </w:p>
        </w:tc>
      </w:tr>
      <w:tr w14:paraId="2F2DF79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1" w:hRule="atLeast"/>
          <w:jc w:val="center"/>
        </w:trPr>
        <w:tc>
          <w:tcPr>
            <w:tcW w:w="92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E733F64">
            <w:pPr>
              <w:widowControl w:val="0"/>
              <w:adjustRightInd w:val="0"/>
              <w:snapToGrid w:val="0"/>
              <w:spacing w:line="360" w:lineRule="auto"/>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11</w:t>
            </w:r>
          </w:p>
        </w:tc>
        <w:tc>
          <w:tcPr>
            <w:tcW w:w="3273" w:type="dxa"/>
            <w:tcBorders>
              <w:top w:val="nil"/>
              <w:left w:val="nil"/>
              <w:bottom w:val="single" w:color="auto" w:sz="8" w:space="0"/>
              <w:right w:val="single" w:color="auto" w:sz="8" w:space="0"/>
            </w:tcBorders>
            <w:shd w:val="clear" w:color="auto" w:fill="FFFFFF"/>
            <w:tcMar>
              <w:left w:w="108" w:type="dxa"/>
              <w:right w:w="108" w:type="dxa"/>
            </w:tcMar>
            <w:vAlign w:val="center"/>
          </w:tcPr>
          <w:p w14:paraId="19EEB0D1">
            <w:pPr>
              <w:widowControl w:val="0"/>
              <w:adjustRightInd w:val="0"/>
              <w:snapToGrid w:val="0"/>
              <w:spacing w:line="360" w:lineRule="auto"/>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总铬（mg/L）</w:t>
            </w:r>
          </w:p>
        </w:tc>
        <w:tc>
          <w:tcPr>
            <w:tcW w:w="1773" w:type="dxa"/>
            <w:tcBorders>
              <w:top w:val="nil"/>
              <w:left w:val="nil"/>
              <w:bottom w:val="single" w:color="auto" w:sz="8" w:space="0"/>
              <w:right w:val="single" w:color="auto" w:sz="8" w:space="0"/>
            </w:tcBorders>
            <w:shd w:val="clear" w:color="auto" w:fill="FFFFFF"/>
            <w:tcMar>
              <w:left w:w="108" w:type="dxa"/>
              <w:right w:w="108" w:type="dxa"/>
            </w:tcMar>
            <w:vAlign w:val="center"/>
          </w:tcPr>
          <w:p w14:paraId="5C77D5B4">
            <w:pPr>
              <w:widowControl w:val="0"/>
              <w:adjustRightInd w:val="0"/>
              <w:snapToGrid w:val="0"/>
              <w:spacing w:line="360" w:lineRule="auto"/>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0.1</w:t>
            </w:r>
          </w:p>
        </w:tc>
        <w:tc>
          <w:tcPr>
            <w:tcW w:w="3088" w:type="dxa"/>
            <w:tcBorders>
              <w:top w:val="nil"/>
              <w:left w:val="nil"/>
              <w:bottom w:val="single" w:color="auto" w:sz="8" w:space="0"/>
              <w:right w:val="single" w:color="auto" w:sz="8" w:space="0"/>
            </w:tcBorders>
            <w:shd w:val="clear" w:color="auto" w:fill="FFFFFF"/>
            <w:tcMar>
              <w:left w:w="108" w:type="dxa"/>
              <w:right w:w="108" w:type="dxa"/>
            </w:tcMar>
            <w:vAlign w:val="center"/>
          </w:tcPr>
          <w:p w14:paraId="2C6074FC">
            <w:pPr>
              <w:widowControl w:val="0"/>
              <w:adjustRightInd w:val="0"/>
              <w:snapToGrid w:val="0"/>
              <w:spacing w:line="360" w:lineRule="auto"/>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常规污水处理设施排放口</w:t>
            </w:r>
          </w:p>
        </w:tc>
      </w:tr>
      <w:tr w14:paraId="757EADC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1" w:hRule="atLeast"/>
          <w:jc w:val="center"/>
        </w:trPr>
        <w:tc>
          <w:tcPr>
            <w:tcW w:w="92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F9D052B">
            <w:pPr>
              <w:widowControl w:val="0"/>
              <w:adjustRightInd w:val="0"/>
              <w:snapToGrid w:val="0"/>
              <w:spacing w:line="360" w:lineRule="auto"/>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12</w:t>
            </w:r>
          </w:p>
        </w:tc>
        <w:tc>
          <w:tcPr>
            <w:tcW w:w="3273" w:type="dxa"/>
            <w:tcBorders>
              <w:top w:val="nil"/>
              <w:left w:val="nil"/>
              <w:bottom w:val="single" w:color="auto" w:sz="8" w:space="0"/>
              <w:right w:val="single" w:color="auto" w:sz="8" w:space="0"/>
            </w:tcBorders>
            <w:shd w:val="clear" w:color="auto" w:fill="FFFFFF"/>
            <w:tcMar>
              <w:left w:w="108" w:type="dxa"/>
              <w:right w:w="108" w:type="dxa"/>
            </w:tcMar>
            <w:vAlign w:val="center"/>
          </w:tcPr>
          <w:p w14:paraId="79958A90">
            <w:pPr>
              <w:widowControl w:val="0"/>
              <w:adjustRightInd w:val="0"/>
              <w:snapToGrid w:val="0"/>
              <w:spacing w:line="360" w:lineRule="auto"/>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六价铬（mg/L）</w:t>
            </w:r>
          </w:p>
        </w:tc>
        <w:tc>
          <w:tcPr>
            <w:tcW w:w="1773" w:type="dxa"/>
            <w:tcBorders>
              <w:top w:val="nil"/>
              <w:left w:val="nil"/>
              <w:bottom w:val="single" w:color="auto" w:sz="8" w:space="0"/>
              <w:right w:val="single" w:color="auto" w:sz="8" w:space="0"/>
            </w:tcBorders>
            <w:shd w:val="clear" w:color="auto" w:fill="FFFFFF"/>
            <w:tcMar>
              <w:left w:w="108" w:type="dxa"/>
              <w:right w:w="108" w:type="dxa"/>
            </w:tcMar>
            <w:vAlign w:val="center"/>
          </w:tcPr>
          <w:p w14:paraId="6C6D7D86">
            <w:pPr>
              <w:widowControl w:val="0"/>
              <w:adjustRightInd w:val="0"/>
              <w:snapToGrid w:val="0"/>
              <w:spacing w:line="360" w:lineRule="auto"/>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0.05</w:t>
            </w:r>
          </w:p>
        </w:tc>
        <w:tc>
          <w:tcPr>
            <w:tcW w:w="3088" w:type="dxa"/>
            <w:tcBorders>
              <w:top w:val="nil"/>
              <w:left w:val="nil"/>
              <w:bottom w:val="single" w:color="auto" w:sz="8" w:space="0"/>
              <w:right w:val="single" w:color="auto" w:sz="8" w:space="0"/>
            </w:tcBorders>
            <w:shd w:val="clear" w:color="auto" w:fill="FFFFFF"/>
            <w:tcMar>
              <w:left w:w="108" w:type="dxa"/>
              <w:right w:w="108" w:type="dxa"/>
            </w:tcMar>
            <w:vAlign w:val="center"/>
          </w:tcPr>
          <w:p w14:paraId="40930232">
            <w:pPr>
              <w:widowControl w:val="0"/>
              <w:adjustRightInd w:val="0"/>
              <w:snapToGrid w:val="0"/>
              <w:spacing w:line="360" w:lineRule="auto"/>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常规污水处理设施排放口</w:t>
            </w:r>
          </w:p>
        </w:tc>
      </w:tr>
      <w:tr w14:paraId="61B0593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1" w:hRule="atLeast"/>
          <w:jc w:val="center"/>
        </w:trPr>
        <w:tc>
          <w:tcPr>
            <w:tcW w:w="92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B5FA341">
            <w:pPr>
              <w:widowControl w:val="0"/>
              <w:adjustRightInd w:val="0"/>
              <w:snapToGrid w:val="0"/>
              <w:spacing w:line="360" w:lineRule="auto"/>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13</w:t>
            </w:r>
          </w:p>
        </w:tc>
        <w:tc>
          <w:tcPr>
            <w:tcW w:w="3273" w:type="dxa"/>
            <w:tcBorders>
              <w:top w:val="nil"/>
              <w:left w:val="nil"/>
              <w:bottom w:val="single" w:color="auto" w:sz="8" w:space="0"/>
              <w:right w:val="single" w:color="auto" w:sz="8" w:space="0"/>
            </w:tcBorders>
            <w:shd w:val="clear" w:color="auto" w:fill="FFFFFF"/>
            <w:tcMar>
              <w:left w:w="108" w:type="dxa"/>
              <w:right w:w="108" w:type="dxa"/>
            </w:tcMar>
            <w:vAlign w:val="center"/>
          </w:tcPr>
          <w:p w14:paraId="22718A22">
            <w:pPr>
              <w:widowControl w:val="0"/>
              <w:adjustRightInd w:val="0"/>
              <w:snapToGrid w:val="0"/>
              <w:spacing w:line="360" w:lineRule="auto"/>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总砷（mg/L）</w:t>
            </w:r>
          </w:p>
        </w:tc>
        <w:tc>
          <w:tcPr>
            <w:tcW w:w="1773" w:type="dxa"/>
            <w:tcBorders>
              <w:top w:val="nil"/>
              <w:left w:val="nil"/>
              <w:bottom w:val="single" w:color="auto" w:sz="8" w:space="0"/>
              <w:right w:val="single" w:color="auto" w:sz="8" w:space="0"/>
            </w:tcBorders>
            <w:shd w:val="clear" w:color="auto" w:fill="FFFFFF"/>
            <w:tcMar>
              <w:left w:w="108" w:type="dxa"/>
              <w:right w:w="108" w:type="dxa"/>
            </w:tcMar>
            <w:vAlign w:val="center"/>
          </w:tcPr>
          <w:p w14:paraId="5EC53764">
            <w:pPr>
              <w:widowControl w:val="0"/>
              <w:adjustRightInd w:val="0"/>
              <w:snapToGrid w:val="0"/>
              <w:spacing w:line="360" w:lineRule="auto"/>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0.1</w:t>
            </w:r>
          </w:p>
        </w:tc>
        <w:tc>
          <w:tcPr>
            <w:tcW w:w="3088" w:type="dxa"/>
            <w:tcBorders>
              <w:top w:val="nil"/>
              <w:left w:val="nil"/>
              <w:bottom w:val="single" w:color="auto" w:sz="8" w:space="0"/>
              <w:right w:val="single" w:color="auto" w:sz="8" w:space="0"/>
            </w:tcBorders>
            <w:shd w:val="clear" w:color="auto" w:fill="FFFFFF"/>
            <w:tcMar>
              <w:left w:w="108" w:type="dxa"/>
              <w:right w:w="108" w:type="dxa"/>
            </w:tcMar>
            <w:vAlign w:val="center"/>
          </w:tcPr>
          <w:p w14:paraId="264B30E2">
            <w:pPr>
              <w:widowControl w:val="0"/>
              <w:adjustRightInd w:val="0"/>
              <w:snapToGrid w:val="0"/>
              <w:spacing w:line="360" w:lineRule="auto"/>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常规污水处理设施排放口</w:t>
            </w:r>
          </w:p>
        </w:tc>
      </w:tr>
      <w:tr w14:paraId="4564ACC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92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F3033EA">
            <w:pPr>
              <w:widowControl w:val="0"/>
              <w:adjustRightInd w:val="0"/>
              <w:snapToGrid w:val="0"/>
              <w:spacing w:line="360" w:lineRule="auto"/>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14</w:t>
            </w:r>
          </w:p>
        </w:tc>
        <w:tc>
          <w:tcPr>
            <w:tcW w:w="3273" w:type="dxa"/>
            <w:tcBorders>
              <w:top w:val="nil"/>
              <w:left w:val="nil"/>
              <w:bottom w:val="single" w:color="auto" w:sz="8" w:space="0"/>
              <w:right w:val="single" w:color="auto" w:sz="8" w:space="0"/>
            </w:tcBorders>
            <w:shd w:val="clear" w:color="auto" w:fill="FFFFFF"/>
            <w:tcMar>
              <w:left w:w="108" w:type="dxa"/>
              <w:right w:w="108" w:type="dxa"/>
            </w:tcMar>
            <w:vAlign w:val="center"/>
          </w:tcPr>
          <w:p w14:paraId="6B0BCB17">
            <w:pPr>
              <w:widowControl w:val="0"/>
              <w:adjustRightInd w:val="0"/>
              <w:snapToGrid w:val="0"/>
              <w:spacing w:line="360" w:lineRule="auto"/>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总铅（mg/L）</w:t>
            </w:r>
          </w:p>
        </w:tc>
        <w:tc>
          <w:tcPr>
            <w:tcW w:w="1773" w:type="dxa"/>
            <w:tcBorders>
              <w:top w:val="nil"/>
              <w:left w:val="nil"/>
              <w:bottom w:val="single" w:color="auto" w:sz="8" w:space="0"/>
              <w:right w:val="single" w:color="auto" w:sz="8" w:space="0"/>
            </w:tcBorders>
            <w:shd w:val="clear" w:color="auto" w:fill="FFFFFF"/>
            <w:tcMar>
              <w:left w:w="108" w:type="dxa"/>
              <w:right w:w="108" w:type="dxa"/>
            </w:tcMar>
            <w:vAlign w:val="center"/>
          </w:tcPr>
          <w:p w14:paraId="0745D076">
            <w:pPr>
              <w:widowControl w:val="0"/>
              <w:adjustRightInd w:val="0"/>
              <w:snapToGrid w:val="0"/>
              <w:spacing w:line="360" w:lineRule="auto"/>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0.1</w:t>
            </w:r>
          </w:p>
        </w:tc>
        <w:tc>
          <w:tcPr>
            <w:tcW w:w="3088" w:type="dxa"/>
            <w:tcBorders>
              <w:top w:val="nil"/>
              <w:left w:val="nil"/>
              <w:bottom w:val="single" w:color="auto" w:sz="8" w:space="0"/>
              <w:right w:val="single" w:color="auto" w:sz="8" w:space="0"/>
            </w:tcBorders>
            <w:shd w:val="clear" w:color="auto" w:fill="FFFFFF"/>
            <w:tcMar>
              <w:left w:w="108" w:type="dxa"/>
              <w:right w:w="108" w:type="dxa"/>
            </w:tcMar>
            <w:vAlign w:val="center"/>
          </w:tcPr>
          <w:p w14:paraId="33863564">
            <w:pPr>
              <w:widowControl w:val="0"/>
              <w:adjustRightInd w:val="0"/>
              <w:snapToGrid w:val="0"/>
              <w:spacing w:line="360" w:lineRule="auto"/>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常规污水处理设施排放口</w:t>
            </w:r>
          </w:p>
        </w:tc>
      </w:tr>
    </w:tbl>
    <w:p w14:paraId="0458EC81">
      <w:pPr>
        <w:keepNext/>
        <w:keepLines/>
        <w:widowControl w:val="0"/>
        <w:spacing w:before="156" w:beforeLines="50" w:after="156" w:afterLines="50" w:line="360" w:lineRule="auto"/>
        <w:jc w:val="both"/>
        <w:outlineLvl w:val="1"/>
        <w:rPr>
          <w:rFonts w:hint="eastAsia" w:asciiTheme="minorEastAsia" w:hAnsiTheme="minorEastAsia" w:eastAsiaTheme="minorEastAsia" w:cstheme="minorEastAsia"/>
          <w:b/>
          <w:bCs/>
          <w:color w:val="auto"/>
          <w:kern w:val="0"/>
          <w:sz w:val="24"/>
          <w:szCs w:val="24"/>
          <w:highlight w:val="none"/>
          <w:lang w:val="en-US" w:eastAsia="zh-CN" w:bidi="ar-SA"/>
        </w:rPr>
      </w:pPr>
      <w:r>
        <w:rPr>
          <w:rFonts w:hint="eastAsia" w:asciiTheme="minorEastAsia" w:hAnsiTheme="minorEastAsia" w:eastAsiaTheme="minorEastAsia" w:cstheme="minorEastAsia"/>
          <w:b/>
          <w:bCs/>
          <w:color w:val="FF0000"/>
          <w:kern w:val="0"/>
          <w:sz w:val="24"/>
          <w:szCs w:val="24"/>
          <w:highlight w:val="none"/>
          <w:lang w:val="en-US" w:eastAsia="zh-CN" w:bidi="ar-SA"/>
        </w:rPr>
        <w:t xml:space="preserve"> </w:t>
      </w:r>
      <w:r>
        <w:rPr>
          <w:rFonts w:hint="eastAsia" w:asciiTheme="minorEastAsia" w:hAnsiTheme="minorEastAsia" w:eastAsiaTheme="minorEastAsia" w:cstheme="minorEastAsia"/>
          <w:b/>
          <w:bCs/>
          <w:color w:val="auto"/>
          <w:kern w:val="0"/>
          <w:sz w:val="24"/>
          <w:szCs w:val="24"/>
          <w:highlight w:val="none"/>
          <w:lang w:val="en-US" w:eastAsia="zh-CN" w:bidi="ar-SA"/>
        </w:rPr>
        <w:t xml:space="preserve"> 3.预估骆驼山、潘塘垃圾中转站污水处理水量</w:t>
      </w:r>
      <w:bookmarkEnd w:id="10"/>
      <w:bookmarkEnd w:id="11"/>
      <w:bookmarkEnd w:id="12"/>
      <w:bookmarkEnd w:id="13"/>
      <w:bookmarkEnd w:id="14"/>
      <w:bookmarkEnd w:id="15"/>
    </w:p>
    <w:p w14:paraId="6B34F57D">
      <w:pPr>
        <w:widowControl w:val="0"/>
        <w:adjustRightInd/>
        <w:spacing w:line="360" w:lineRule="auto"/>
        <w:ind w:firstLine="480" w:firstLineChars="200"/>
        <w:jc w:val="both"/>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预估的污水处理水量是以上一年度两垃圾转运站实际垃圾量和污水处理量等数据为依据进行合理分析而得出的，具体预估水量如下：</w:t>
      </w:r>
    </w:p>
    <w:p w14:paraId="7F3A44C2">
      <w:pPr>
        <w:widowControl w:val="0"/>
        <w:adjustRightInd/>
        <w:spacing w:line="360" w:lineRule="auto"/>
        <w:ind w:firstLine="480" w:firstLineChars="200"/>
        <w:jc w:val="both"/>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（1）骆驼山垃圾转运站污水处理项目根据不同季节垃圾含水量的不同，具体污水水处理量如下：夏季垃圾含水量最大，冲洗污水也最多，全天污水处理量按60 立方/天计算人工费用、药剂费用、检测费用及维保费用等运行费用。冬季水量最小，全天污水处理量按20立方/天计算人工费用、药剂费用、检测费用及维保费用等运行费用。春秋季水量较为平均，全天污水处理量按40立方/天计算人工费用、药剂费用、检测费用及维保费用等运行费用。</w:t>
      </w:r>
    </w:p>
    <w:p w14:paraId="20921C64">
      <w:pPr>
        <w:widowControl w:val="0"/>
        <w:adjustRightInd/>
        <w:spacing w:line="360" w:lineRule="auto"/>
        <w:ind w:firstLine="480" w:firstLineChars="200"/>
        <w:jc w:val="both"/>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（2）潘塘垃圾转运站污水处理项目根据不同季节垃圾含水量的不同，具体污水水处理量如下：夏季垃圾含水量最大，冲洗污水也最多，全天污水处理量按10 立方/天计算人工费用、药剂费用、检测费用及维保费用等运行费用。冬季水量最小，全天污水处理量按3 立方/天计算人工费用、药剂费用、检测费用及维保费用等运行费用。春秋季水量较为平均，全天污水处理量按6立方/天计算人工费用、药剂费用、检测费用及维保费用等运行费用。</w:t>
      </w:r>
    </w:p>
    <w:p w14:paraId="191CF075">
      <w:pPr>
        <w:keepNext/>
        <w:keepLines/>
        <w:widowControl w:val="0"/>
        <w:spacing w:before="156" w:beforeLines="50" w:after="156" w:afterLines="50" w:line="360" w:lineRule="auto"/>
        <w:jc w:val="both"/>
        <w:outlineLvl w:val="1"/>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 xml:space="preserve"> </w:t>
      </w:r>
      <w:r>
        <w:rPr>
          <w:rFonts w:hint="eastAsia" w:asciiTheme="minorEastAsia" w:hAnsiTheme="minorEastAsia" w:eastAsiaTheme="minorEastAsia" w:cstheme="minorEastAsia"/>
          <w:b/>
          <w:bCs/>
          <w:color w:val="auto"/>
          <w:kern w:val="0"/>
          <w:sz w:val="24"/>
          <w:szCs w:val="24"/>
          <w:highlight w:val="none"/>
          <w:lang w:val="en-US" w:eastAsia="zh-CN" w:bidi="ar-SA"/>
        </w:rPr>
        <w:t xml:space="preserve">   4.运维主要工作及要求</w:t>
      </w:r>
    </w:p>
    <w:p w14:paraId="05BDD697">
      <w:pPr>
        <w:widowControl w:val="0"/>
        <w:spacing w:line="360" w:lineRule="auto"/>
        <w:ind w:firstLine="482" w:firstLineChars="200"/>
        <w:jc w:val="both"/>
        <w:rPr>
          <w:rFonts w:hint="eastAsia" w:asciiTheme="minorEastAsia" w:hAnsiTheme="minorEastAsia" w:eastAsiaTheme="minorEastAsia" w:cstheme="minorEastAsia"/>
          <w:b/>
          <w:bCs/>
          <w:color w:val="auto"/>
          <w:kern w:val="0"/>
          <w:sz w:val="24"/>
          <w:szCs w:val="24"/>
          <w:highlight w:val="none"/>
          <w:lang w:val="en-US" w:eastAsia="zh-CN" w:bidi="ar-SA"/>
        </w:rPr>
      </w:pPr>
      <w:r>
        <w:rPr>
          <w:rFonts w:hint="eastAsia" w:asciiTheme="minorEastAsia" w:hAnsiTheme="minorEastAsia" w:eastAsiaTheme="minorEastAsia" w:cstheme="minorEastAsia"/>
          <w:b/>
          <w:bCs/>
          <w:color w:val="auto"/>
          <w:kern w:val="0"/>
          <w:sz w:val="24"/>
          <w:szCs w:val="24"/>
          <w:highlight w:val="none"/>
          <w:lang w:val="en-US" w:eastAsia="zh-CN" w:bidi="ar-SA"/>
        </w:rPr>
        <w:t>4.1 运维主要工作</w:t>
      </w:r>
    </w:p>
    <w:p w14:paraId="7E27136A">
      <w:pPr>
        <w:widowControl w:val="0"/>
        <w:spacing w:line="360" w:lineRule="auto"/>
        <w:ind w:firstLine="482"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b/>
          <w:bCs/>
          <w:color w:val="auto"/>
          <w:kern w:val="0"/>
          <w:sz w:val="24"/>
          <w:szCs w:val="24"/>
          <w:highlight w:val="none"/>
          <w:lang w:val="en-US" w:eastAsia="zh-CN" w:bidi="ar-SA"/>
        </w:rPr>
        <w:t>（1）</w:t>
      </w:r>
      <w:r>
        <w:rPr>
          <w:rFonts w:hint="eastAsia" w:asciiTheme="minorEastAsia" w:hAnsiTheme="minorEastAsia" w:eastAsiaTheme="minorEastAsia" w:cstheme="minorEastAsia"/>
          <w:color w:val="auto"/>
          <w:kern w:val="0"/>
          <w:sz w:val="24"/>
          <w:szCs w:val="24"/>
          <w:highlight w:val="none"/>
          <w:lang w:val="en-US" w:eastAsia="zh-CN" w:bidi="ar-SA"/>
        </w:rPr>
        <w:t>工作范围包括从污水收集池到污水排放口或清水收集池整个污水处理系统的运行及维修保养工作，污水处理系统配套的除臭系统的运行及维修保养工作，以及污水处理系统运行现场的安全、环境卫生、人员等管理工作。必须保证处理后的污水水质达标</w:t>
      </w:r>
      <w:bookmarkStart w:id="16" w:name="_Hlk91323734"/>
      <w:r>
        <w:rPr>
          <w:rFonts w:hint="eastAsia" w:asciiTheme="minorEastAsia" w:hAnsiTheme="minorEastAsia" w:eastAsiaTheme="minorEastAsia" w:cstheme="minorEastAsia"/>
          <w:color w:val="auto"/>
          <w:kern w:val="0"/>
          <w:sz w:val="24"/>
          <w:szCs w:val="24"/>
          <w:highlight w:val="none"/>
          <w:lang w:val="en-US" w:eastAsia="zh-CN" w:bidi="ar-SA"/>
        </w:rPr>
        <w:t>排放，不得偷排污水。保证每天运行记录真实、规范。</w:t>
      </w:r>
      <w:bookmarkEnd w:id="16"/>
      <w:r>
        <w:rPr>
          <w:rFonts w:hint="eastAsia" w:asciiTheme="minorEastAsia" w:hAnsiTheme="minorEastAsia" w:eastAsiaTheme="minorEastAsia" w:cstheme="minorEastAsia"/>
          <w:color w:val="auto"/>
          <w:kern w:val="0"/>
          <w:sz w:val="24"/>
          <w:szCs w:val="24"/>
          <w:highlight w:val="none"/>
          <w:lang w:val="en-US" w:eastAsia="zh-CN" w:bidi="ar-SA"/>
        </w:rPr>
        <w:t>保证处理后的污水水质自检每周不低于三次，第三方检测每月一次。除臭系统排放每年进行两次第三方检测。潘塘垃圾转运站污水经</w:t>
      </w:r>
      <w:r>
        <w:rPr>
          <w:rFonts w:hint="eastAsia" w:asciiTheme="minorEastAsia" w:hAnsiTheme="minorEastAsia" w:eastAsiaTheme="minorEastAsia" w:cstheme="minorEastAsia"/>
          <w:bCs/>
          <w:color w:val="auto"/>
          <w:kern w:val="0"/>
          <w:sz w:val="24"/>
          <w:szCs w:val="24"/>
          <w:highlight w:val="none"/>
          <w:lang w:val="en-US" w:eastAsia="zh-CN" w:bidi="ar-SA"/>
        </w:rPr>
        <w:t>DTRO多级膜工艺处理后产生的浓缩液必须全量化处理</w:t>
      </w:r>
      <w:r>
        <w:rPr>
          <w:rFonts w:hint="eastAsia" w:asciiTheme="minorEastAsia" w:hAnsiTheme="minorEastAsia" w:eastAsiaTheme="minorEastAsia" w:cstheme="minorEastAsia"/>
          <w:color w:val="auto"/>
          <w:kern w:val="0"/>
          <w:sz w:val="24"/>
          <w:szCs w:val="24"/>
          <w:highlight w:val="none"/>
          <w:lang w:val="en-US" w:eastAsia="zh-CN" w:bidi="ar-SA"/>
        </w:rPr>
        <w:t>，</w:t>
      </w:r>
      <w:r>
        <w:rPr>
          <w:rFonts w:hint="eastAsia" w:asciiTheme="minorEastAsia" w:hAnsiTheme="minorEastAsia" w:eastAsiaTheme="minorEastAsia" w:cstheme="minorEastAsia"/>
          <w:bCs/>
          <w:color w:val="auto"/>
          <w:kern w:val="0"/>
          <w:sz w:val="24"/>
          <w:szCs w:val="24"/>
          <w:highlight w:val="none"/>
          <w:lang w:val="en-US" w:eastAsia="zh-CN" w:bidi="ar-SA"/>
        </w:rPr>
        <w:t>浓缩液</w:t>
      </w:r>
      <w:r>
        <w:rPr>
          <w:rFonts w:hint="eastAsia" w:asciiTheme="minorEastAsia" w:hAnsiTheme="minorEastAsia" w:eastAsiaTheme="minorEastAsia" w:cstheme="minorEastAsia"/>
          <w:color w:val="auto"/>
          <w:kern w:val="0"/>
          <w:sz w:val="24"/>
          <w:szCs w:val="24"/>
          <w:highlight w:val="none"/>
          <w:lang w:val="en-US" w:eastAsia="zh-CN" w:bidi="ar-SA"/>
        </w:rPr>
        <w:t>不得交给第三方处理。</w:t>
      </w:r>
    </w:p>
    <w:p w14:paraId="44658110">
      <w:pPr>
        <w:widowControl w:val="0"/>
        <w:spacing w:line="360" w:lineRule="auto"/>
        <w:ind w:firstLine="482"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b/>
          <w:bCs/>
          <w:color w:val="auto"/>
          <w:kern w:val="0"/>
          <w:sz w:val="24"/>
          <w:szCs w:val="24"/>
          <w:highlight w:val="none"/>
          <w:lang w:val="en-US" w:eastAsia="zh-CN" w:bidi="ar-SA"/>
        </w:rPr>
        <w:t>（2）</w:t>
      </w:r>
      <w:r>
        <w:rPr>
          <w:rFonts w:hint="eastAsia" w:asciiTheme="minorEastAsia" w:hAnsiTheme="minorEastAsia" w:eastAsiaTheme="minorEastAsia" w:cstheme="minorEastAsia"/>
          <w:color w:val="auto"/>
          <w:kern w:val="0"/>
          <w:sz w:val="24"/>
          <w:szCs w:val="24"/>
          <w:highlight w:val="none"/>
          <w:lang w:val="en-US" w:eastAsia="zh-CN" w:bidi="ar-SA"/>
        </w:rPr>
        <w:t>主要工作内容如下：</w:t>
      </w:r>
    </w:p>
    <w:tbl>
      <w:tblPr>
        <w:tblStyle w:val="3"/>
        <w:tblW w:w="8850"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70" w:type="dxa"/>
          <w:bottom w:w="0" w:type="dxa"/>
          <w:right w:w="70" w:type="dxa"/>
        </w:tblCellMar>
      </w:tblPr>
      <w:tblGrid>
        <w:gridCol w:w="412"/>
        <w:gridCol w:w="8438"/>
      </w:tblGrid>
      <w:tr w14:paraId="67FEF34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70" w:type="dxa"/>
            <w:bottom w:w="0" w:type="dxa"/>
            <w:right w:w="70" w:type="dxa"/>
          </w:tblCellMar>
        </w:tblPrEx>
        <w:trPr>
          <w:trHeight w:val="195" w:hRule="atLeast"/>
          <w:jc w:val="center"/>
        </w:trPr>
        <w:tc>
          <w:tcPr>
            <w:tcW w:w="8850" w:type="dxa"/>
            <w:gridSpan w:val="2"/>
            <w:shd w:val="pct10" w:color="auto" w:fill="auto"/>
          </w:tcPr>
          <w:p w14:paraId="57CFB619">
            <w:pPr>
              <w:widowControl w:val="0"/>
              <w:spacing w:line="360" w:lineRule="auto"/>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垃圾中转站污水处理站运维技术服务工作范围</w:t>
            </w:r>
          </w:p>
        </w:tc>
      </w:tr>
      <w:tr w14:paraId="5E5DA03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70" w:type="dxa"/>
            <w:bottom w:w="0" w:type="dxa"/>
            <w:right w:w="70" w:type="dxa"/>
          </w:tblCellMar>
        </w:tblPrEx>
        <w:trPr>
          <w:trHeight w:val="419" w:hRule="atLeast"/>
          <w:jc w:val="center"/>
        </w:trPr>
        <w:tc>
          <w:tcPr>
            <w:tcW w:w="8850" w:type="dxa"/>
            <w:gridSpan w:val="2"/>
            <w:shd w:val="pct10" w:color="auto" w:fill="auto"/>
          </w:tcPr>
          <w:p w14:paraId="5137BCB1">
            <w:pPr>
              <w:widowControl w:val="0"/>
              <w:spacing w:line="360" w:lineRule="auto"/>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整体工作</w:t>
            </w:r>
          </w:p>
        </w:tc>
      </w:tr>
      <w:tr w14:paraId="7EDDC2C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70" w:type="dxa"/>
            <w:bottom w:w="0" w:type="dxa"/>
            <w:right w:w="70" w:type="dxa"/>
          </w:tblCellMar>
        </w:tblPrEx>
        <w:trPr>
          <w:cantSplit/>
          <w:trHeight w:val="165" w:hRule="atLeast"/>
          <w:jc w:val="center"/>
        </w:trPr>
        <w:tc>
          <w:tcPr>
            <w:tcW w:w="412" w:type="dxa"/>
          </w:tcPr>
          <w:p w14:paraId="2D24B067">
            <w:pPr>
              <w:widowControl w:val="0"/>
              <w:spacing w:line="360" w:lineRule="auto"/>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w:t>
            </w:r>
          </w:p>
        </w:tc>
        <w:tc>
          <w:tcPr>
            <w:tcW w:w="8438" w:type="dxa"/>
          </w:tcPr>
          <w:p w14:paraId="79DACC50">
            <w:pPr>
              <w:widowControl w:val="0"/>
              <w:spacing w:line="360" w:lineRule="auto"/>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供应商需具备实验设备，完成对处理水质进行日常常规检测，并由有资质的第三方检测单位进行定期检测。</w:t>
            </w:r>
          </w:p>
        </w:tc>
      </w:tr>
      <w:tr w14:paraId="238A3A2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70" w:type="dxa"/>
            <w:bottom w:w="0" w:type="dxa"/>
            <w:right w:w="70" w:type="dxa"/>
          </w:tblCellMar>
        </w:tblPrEx>
        <w:trPr>
          <w:cantSplit/>
          <w:trHeight w:val="457" w:hRule="atLeast"/>
          <w:jc w:val="center"/>
        </w:trPr>
        <w:tc>
          <w:tcPr>
            <w:tcW w:w="412" w:type="dxa"/>
          </w:tcPr>
          <w:p w14:paraId="6452B097">
            <w:pPr>
              <w:widowControl w:val="0"/>
              <w:spacing w:line="360" w:lineRule="auto"/>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2</w:t>
            </w:r>
          </w:p>
        </w:tc>
        <w:tc>
          <w:tcPr>
            <w:tcW w:w="8438" w:type="dxa"/>
          </w:tcPr>
          <w:p w14:paraId="4F82D1F9">
            <w:pPr>
              <w:widowControl w:val="0"/>
              <w:spacing w:line="360" w:lineRule="auto"/>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整理并记录运行数据，定期形成书面报告；每月上报采购人当月运行月报一份，包括整体运行和水质、水量情况。</w:t>
            </w:r>
          </w:p>
        </w:tc>
      </w:tr>
      <w:tr w14:paraId="536054E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70" w:type="dxa"/>
            <w:bottom w:w="0" w:type="dxa"/>
            <w:right w:w="70" w:type="dxa"/>
          </w:tblCellMar>
        </w:tblPrEx>
        <w:trPr>
          <w:cantSplit/>
          <w:trHeight w:val="165" w:hRule="atLeast"/>
          <w:jc w:val="center"/>
        </w:trPr>
        <w:tc>
          <w:tcPr>
            <w:tcW w:w="412" w:type="dxa"/>
          </w:tcPr>
          <w:p w14:paraId="7E796B15">
            <w:pPr>
              <w:widowControl w:val="0"/>
              <w:spacing w:line="360" w:lineRule="auto"/>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w:t>
            </w:r>
          </w:p>
        </w:tc>
        <w:tc>
          <w:tcPr>
            <w:tcW w:w="8438" w:type="dxa"/>
          </w:tcPr>
          <w:p w14:paraId="7A8D1FAA">
            <w:pPr>
              <w:widowControl w:val="0"/>
              <w:spacing w:line="360" w:lineRule="auto"/>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根据检查结果对设备进行日常维护；处理紧急故障，保证设备正常运转。</w:t>
            </w:r>
          </w:p>
        </w:tc>
      </w:tr>
      <w:tr w14:paraId="2168F79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70" w:type="dxa"/>
            <w:bottom w:w="0" w:type="dxa"/>
            <w:right w:w="70" w:type="dxa"/>
          </w:tblCellMar>
        </w:tblPrEx>
        <w:trPr>
          <w:cantSplit/>
          <w:trHeight w:val="165" w:hRule="atLeast"/>
          <w:jc w:val="center"/>
        </w:trPr>
        <w:tc>
          <w:tcPr>
            <w:tcW w:w="412" w:type="dxa"/>
          </w:tcPr>
          <w:p w14:paraId="6F0A4876">
            <w:pPr>
              <w:widowControl w:val="0"/>
              <w:spacing w:line="360" w:lineRule="auto"/>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4</w:t>
            </w:r>
          </w:p>
        </w:tc>
        <w:tc>
          <w:tcPr>
            <w:tcW w:w="8438" w:type="dxa"/>
          </w:tcPr>
          <w:p w14:paraId="30E664EA">
            <w:pPr>
              <w:widowControl w:val="0"/>
              <w:spacing w:line="360" w:lineRule="auto"/>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定期采购运维所需各种化学药剂，负责药剂的安全保管工作。</w:t>
            </w:r>
          </w:p>
        </w:tc>
      </w:tr>
      <w:tr w14:paraId="0FDF922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70" w:type="dxa"/>
            <w:bottom w:w="0" w:type="dxa"/>
            <w:right w:w="70" w:type="dxa"/>
          </w:tblCellMar>
        </w:tblPrEx>
        <w:trPr>
          <w:cantSplit/>
          <w:trHeight w:val="165" w:hRule="atLeast"/>
          <w:jc w:val="center"/>
        </w:trPr>
        <w:tc>
          <w:tcPr>
            <w:tcW w:w="412" w:type="dxa"/>
          </w:tcPr>
          <w:p w14:paraId="76931E91">
            <w:pPr>
              <w:widowControl w:val="0"/>
              <w:spacing w:line="360" w:lineRule="auto"/>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5</w:t>
            </w:r>
          </w:p>
        </w:tc>
        <w:tc>
          <w:tcPr>
            <w:tcW w:w="8438" w:type="dxa"/>
          </w:tcPr>
          <w:p w14:paraId="0666CFCB">
            <w:pPr>
              <w:widowControl w:val="0"/>
              <w:spacing w:line="360" w:lineRule="auto"/>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运维工作区域的环境卫生，污水处理设备的正常运行。</w:t>
            </w:r>
          </w:p>
        </w:tc>
      </w:tr>
      <w:tr w14:paraId="40BF005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70" w:type="dxa"/>
            <w:bottom w:w="0" w:type="dxa"/>
            <w:right w:w="70" w:type="dxa"/>
          </w:tblCellMar>
        </w:tblPrEx>
        <w:trPr>
          <w:cantSplit/>
          <w:trHeight w:val="165" w:hRule="atLeast"/>
          <w:jc w:val="center"/>
        </w:trPr>
        <w:tc>
          <w:tcPr>
            <w:tcW w:w="412" w:type="dxa"/>
          </w:tcPr>
          <w:p w14:paraId="248E76CC">
            <w:pPr>
              <w:widowControl w:val="0"/>
              <w:spacing w:line="360" w:lineRule="auto"/>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6</w:t>
            </w:r>
          </w:p>
        </w:tc>
        <w:tc>
          <w:tcPr>
            <w:tcW w:w="8438" w:type="dxa"/>
          </w:tcPr>
          <w:p w14:paraId="706ADA7E">
            <w:pPr>
              <w:widowControl w:val="0"/>
              <w:spacing w:line="360" w:lineRule="auto"/>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配合各级部门的各项检查及考核工作。</w:t>
            </w:r>
          </w:p>
        </w:tc>
      </w:tr>
    </w:tbl>
    <w:p w14:paraId="643201A7">
      <w:pPr>
        <w:widowControl w:val="0"/>
        <w:spacing w:line="360" w:lineRule="auto"/>
        <w:ind w:firstLine="482" w:firstLineChars="200"/>
        <w:jc w:val="both"/>
        <w:rPr>
          <w:rFonts w:hint="eastAsia" w:asciiTheme="minorEastAsia" w:hAnsiTheme="minorEastAsia" w:eastAsiaTheme="minorEastAsia" w:cstheme="minorEastAsia"/>
          <w:b/>
          <w:bCs/>
          <w:color w:val="auto"/>
          <w:kern w:val="0"/>
          <w:sz w:val="24"/>
          <w:szCs w:val="24"/>
          <w:highlight w:val="none"/>
          <w:lang w:val="en-US" w:eastAsia="zh-CN" w:bidi="ar-SA"/>
        </w:rPr>
      </w:pPr>
      <w:bookmarkStart w:id="17" w:name="_Hlk96601626"/>
      <w:bookmarkStart w:id="18" w:name="_Hlk69479234"/>
    </w:p>
    <w:p w14:paraId="4664B14E">
      <w:pPr>
        <w:widowControl w:val="0"/>
        <w:spacing w:line="360" w:lineRule="auto"/>
        <w:ind w:firstLine="482" w:firstLineChars="200"/>
        <w:jc w:val="both"/>
        <w:rPr>
          <w:rFonts w:hint="eastAsia" w:asciiTheme="minorEastAsia" w:hAnsiTheme="minorEastAsia" w:eastAsiaTheme="minorEastAsia" w:cstheme="minorEastAsia"/>
          <w:b/>
          <w:bCs/>
          <w:color w:val="auto"/>
          <w:kern w:val="0"/>
          <w:sz w:val="24"/>
          <w:szCs w:val="24"/>
          <w:highlight w:val="none"/>
          <w:lang w:val="en-US" w:eastAsia="zh-CN" w:bidi="ar-SA"/>
        </w:rPr>
      </w:pPr>
      <w:r>
        <w:rPr>
          <w:rFonts w:hint="eastAsia" w:asciiTheme="minorEastAsia" w:hAnsiTheme="minorEastAsia" w:eastAsiaTheme="minorEastAsia" w:cstheme="minorEastAsia"/>
          <w:b/>
          <w:bCs/>
          <w:color w:val="auto"/>
          <w:kern w:val="0"/>
          <w:sz w:val="24"/>
          <w:szCs w:val="24"/>
          <w:highlight w:val="none"/>
          <w:lang w:val="en-US" w:eastAsia="zh-CN" w:bidi="ar-SA"/>
        </w:rPr>
        <w:t>4.2 运维工作要求</w:t>
      </w:r>
    </w:p>
    <w:p w14:paraId="1145A11B">
      <w:pPr>
        <w:widowControl w:val="0"/>
        <w:spacing w:line="360" w:lineRule="auto"/>
        <w:ind w:firstLine="482" w:firstLineChars="200"/>
        <w:jc w:val="both"/>
        <w:rPr>
          <w:rFonts w:hint="eastAsia" w:asciiTheme="minorEastAsia" w:hAnsiTheme="minorEastAsia" w:eastAsiaTheme="minorEastAsia" w:cstheme="minorEastAsia"/>
          <w:b/>
          <w:bCs/>
          <w:color w:val="auto"/>
          <w:kern w:val="0"/>
          <w:sz w:val="24"/>
          <w:szCs w:val="24"/>
          <w:highlight w:val="none"/>
          <w:lang w:val="en-US" w:eastAsia="zh-CN" w:bidi="ar-SA"/>
        </w:rPr>
      </w:pPr>
      <w:r>
        <w:rPr>
          <w:rFonts w:hint="eastAsia" w:asciiTheme="minorEastAsia" w:hAnsiTheme="minorEastAsia" w:eastAsiaTheme="minorEastAsia" w:cstheme="minorEastAsia"/>
          <w:b/>
          <w:bCs/>
          <w:color w:val="auto"/>
          <w:kern w:val="0"/>
          <w:sz w:val="24"/>
          <w:szCs w:val="24"/>
          <w:highlight w:val="none"/>
          <w:lang w:val="en-US" w:eastAsia="zh-CN" w:bidi="ar-SA"/>
        </w:rPr>
        <w:t>（1）</w:t>
      </w:r>
      <w:bookmarkEnd w:id="17"/>
      <w:r>
        <w:rPr>
          <w:rFonts w:hint="eastAsia" w:asciiTheme="minorEastAsia" w:hAnsiTheme="minorEastAsia" w:eastAsiaTheme="minorEastAsia" w:cstheme="minorEastAsia"/>
          <w:b/>
          <w:bCs/>
          <w:color w:val="auto"/>
          <w:kern w:val="0"/>
          <w:sz w:val="24"/>
          <w:szCs w:val="24"/>
          <w:highlight w:val="none"/>
          <w:lang w:val="en-US" w:eastAsia="zh-CN" w:bidi="ar-SA"/>
        </w:rPr>
        <w:t>运维服务不达标处罚</w:t>
      </w:r>
    </w:p>
    <w:p w14:paraId="4C973A81">
      <w:pPr>
        <w:widowControl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本次运维服务以季度为单位进行考核，水质是否达标作为硬性考核标准，每个季度为一个考核周期，在一个考核周期内，如未能满足排放水质达标，限期整改到位，如整改后仍无法满足出水水质达标要求，则对运维单位进行处罚，扣除本考核周期内运维费用的10%，连续两个考核周期无法满足排放水质要求的则终止合同，采购方不支付运维方任何运维服务费用，同时造成采购方的所有经济损失，由运维方承担。</w:t>
      </w:r>
    </w:p>
    <w:p w14:paraId="3BBA03C3">
      <w:pPr>
        <w:widowControl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供应商的运维服务应符合国家和当地有关法律法规规定，在运维过程中，造成环境污染和财产损失，或受到环保类行政处罚的，供应商应负担全部责任，采购人有权视情况扣除当前考核周期10%-30%的运维费用。</w:t>
      </w:r>
    </w:p>
    <w:p w14:paraId="6D662187">
      <w:pPr>
        <w:widowControl w:val="0"/>
        <w:spacing w:line="360" w:lineRule="auto"/>
        <w:ind w:firstLine="241" w:firstLineChars="100"/>
        <w:jc w:val="both"/>
        <w:rPr>
          <w:rFonts w:hint="eastAsia" w:asciiTheme="minorEastAsia" w:hAnsiTheme="minorEastAsia" w:eastAsiaTheme="minorEastAsia" w:cstheme="minorEastAsia"/>
          <w:b/>
          <w:bCs/>
          <w:color w:val="auto"/>
          <w:kern w:val="0"/>
          <w:sz w:val="24"/>
          <w:szCs w:val="24"/>
          <w:highlight w:val="none"/>
          <w:lang w:val="en-US" w:eastAsia="zh-CN" w:bidi="ar-SA"/>
        </w:rPr>
      </w:pPr>
      <w:r>
        <w:rPr>
          <w:rFonts w:hint="eastAsia" w:asciiTheme="minorEastAsia" w:hAnsiTheme="minorEastAsia" w:eastAsiaTheme="minorEastAsia" w:cstheme="minorEastAsia"/>
          <w:b/>
          <w:bCs/>
          <w:color w:val="auto"/>
          <w:kern w:val="0"/>
          <w:sz w:val="24"/>
          <w:szCs w:val="24"/>
          <w:highlight w:val="none"/>
          <w:lang w:val="en-US" w:eastAsia="zh-CN" w:bidi="ar-SA"/>
        </w:rPr>
        <w:t>（2）运维相关要求</w:t>
      </w:r>
    </w:p>
    <w:p w14:paraId="714AF5E5">
      <w:pPr>
        <w:widowControl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设备维护要求：供应商须按规定负责污水处理站内外配套的所有设备、设施的维护，及时修复、更换损坏的部件，保证系统完好。不得随意改变设施结构和功能，确保全套设备正常运行，同时有义务配合采购方对垃圾污水处理站设备进行检查。</w:t>
      </w:r>
    </w:p>
    <w:bookmarkEnd w:id="18"/>
    <w:p w14:paraId="7256ECDA">
      <w:pPr>
        <w:widowControl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运维期内，确保整体设施设备完好并正常运行，设施设备维修保养更换、主要消耗件、消耗品更换等产生的所有费用均由供应商自行承担。不可为降低运维成本而延迟或拒绝更换主要消耗件、消耗品与配件，如因以上原因导致了处理效率与处理质量降低，采购人在责令供应商更换有关配件后15天内未完成的，则采购人可委托第三方实施更换，费用由供应商承担。</w:t>
      </w:r>
    </w:p>
    <w:p w14:paraId="4AA7A57F">
      <w:pPr>
        <w:widowControl w:val="0"/>
        <w:spacing w:line="360" w:lineRule="auto"/>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 xml:space="preserve">  </w:t>
      </w:r>
      <w:r>
        <w:rPr>
          <w:rFonts w:hint="eastAsia" w:asciiTheme="minorEastAsia" w:hAnsiTheme="minorEastAsia" w:eastAsiaTheme="minorEastAsia" w:cstheme="minorEastAsia"/>
          <w:b/>
          <w:bCs/>
          <w:color w:val="auto"/>
          <w:kern w:val="0"/>
          <w:sz w:val="24"/>
          <w:szCs w:val="24"/>
          <w:highlight w:val="none"/>
          <w:lang w:val="en-US" w:eastAsia="zh-CN" w:bidi="ar-SA"/>
        </w:rPr>
        <w:t>（3）其他要求：</w:t>
      </w:r>
    </w:p>
    <w:p w14:paraId="4E2B194D">
      <w:pPr>
        <w:widowControl w:val="0"/>
        <w:numPr>
          <w:ilvl w:val="0"/>
          <w:numId w:val="0"/>
        </w:numPr>
        <w:spacing w:line="360" w:lineRule="auto"/>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 xml:space="preserve">   1、供应商负责运维期内的现场环境卫生管理，保证设备及场地的整洁卫生。</w:t>
      </w:r>
      <w:bookmarkStart w:id="19" w:name="_Toc62573435"/>
      <w:r>
        <w:rPr>
          <w:rFonts w:hint="eastAsia" w:asciiTheme="minorEastAsia" w:hAnsiTheme="minorEastAsia" w:eastAsiaTheme="minorEastAsia" w:cstheme="minorEastAsia"/>
          <w:color w:val="auto"/>
          <w:kern w:val="0"/>
          <w:sz w:val="24"/>
          <w:szCs w:val="24"/>
          <w:highlight w:val="none"/>
          <w:lang w:val="en-US" w:eastAsia="zh-CN" w:bidi="ar-SA"/>
        </w:rPr>
        <w:t xml:space="preserve">           </w:t>
      </w:r>
    </w:p>
    <w:p w14:paraId="3EC8174F">
      <w:pPr>
        <w:widowControl w:val="0"/>
        <w:numPr>
          <w:ilvl w:val="0"/>
          <w:numId w:val="0"/>
        </w:numPr>
        <w:spacing w:line="360" w:lineRule="auto"/>
        <w:jc w:val="both"/>
        <w:rPr>
          <w:rFonts w:hint="eastAsia" w:asciiTheme="minorEastAsia" w:hAnsiTheme="minorEastAsia" w:eastAsiaTheme="minorEastAsia" w:cstheme="minorEastAsia"/>
          <w:b w:val="0"/>
          <w:bCs w:val="0"/>
          <w:color w:val="auto"/>
          <w:kern w:val="0"/>
          <w:sz w:val="24"/>
          <w:szCs w:val="24"/>
          <w:lang w:val="en-US" w:eastAsia="zh-CN" w:bidi="ar-SA"/>
        </w:rPr>
      </w:pPr>
      <w:r>
        <w:rPr>
          <w:rFonts w:hint="eastAsia" w:asciiTheme="minorEastAsia" w:hAnsiTheme="minorEastAsia" w:eastAsiaTheme="minorEastAsia" w:cstheme="minorEastAsia"/>
          <w:b w:val="0"/>
          <w:bCs w:val="0"/>
          <w:color w:val="auto"/>
          <w:kern w:val="0"/>
          <w:sz w:val="24"/>
          <w:szCs w:val="24"/>
          <w:lang w:val="en-US" w:eastAsia="zh-CN" w:bidi="ar-SA"/>
        </w:rPr>
        <w:t xml:space="preserve">   2、</w:t>
      </w:r>
      <w:r>
        <w:rPr>
          <w:rFonts w:hint="eastAsia" w:asciiTheme="minorEastAsia" w:hAnsiTheme="minorEastAsia" w:eastAsiaTheme="minorEastAsia" w:cstheme="minorEastAsia"/>
          <w:b w:val="0"/>
          <w:bCs w:val="0"/>
          <w:color w:val="auto"/>
          <w:kern w:val="0"/>
          <w:sz w:val="24"/>
          <w:szCs w:val="24"/>
          <w:highlight w:val="none"/>
          <w:lang w:val="en-US" w:eastAsia="zh-CN" w:bidi="ar-SA"/>
        </w:rPr>
        <w:t>供应商必须在两个垃圾转运站污水处理设备出水口安装流量计，以便采购人每天记录污水处理量。</w:t>
      </w:r>
    </w:p>
    <w:p w14:paraId="2ED40DD8">
      <w:pPr>
        <w:widowControl w:val="0"/>
        <w:spacing w:line="360" w:lineRule="auto"/>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b/>
          <w:bCs/>
          <w:color w:val="auto"/>
          <w:kern w:val="0"/>
          <w:sz w:val="24"/>
          <w:szCs w:val="24"/>
          <w:highlight w:val="none"/>
          <w:lang w:val="en-US" w:eastAsia="zh-CN" w:bidi="ar-SA"/>
        </w:rPr>
        <w:t xml:space="preserve">  （4）运行服务期间的人员配备要求</w:t>
      </w:r>
      <w:bookmarkEnd w:id="19"/>
    </w:p>
    <w:p w14:paraId="2CBCB857">
      <w:pPr>
        <w:widowControl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供应商需至少配备日常运维管理人员6名，4名操作工搭配2名技术人员，供应商应根据运维需求合理安排人员。</w:t>
      </w:r>
    </w:p>
    <w:p w14:paraId="36D3B698">
      <w:pPr>
        <w:widowControl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服务期间如遇突发紧急情况，供应商应根据采购人需求，及时响应，无条件配合采购人处理突发紧急情况。</w:t>
      </w:r>
    </w:p>
    <w:p w14:paraId="75B34FBC">
      <w:pPr>
        <w:widowControl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工作内容包括但不限于以下内容：负责现场的协调工作；负责运维过程中的监督管理工作；负责记录每天水处理量；负责水质取样检测；对不能处理的问题及时向上级汇报。</w:t>
      </w:r>
    </w:p>
    <w:p w14:paraId="637283F4">
      <w:pPr>
        <w:widowControl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人员配备需按运维要求进行运维。供应商负责提供管理、运维人员必备的卫生防护设施和管理、运维人员的安全、技术培训。</w:t>
      </w:r>
    </w:p>
    <w:p w14:paraId="154094F9">
      <w:pPr>
        <w:widowControl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在运维期间，供应商必须对运维人员进行合理安排，保持通讯渠道畅通，设立专门应急队伍，负责运维期间突发事件的处理，确保及时到位。</w:t>
      </w:r>
    </w:p>
    <w:p w14:paraId="6509AFE9">
      <w:pPr>
        <w:widowControl w:val="0"/>
        <w:spacing w:line="360" w:lineRule="auto"/>
        <w:ind w:firstLine="482"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bookmarkStart w:id="20" w:name="_Hlk96601764"/>
      <w:bookmarkStart w:id="21" w:name="_Toc62573437"/>
      <w:r>
        <w:rPr>
          <w:rFonts w:hint="eastAsia" w:asciiTheme="minorEastAsia" w:hAnsiTheme="minorEastAsia" w:eastAsiaTheme="minorEastAsia" w:cstheme="minorEastAsia"/>
          <w:b/>
          <w:bCs/>
          <w:color w:val="auto"/>
          <w:kern w:val="0"/>
          <w:sz w:val="24"/>
          <w:szCs w:val="24"/>
          <w:highlight w:val="none"/>
          <w:lang w:val="en-US" w:eastAsia="zh-CN" w:bidi="ar-SA"/>
        </w:rPr>
        <w:t>（5）</w:t>
      </w:r>
      <w:bookmarkEnd w:id="20"/>
      <w:r>
        <w:rPr>
          <w:rFonts w:hint="eastAsia" w:asciiTheme="minorEastAsia" w:hAnsiTheme="minorEastAsia" w:eastAsiaTheme="minorEastAsia" w:cstheme="minorEastAsia"/>
          <w:b/>
          <w:bCs/>
          <w:color w:val="auto"/>
          <w:kern w:val="0"/>
          <w:sz w:val="24"/>
          <w:szCs w:val="24"/>
          <w:highlight w:val="none"/>
          <w:lang w:val="en-US" w:eastAsia="zh-CN" w:bidi="ar-SA"/>
        </w:rPr>
        <w:t>水质监测要求</w:t>
      </w:r>
      <w:bookmarkEnd w:id="21"/>
    </w:p>
    <w:p w14:paraId="46974A1A">
      <w:pPr>
        <w:widowControl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采购人有权委托有资质的第三方检测单位进行非定期抽检。经采购人及供应商双方见证，由第三方检测机构对排污口进行人工采样。同时，采购人有权委托其他管理部门和辖区内污水处理厂对供应商服务进行抽查监管。</w:t>
      </w:r>
    </w:p>
    <w:p w14:paraId="55F3323A">
      <w:pPr>
        <w:widowControl w:val="0"/>
        <w:spacing w:line="360" w:lineRule="auto"/>
        <w:ind w:firstLine="482" w:firstLineChars="200"/>
        <w:jc w:val="both"/>
        <w:rPr>
          <w:rFonts w:hint="eastAsia" w:asciiTheme="minorEastAsia" w:hAnsiTheme="minorEastAsia" w:eastAsiaTheme="minorEastAsia" w:cstheme="minorEastAsia"/>
          <w:b/>
          <w:bCs/>
          <w:color w:val="auto"/>
          <w:kern w:val="0"/>
          <w:sz w:val="24"/>
          <w:szCs w:val="24"/>
          <w:highlight w:val="none"/>
          <w:lang w:val="en-US" w:eastAsia="zh-CN" w:bidi="ar-SA"/>
        </w:rPr>
      </w:pPr>
      <w:bookmarkStart w:id="22" w:name="_Toc62573438"/>
      <w:r>
        <w:rPr>
          <w:rFonts w:hint="eastAsia" w:asciiTheme="minorEastAsia" w:hAnsiTheme="minorEastAsia" w:eastAsiaTheme="minorEastAsia" w:cstheme="minorEastAsia"/>
          <w:b/>
          <w:bCs/>
          <w:color w:val="auto"/>
          <w:kern w:val="0"/>
          <w:sz w:val="24"/>
          <w:szCs w:val="24"/>
          <w:highlight w:val="none"/>
          <w:lang w:val="en-US" w:eastAsia="zh-CN" w:bidi="ar-SA"/>
        </w:rPr>
        <w:t>（6）运行资料要求</w:t>
      </w:r>
      <w:bookmarkEnd w:id="22"/>
    </w:p>
    <w:p w14:paraId="50D80E15">
      <w:pPr>
        <w:widowControl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bookmarkStart w:id="23" w:name="_Hlk94171917"/>
      <w:r>
        <w:rPr>
          <w:rFonts w:hint="eastAsia" w:asciiTheme="minorEastAsia" w:hAnsiTheme="minorEastAsia" w:eastAsiaTheme="minorEastAsia" w:cstheme="minorEastAsia"/>
          <w:color w:val="auto"/>
          <w:kern w:val="0"/>
          <w:sz w:val="24"/>
          <w:szCs w:val="24"/>
          <w:highlight w:val="none"/>
          <w:lang w:val="en-US" w:eastAsia="zh-CN" w:bidi="ar-SA"/>
        </w:rPr>
        <w:t>供应商</w:t>
      </w:r>
      <w:bookmarkEnd w:id="23"/>
      <w:r>
        <w:rPr>
          <w:rFonts w:hint="eastAsia" w:asciiTheme="minorEastAsia" w:hAnsiTheme="minorEastAsia" w:eastAsiaTheme="minorEastAsia" w:cstheme="minorEastAsia"/>
          <w:color w:val="auto"/>
          <w:kern w:val="0"/>
          <w:sz w:val="24"/>
          <w:szCs w:val="24"/>
          <w:highlight w:val="none"/>
          <w:lang w:val="en-US" w:eastAsia="zh-CN" w:bidi="ar-SA"/>
        </w:rPr>
        <w:t>需详细记录日常运行情况，并按时向采购人通报运维情况，及时提交相关报告、数据、资料。</w:t>
      </w:r>
    </w:p>
    <w:p w14:paraId="132CB5C6">
      <w:pPr>
        <w:widowControl w:val="0"/>
        <w:spacing w:line="360" w:lineRule="auto"/>
        <w:ind w:firstLine="482" w:firstLineChars="200"/>
        <w:jc w:val="both"/>
        <w:rPr>
          <w:rFonts w:hint="eastAsia" w:asciiTheme="minorEastAsia" w:hAnsiTheme="minorEastAsia" w:eastAsiaTheme="minorEastAsia" w:cstheme="minorEastAsia"/>
          <w:b/>
          <w:bCs/>
          <w:color w:val="auto"/>
          <w:kern w:val="0"/>
          <w:sz w:val="24"/>
          <w:szCs w:val="24"/>
          <w:highlight w:val="none"/>
          <w:lang w:val="en-US" w:eastAsia="zh-CN" w:bidi="ar-SA"/>
        </w:rPr>
      </w:pPr>
      <w:bookmarkStart w:id="24" w:name="_Toc62573439"/>
      <w:r>
        <w:rPr>
          <w:rFonts w:hint="eastAsia" w:asciiTheme="minorEastAsia" w:hAnsiTheme="minorEastAsia" w:eastAsiaTheme="minorEastAsia" w:cstheme="minorEastAsia"/>
          <w:b/>
          <w:bCs/>
          <w:color w:val="auto"/>
          <w:kern w:val="0"/>
          <w:sz w:val="24"/>
          <w:szCs w:val="24"/>
          <w:highlight w:val="none"/>
          <w:lang w:val="en-US" w:eastAsia="zh-CN" w:bidi="ar-SA"/>
        </w:rPr>
        <w:t>（7）建章立制要求</w:t>
      </w:r>
      <w:bookmarkEnd w:id="24"/>
    </w:p>
    <w:p w14:paraId="796C80C0">
      <w:pPr>
        <w:widowControl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供应商应建立完善日常管理制度、安全生产制度和事故紧急应急机制等，并报采购人审核。</w:t>
      </w:r>
    </w:p>
    <w:p w14:paraId="15E9F689">
      <w:pPr>
        <w:widowControl w:val="0"/>
        <w:spacing w:line="360" w:lineRule="auto"/>
        <w:ind w:firstLine="482"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bookmarkStart w:id="25" w:name="_Toc62573440"/>
      <w:r>
        <w:rPr>
          <w:rFonts w:hint="eastAsia" w:asciiTheme="minorEastAsia" w:hAnsiTheme="minorEastAsia" w:eastAsiaTheme="minorEastAsia" w:cstheme="minorEastAsia"/>
          <w:b/>
          <w:bCs/>
          <w:color w:val="auto"/>
          <w:kern w:val="0"/>
          <w:sz w:val="24"/>
          <w:szCs w:val="24"/>
          <w:highlight w:val="none"/>
          <w:lang w:val="en-US" w:eastAsia="zh-CN" w:bidi="ar-SA"/>
        </w:rPr>
        <w:t>（8）安全管理要求</w:t>
      </w:r>
      <w:bookmarkEnd w:id="25"/>
    </w:p>
    <w:p w14:paraId="5E0124CC">
      <w:pPr>
        <w:widowControl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bookmarkStart w:id="26" w:name="_Hlk94171938"/>
      <w:r>
        <w:rPr>
          <w:rFonts w:hint="eastAsia" w:asciiTheme="minorEastAsia" w:hAnsiTheme="minorEastAsia" w:eastAsiaTheme="minorEastAsia" w:cstheme="minorEastAsia"/>
          <w:color w:val="auto"/>
          <w:kern w:val="0"/>
          <w:sz w:val="24"/>
          <w:szCs w:val="24"/>
          <w:highlight w:val="none"/>
          <w:lang w:val="en-US" w:eastAsia="zh-CN" w:bidi="ar-SA"/>
        </w:rPr>
        <w:t>供应商</w:t>
      </w:r>
      <w:bookmarkEnd w:id="26"/>
      <w:r>
        <w:rPr>
          <w:rFonts w:hint="eastAsia" w:asciiTheme="minorEastAsia" w:hAnsiTheme="minorEastAsia" w:eastAsiaTheme="minorEastAsia" w:cstheme="minorEastAsia"/>
          <w:color w:val="auto"/>
          <w:kern w:val="0"/>
          <w:sz w:val="24"/>
          <w:szCs w:val="24"/>
          <w:highlight w:val="none"/>
          <w:lang w:val="en-US" w:eastAsia="zh-CN" w:bidi="ar-SA"/>
        </w:rPr>
        <w:t>应保障生产和服务的稳定和安全，防止事故发生。如出现重大意外事故，供应商应及时通报采购人，并尽最大人力、物力进行抢救，尽快恢复生产与服务；在事故影响期间，供应商应采取各种应急措施进行补救，尽量减少事故对公众的影响；同时承担一切事故处理责任。</w:t>
      </w:r>
    </w:p>
    <w:p w14:paraId="546352EC">
      <w:pPr>
        <w:widowControl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垃圾污水处理站的安全、卫生、防火要符合采购人和上级领导的管理要求，并接受采购人和上级领导的监督管理。在保证系统运行安全和运行质量等要求的前提下，避免或减少故障的发生，确保设备和人员的安全，安全隐患整改及时。若发生事故，由此产生的一切连带责任及经济损失由供应商负责。</w:t>
      </w:r>
    </w:p>
    <w:p w14:paraId="4DE5B39B">
      <w:pPr>
        <w:widowControl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供应商在运维服务期内造成人员伤亡和财产损失的，由供应商负责赔偿。</w:t>
      </w:r>
    </w:p>
    <w:p w14:paraId="4AA62C72">
      <w:pPr>
        <w:widowControl w:val="0"/>
        <w:spacing w:line="360" w:lineRule="auto"/>
        <w:ind w:firstLine="482"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b/>
          <w:bCs/>
          <w:color w:val="auto"/>
          <w:kern w:val="0"/>
          <w:sz w:val="24"/>
          <w:szCs w:val="24"/>
          <w:highlight w:val="none"/>
          <w:lang w:val="en-US" w:eastAsia="zh-CN" w:bidi="ar-SA"/>
        </w:rPr>
        <w:t>（9）其他要求</w:t>
      </w:r>
    </w:p>
    <w:p w14:paraId="29956507">
      <w:pPr>
        <w:widowControl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供应商须在中标后积极配合采购人，进场完成运维的交接工作。所需费用由供应商负责。</w:t>
      </w:r>
    </w:p>
    <w:p w14:paraId="2EA78B9D">
      <w:pPr>
        <w:widowControl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服务期满，供应商未能继续获取运维资格时，供应商要积极配合与下一运维单位交接。不得以任何方式阻碍交接，影响采购人正常工作。</w:t>
      </w:r>
    </w:p>
    <w:p w14:paraId="4F90BFF2">
      <w:pPr>
        <w:widowControl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在运维期间，垃圾污水处理站必须随时接受采购人或采购人委托的第三方的检查、考核等，运维期间产生的水电费由采购人承担，设备运营过程中不能使用强酸强碱等危险化学品。</w:t>
      </w:r>
    </w:p>
    <w:p w14:paraId="5A4991E0">
      <w:pPr>
        <w:widowControl w:val="0"/>
        <w:spacing w:line="360" w:lineRule="auto"/>
        <w:ind w:firstLine="480" w:firstLineChars="200"/>
        <w:jc w:val="both"/>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运维期满后，供应商必须确保设备的完好率，并提交移交方案。如因供应商管理不善造成设备丢失或损坏的，供应商应补全缺失设备或修复受损设备，并承担所有费用。</w:t>
      </w:r>
    </w:p>
    <w:p w14:paraId="22DFDA60">
      <w:pPr>
        <w:widowControl w:val="0"/>
        <w:spacing w:line="360" w:lineRule="auto"/>
        <w:jc w:val="both"/>
        <w:rPr>
          <w:rFonts w:hint="eastAsia" w:asciiTheme="minorEastAsia" w:hAnsiTheme="minorEastAsia" w:eastAsiaTheme="minorEastAsia" w:cstheme="minorEastAsia"/>
          <w:b/>
          <w:bCs/>
          <w:color w:val="auto"/>
          <w:kern w:val="0"/>
          <w:sz w:val="24"/>
          <w:szCs w:val="24"/>
          <w:highlight w:val="none"/>
          <w:lang w:val="en-US" w:eastAsia="zh-CN" w:bidi="ar-SA"/>
        </w:rPr>
      </w:pPr>
      <w:r>
        <w:rPr>
          <w:rFonts w:hint="eastAsia" w:asciiTheme="minorEastAsia" w:hAnsiTheme="minorEastAsia" w:eastAsiaTheme="minorEastAsia" w:cstheme="minorEastAsia"/>
          <w:b/>
          <w:bCs/>
          <w:color w:val="auto"/>
          <w:kern w:val="0"/>
          <w:sz w:val="24"/>
          <w:szCs w:val="24"/>
          <w:highlight w:val="none"/>
          <w:lang w:val="en-US" w:eastAsia="zh-CN" w:bidi="ar-SA"/>
        </w:rPr>
        <w:t>五、其他要求</w:t>
      </w:r>
    </w:p>
    <w:p w14:paraId="7B337944">
      <w:pPr>
        <w:widowControl w:val="0"/>
        <w:spacing w:line="360" w:lineRule="auto"/>
        <w:ind w:firstLine="480"/>
        <w:jc w:val="both"/>
        <w:rPr>
          <w:rFonts w:hint="eastAsia" w:asciiTheme="minorEastAsia" w:hAnsiTheme="minorEastAsia" w:eastAsiaTheme="minorEastAsia" w:cstheme="minorEastAsia"/>
          <w:b/>
          <w:bCs/>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详见采购文件《拟签订的合同文本》。</w:t>
      </w:r>
    </w:p>
    <w:p w14:paraId="38BA3937">
      <w:pPr>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9B54DC"/>
    <w:rsid w:val="05143E2A"/>
    <w:rsid w:val="05C76F15"/>
    <w:rsid w:val="10784BEE"/>
    <w:rsid w:val="11E81BF1"/>
    <w:rsid w:val="149646DB"/>
    <w:rsid w:val="189730E1"/>
    <w:rsid w:val="409D3F6D"/>
    <w:rsid w:val="44D2693A"/>
    <w:rsid w:val="47A61C48"/>
    <w:rsid w:val="4FB37368"/>
    <w:rsid w:val="599B54DC"/>
    <w:rsid w:val="5B8C6A3B"/>
    <w:rsid w:val="7C0F7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cs="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3607</Words>
  <Characters>3800</Characters>
  <Lines>0</Lines>
  <Paragraphs>0</Paragraphs>
  <TotalTime>0</TotalTime>
  <ScaleCrop>false</ScaleCrop>
  <LinksUpToDate>false</LinksUpToDate>
  <CharactersWithSpaces>3843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2025-08-13T01:39:00Z</dcterms:created>
  <dc:creator>only`Yo</dc:creator>
  <cp:lastModifiedBy>李 月 半 月</cp:lastModifiedBy>
  <dcterms:modified xsi:type="dcterms:W3CDTF">2025-08-13T07:03:27Z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535E38B791024AE8BC8BE5885C774722_11</vt:lpwstr>
  </property>
  <property fmtid="{D5CDD505-2E9C-101B-9397-08002B2CF9AE}" pid="4" name="KSOTemplateDocerSaveRecord">
    <vt:lpwstr>eyJoZGlkIjoiNTU4ODUxNTQyMDgyMDc4M2NhODU0NzM5NzdhYWI2YWMiLCJ1c2VySWQiOiI1NjQyNzg0NDQifQ==</vt:lpwstr>
  </property>
</Properties>
</file>