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16C2F">
      <w:pPr>
        <w:pStyle w:val="16"/>
        <w:rPr>
          <w:rFonts w:ascii="宋体" w:hAnsi="宋体" w:cs="宋体"/>
          <w:b/>
          <w:color w:val="000000" w:themeColor="text1"/>
          <w:szCs w:val="21"/>
          <w14:textFill>
            <w14:solidFill>
              <w14:schemeClr w14:val="tx1"/>
            </w14:solidFill>
          </w14:textFill>
        </w:rPr>
      </w:pPr>
    </w:p>
    <w:p w14:paraId="404F0E4D">
      <w:pPr>
        <w:pStyle w:val="16"/>
        <w:rPr>
          <w:rFonts w:ascii="宋体" w:hAnsi="宋体" w:cs="宋体"/>
          <w:b/>
          <w:color w:val="000000" w:themeColor="text1"/>
          <w:szCs w:val="21"/>
          <w14:textFill>
            <w14:solidFill>
              <w14:schemeClr w14:val="tx1"/>
            </w14:solidFill>
          </w14:textFill>
        </w:rPr>
      </w:pPr>
    </w:p>
    <w:p w14:paraId="6E8E9B52">
      <w:pPr>
        <w:pStyle w:val="16"/>
        <w:rPr>
          <w:rFonts w:ascii="宋体" w:hAnsi="宋体" w:cs="宋体"/>
          <w:b/>
          <w:color w:val="000000" w:themeColor="text1"/>
          <w:szCs w:val="21"/>
          <w14:textFill>
            <w14:solidFill>
              <w14:schemeClr w14:val="tx1"/>
            </w14:solidFill>
          </w14:textFill>
        </w:rPr>
      </w:pPr>
    </w:p>
    <w:p w14:paraId="3AE6844B">
      <w:pPr>
        <w:pStyle w:val="16"/>
        <w:rPr>
          <w:rFonts w:ascii="宋体" w:hAnsi="宋体" w:cs="宋体"/>
          <w:b/>
          <w:color w:val="000000" w:themeColor="text1"/>
          <w:szCs w:val="21"/>
          <w14:textFill>
            <w14:solidFill>
              <w14:schemeClr w14:val="tx1"/>
            </w14:solidFill>
          </w14:textFill>
        </w:rPr>
      </w:pPr>
    </w:p>
    <w:p w14:paraId="2B44BE05">
      <w:pPr>
        <w:pStyle w:val="16"/>
        <w:rPr>
          <w:rFonts w:ascii="宋体" w:hAnsi="宋体" w:cs="宋体"/>
          <w:b/>
          <w:color w:val="000000" w:themeColor="text1"/>
          <w:szCs w:val="21"/>
          <w14:textFill>
            <w14:solidFill>
              <w14:schemeClr w14:val="tx1"/>
            </w14:solidFill>
          </w14:textFill>
        </w:rPr>
      </w:pPr>
    </w:p>
    <w:p w14:paraId="01E48369">
      <w:pPr>
        <w:pStyle w:val="16"/>
        <w:rPr>
          <w:rFonts w:ascii="宋体" w:hAnsi="宋体" w:cs="宋体"/>
          <w:b/>
          <w:color w:val="000000" w:themeColor="text1"/>
          <w:szCs w:val="21"/>
          <w14:textFill>
            <w14:solidFill>
              <w14:schemeClr w14:val="tx1"/>
            </w14:solidFill>
          </w14:textFill>
        </w:rPr>
      </w:pPr>
    </w:p>
    <w:p w14:paraId="19D1E8F7">
      <w:pPr>
        <w:pStyle w:val="23"/>
        <w:rPr>
          <w:rFonts w:ascii="宋体" w:hAnsi="宋体" w:cs="宋体"/>
          <w:b/>
          <w:color w:val="000000" w:themeColor="text1"/>
          <w:szCs w:val="21"/>
          <w14:textFill>
            <w14:solidFill>
              <w14:schemeClr w14:val="tx1"/>
            </w14:solidFill>
          </w14:textFill>
        </w:rPr>
      </w:pPr>
    </w:p>
    <w:p w14:paraId="6A3D6A3A">
      <w:pPr>
        <w:jc w:val="center"/>
        <w:rPr>
          <w:rFonts w:ascii="宋体" w:hAnsi="宋体" w:cs="宋体"/>
          <w:b/>
          <w:color w:val="000000" w:themeColor="text1"/>
          <w:spacing w:val="76"/>
          <w:sz w:val="112"/>
          <w:szCs w:val="112"/>
          <w14:textFill>
            <w14:solidFill>
              <w14:schemeClr w14:val="tx1"/>
            </w14:solidFill>
          </w14:textFill>
        </w:rPr>
      </w:pPr>
      <w:r>
        <w:rPr>
          <w:rFonts w:hint="eastAsia" w:ascii="宋体" w:hAnsi="宋体" w:cs="宋体"/>
          <w:b/>
          <w:color w:val="000000" w:themeColor="text1"/>
          <w:spacing w:val="76"/>
          <w:sz w:val="100"/>
          <w:szCs w:val="100"/>
          <w14:textFill>
            <w14:solidFill>
              <w14:schemeClr w14:val="tx1"/>
            </w14:solidFill>
          </w14:textFill>
        </w:rPr>
        <w:t>竞争性磋商文件</w:t>
      </w:r>
    </w:p>
    <w:p w14:paraId="019471A6">
      <w:pPr>
        <w:pStyle w:val="23"/>
        <w:rPr>
          <w:rFonts w:ascii="宋体" w:hAnsi="宋体" w:cs="宋体"/>
          <w:color w:val="000000" w:themeColor="text1"/>
          <w14:textFill>
            <w14:solidFill>
              <w14:schemeClr w14:val="tx1"/>
            </w14:solidFill>
          </w14:textFill>
        </w:rPr>
      </w:pPr>
    </w:p>
    <w:p w14:paraId="365067BA">
      <w:pPr>
        <w:pStyle w:val="23"/>
        <w:ind w:left="0"/>
        <w:rPr>
          <w:rFonts w:ascii="宋体" w:hAnsi="宋体" w:cs="宋体"/>
          <w:color w:val="000000" w:themeColor="text1"/>
          <w14:textFill>
            <w14:solidFill>
              <w14:schemeClr w14:val="tx1"/>
            </w14:solidFill>
          </w14:textFill>
        </w:rPr>
      </w:pPr>
    </w:p>
    <w:p w14:paraId="00AA7E34">
      <w:pPr>
        <w:pStyle w:val="16"/>
        <w:jc w:val="center"/>
        <w:rPr>
          <w:rFonts w:hint="eastAsia" w:ascii="宋体" w:hAnsi="宋体" w:cs="宋体"/>
          <w:b/>
          <w:bCs/>
          <w:color w:val="000000" w:themeColor="text1"/>
          <w:sz w:val="28"/>
          <w:szCs w:val="28"/>
          <w14:textFill>
            <w14:solidFill>
              <w14:schemeClr w14:val="tx1"/>
            </w14:solidFill>
          </w14:textFill>
        </w:rPr>
      </w:pPr>
    </w:p>
    <w:p w14:paraId="35623B68">
      <w:pPr>
        <w:spacing w:line="360" w:lineRule="auto"/>
        <w:ind w:firstLine="643" w:firstLineChars="200"/>
        <w:rPr>
          <w:rFonts w:hint="eastAsia" w:eastAsia="宋体"/>
          <w:b/>
          <w:bCs/>
          <w:color w:val="000000" w:themeColor="text1"/>
          <w:lang w:eastAsia="zh-CN"/>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项目编号：</w:t>
      </w:r>
      <w:r>
        <w:rPr>
          <w:rFonts w:hint="eastAsia" w:ascii="宋体" w:hAnsi="宋体" w:cs="宋体"/>
          <w:b/>
          <w:bCs/>
          <w:color w:val="000000" w:themeColor="text1"/>
          <w:sz w:val="32"/>
          <w:szCs w:val="32"/>
          <w:highlight w:val="none"/>
          <w:lang w:eastAsia="zh-CN"/>
          <w14:textFill>
            <w14:solidFill>
              <w14:schemeClr w14:val="tx1"/>
            </w14:solidFill>
          </w14:textFill>
        </w:rPr>
        <w:t>JSZC-320322-SHGC-C2025-0002</w:t>
      </w:r>
    </w:p>
    <w:p w14:paraId="497B873E"/>
    <w:p w14:paraId="660FA6A8">
      <w:pPr>
        <w:spacing w:line="360" w:lineRule="auto"/>
        <w:ind w:firstLine="643" w:firstLineChars="200"/>
        <w:rPr>
          <w:rFonts w:hint="default"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项目名称：</w:t>
      </w:r>
      <w:r>
        <w:rPr>
          <w:rFonts w:hint="default" w:ascii="宋体" w:hAnsi="宋体" w:cs="宋体"/>
          <w:b/>
          <w:bCs/>
          <w:color w:val="000000" w:themeColor="text1"/>
          <w:sz w:val="32"/>
          <w:szCs w:val="32"/>
          <w:lang w:eastAsia="zh-CN"/>
          <w14:textFill>
            <w14:solidFill>
              <w14:schemeClr w14:val="tx1"/>
            </w14:solidFill>
          </w14:textFill>
        </w:rPr>
        <w:t>汉城景区管理处2025年保安服务项目</w:t>
      </w:r>
    </w:p>
    <w:p w14:paraId="27BF3947">
      <w:pPr>
        <w:rPr>
          <w:rFonts w:hint="eastAsia"/>
          <w:lang w:val="en-US" w:eastAsia="zh-CN"/>
        </w:rPr>
      </w:pPr>
      <w:r>
        <w:rPr>
          <w:rFonts w:hint="eastAsia"/>
          <w:lang w:val="en-US" w:eastAsia="zh-CN"/>
        </w:rPr>
        <w:t xml:space="preserve"> </w:t>
      </w:r>
    </w:p>
    <w:p w14:paraId="36C5AA91">
      <w:pPr>
        <w:spacing w:line="360" w:lineRule="auto"/>
        <w:ind w:firstLine="643" w:firstLineChars="200"/>
        <w:rPr>
          <w:rFonts w:hint="eastAsia"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采 购 人：</w:t>
      </w:r>
      <w:r>
        <w:rPr>
          <w:rFonts w:hint="eastAsia" w:ascii="宋体" w:hAnsi="宋体" w:cs="宋体"/>
          <w:b/>
          <w:bCs/>
          <w:color w:val="000000" w:themeColor="text1"/>
          <w:sz w:val="32"/>
          <w:szCs w:val="32"/>
          <w:lang w:eastAsia="zh-CN"/>
          <w14:textFill>
            <w14:solidFill>
              <w14:schemeClr w14:val="tx1"/>
            </w14:solidFill>
          </w14:textFill>
        </w:rPr>
        <w:t>沛县汉城景区管理处</w:t>
      </w:r>
    </w:p>
    <w:p w14:paraId="5BAA999E">
      <w:pPr>
        <w:spacing w:line="360" w:lineRule="auto"/>
        <w:ind w:firstLine="787"/>
        <w:rPr>
          <w:rFonts w:ascii="宋体" w:hAnsi="宋体" w:cs="宋体"/>
          <w:b/>
          <w:bCs/>
          <w:color w:val="000000" w:themeColor="text1"/>
          <w:sz w:val="32"/>
          <w14:textFill>
            <w14:solidFill>
              <w14:schemeClr w14:val="tx1"/>
            </w14:solidFill>
          </w14:textFill>
        </w:rPr>
      </w:pPr>
    </w:p>
    <w:p w14:paraId="7DECDCA5">
      <w:pPr>
        <w:pStyle w:val="23"/>
        <w:spacing w:line="360" w:lineRule="auto"/>
        <w:ind w:left="0"/>
        <w:jc w:val="center"/>
        <w:rPr>
          <w:rFonts w:ascii="宋体" w:hAnsi="宋体" w:cs="宋体"/>
          <w:b/>
          <w:bCs/>
          <w:color w:val="000000" w:themeColor="text1"/>
          <w:sz w:val="44"/>
          <w14:textFill>
            <w14:solidFill>
              <w14:schemeClr w14:val="tx1"/>
            </w14:solidFill>
          </w14:textFill>
        </w:rPr>
      </w:pPr>
      <w:r>
        <w:rPr>
          <w:rFonts w:hint="eastAsia" w:ascii="新宋体" w:hAnsi="新宋体" w:eastAsia="新宋体" w:cs="新宋体"/>
          <w:b/>
          <w:bCs/>
          <w:color w:val="000000"/>
          <w:sz w:val="22"/>
        </w:rPr>
        <w:drawing>
          <wp:inline distT="0" distB="0" distL="114300" distR="114300">
            <wp:extent cx="2273300" cy="2086610"/>
            <wp:effectExtent l="0" t="0" r="12700" b="8890"/>
            <wp:docPr id="6" name="图片 6" descr="1a25c2566a6aeceff2cb961509b55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a25c2566a6aeceff2cb961509b551a"/>
                    <pic:cNvPicPr>
                      <a:picLocks noChangeAspect="1"/>
                    </pic:cNvPicPr>
                  </pic:nvPicPr>
                  <pic:blipFill>
                    <a:blip r:embed="rId13"/>
                    <a:srcRect l="32192" t="25408" r="37367" b="35078"/>
                    <a:stretch>
                      <a:fillRect/>
                    </a:stretch>
                  </pic:blipFill>
                  <pic:spPr>
                    <a:xfrm>
                      <a:off x="0" y="0"/>
                      <a:ext cx="2273300" cy="2086610"/>
                    </a:xfrm>
                    <a:prstGeom prst="rect">
                      <a:avLst/>
                    </a:prstGeom>
                  </pic:spPr>
                </pic:pic>
              </a:graphicData>
            </a:graphic>
          </wp:inline>
        </w:drawing>
      </w:r>
    </w:p>
    <w:p w14:paraId="685F749C">
      <w:pPr>
        <w:spacing w:line="360" w:lineRule="auto"/>
        <w:ind w:right="-159"/>
        <w:rPr>
          <w:rFonts w:ascii="宋体" w:hAnsi="宋体" w:cs="宋体"/>
          <w:b/>
          <w:bCs/>
          <w:color w:val="000000" w:themeColor="text1"/>
          <w:sz w:val="44"/>
          <w14:textFill>
            <w14:solidFill>
              <w14:schemeClr w14:val="tx1"/>
            </w14:solidFill>
          </w14:textFill>
        </w:rPr>
      </w:pPr>
    </w:p>
    <w:p w14:paraId="5417761A">
      <w:pPr>
        <w:spacing w:line="360" w:lineRule="auto"/>
        <w:jc w:val="center"/>
        <w:rPr>
          <w:rFonts w:hint="eastAsia"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采购代理机构：</w:t>
      </w:r>
      <w:r>
        <w:rPr>
          <w:rFonts w:hint="eastAsia" w:ascii="宋体" w:hAnsi="宋体" w:cs="宋体"/>
          <w:b/>
          <w:bCs/>
          <w:color w:val="000000" w:themeColor="text1"/>
          <w:sz w:val="32"/>
          <w:szCs w:val="32"/>
          <w:lang w:eastAsia="zh-CN"/>
          <w14:textFill>
            <w14:solidFill>
              <w14:schemeClr w14:val="tx1"/>
            </w14:solidFill>
          </w14:textFill>
        </w:rPr>
        <w:t>江苏苏航工程项目管理有限公司</w:t>
      </w:r>
    </w:p>
    <w:p w14:paraId="5054CBB4">
      <w:pPr>
        <w:rPr>
          <w:rFonts w:hint="eastAsia"/>
          <w:sz w:val="32"/>
          <w:szCs w:val="32"/>
        </w:rPr>
      </w:pPr>
    </w:p>
    <w:p w14:paraId="39D89527">
      <w:pPr>
        <w:spacing w:line="360" w:lineRule="auto"/>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二〇二</w:t>
      </w:r>
      <w:r>
        <w:rPr>
          <w:rFonts w:hint="eastAsia" w:ascii="宋体" w:hAnsi="宋体" w:cs="宋体"/>
          <w:b/>
          <w:bCs/>
          <w:color w:val="000000" w:themeColor="text1"/>
          <w:sz w:val="32"/>
          <w:szCs w:val="32"/>
          <w:lang w:val="en-US" w:eastAsia="zh-CN"/>
          <w14:textFill>
            <w14:solidFill>
              <w14:schemeClr w14:val="tx1"/>
            </w14:solidFill>
          </w14:textFill>
        </w:rPr>
        <w:t>五</w:t>
      </w:r>
      <w:r>
        <w:rPr>
          <w:rFonts w:hint="eastAsia" w:ascii="宋体" w:hAnsi="宋体" w:cs="宋体"/>
          <w:b/>
          <w:bCs/>
          <w:color w:val="000000" w:themeColor="text1"/>
          <w:sz w:val="32"/>
          <w:szCs w:val="32"/>
          <w14:textFill>
            <w14:solidFill>
              <w14:schemeClr w14:val="tx1"/>
            </w14:solidFill>
          </w14:textFill>
        </w:rPr>
        <w:t>年</w:t>
      </w:r>
      <w:r>
        <w:rPr>
          <w:rFonts w:hint="eastAsia" w:ascii="宋体" w:hAnsi="宋体" w:cs="宋体"/>
          <w:b/>
          <w:bCs/>
          <w:color w:val="000000" w:themeColor="text1"/>
          <w:sz w:val="32"/>
          <w:szCs w:val="32"/>
          <w:lang w:val="en-US" w:eastAsia="zh-CN"/>
          <w14:textFill>
            <w14:solidFill>
              <w14:schemeClr w14:val="tx1"/>
            </w14:solidFill>
          </w14:textFill>
        </w:rPr>
        <w:t>八</w:t>
      </w:r>
      <w:r>
        <w:rPr>
          <w:rFonts w:hint="eastAsia" w:ascii="宋体" w:hAnsi="宋体" w:cs="宋体"/>
          <w:b/>
          <w:bCs/>
          <w:color w:val="000000" w:themeColor="text1"/>
          <w:sz w:val="32"/>
          <w:szCs w:val="32"/>
          <w14:textFill>
            <w14:solidFill>
              <w14:schemeClr w14:val="tx1"/>
            </w14:solidFill>
          </w14:textFill>
        </w:rPr>
        <w:t>月</w:t>
      </w:r>
    </w:p>
    <w:p w14:paraId="6093AD7C">
      <w:pPr>
        <w:spacing w:line="360" w:lineRule="auto"/>
        <w:jc w:val="center"/>
        <w:rPr>
          <w:rFonts w:hint="eastAsia" w:ascii="宋体" w:hAnsi="宋体" w:cs="宋体"/>
          <w:b/>
          <w:color w:val="000000" w:themeColor="text1"/>
          <w:sz w:val="44"/>
          <w:szCs w:val="44"/>
          <w14:textFill>
            <w14:solidFill>
              <w14:schemeClr w14:val="tx1"/>
            </w14:solidFill>
          </w14:textFill>
        </w:rPr>
        <w:sectPr>
          <w:headerReference r:id="rId4" w:type="first"/>
          <w:headerReference r:id="rId3" w:type="default"/>
          <w:pgSz w:w="11906" w:h="16838"/>
          <w:pgMar w:top="1134" w:right="1797" w:bottom="1134" w:left="1797" w:header="851" w:footer="992" w:gutter="0"/>
          <w:pgNumType w:start="1"/>
          <w:cols w:space="1701" w:num="1"/>
          <w:titlePg/>
          <w:docGrid w:linePitch="360" w:charSpace="0"/>
        </w:sectPr>
      </w:pPr>
    </w:p>
    <w:p w14:paraId="67E4971D">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竞争性磋商文件</w:t>
      </w:r>
    </w:p>
    <w:p w14:paraId="33812986">
      <w:pPr>
        <w:spacing w:line="360" w:lineRule="auto"/>
        <w:jc w:val="center"/>
        <w:rPr>
          <w:rFonts w:hint="eastAsia" w:ascii="宋体" w:hAnsi="宋体" w:eastAsia="宋体" w:cs="宋体"/>
          <w:color w:val="000000" w:themeColor="text1"/>
          <w:sz w:val="24"/>
          <w:u w:val="single"/>
          <w:lang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项目编号：</w:t>
      </w:r>
      <w:r>
        <w:rPr>
          <w:rFonts w:hint="eastAsia" w:ascii="宋体" w:hAnsi="宋体" w:cs="宋体"/>
          <w:b/>
          <w:bCs/>
          <w:color w:val="000000" w:themeColor="text1"/>
          <w:sz w:val="24"/>
          <w:lang w:eastAsia="zh-CN"/>
          <w14:textFill>
            <w14:solidFill>
              <w14:schemeClr w14:val="tx1"/>
            </w14:solidFill>
          </w14:textFill>
        </w:rPr>
        <w:t>JSZC-320322-SHGC-C2025-0002</w:t>
      </w:r>
    </w:p>
    <w:p w14:paraId="48E5CA77">
      <w:pPr>
        <w:tabs>
          <w:tab w:val="left" w:pos="3240"/>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w:t>
      </w:r>
    </w:p>
    <w:p w14:paraId="2905E908">
      <w:pPr>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u w:val="single"/>
          <w:lang w:eastAsia="zh-CN"/>
          <w14:textFill>
            <w14:solidFill>
              <w14:schemeClr w14:val="tx1"/>
            </w14:solidFill>
          </w14:textFill>
        </w:rPr>
        <w:t>江苏苏航工程项目管理有限公司</w:t>
      </w:r>
      <w:r>
        <w:rPr>
          <w:rFonts w:hint="eastAsia" w:ascii="宋体" w:hAnsi="宋体" w:cs="宋体"/>
          <w:color w:val="000000" w:themeColor="text1"/>
          <w:sz w:val="24"/>
          <w14:textFill>
            <w14:solidFill>
              <w14:schemeClr w14:val="tx1"/>
            </w14:solidFill>
          </w14:textFill>
        </w:rPr>
        <w:t>对</w:t>
      </w:r>
      <w:r>
        <w:rPr>
          <w:rFonts w:hint="eastAsia" w:ascii="宋体" w:hAnsi="宋体" w:cs="宋体"/>
          <w:color w:val="000000" w:themeColor="text1"/>
          <w:sz w:val="24"/>
          <w:u w:val="single"/>
          <w:lang w:eastAsia="zh-CN"/>
          <w14:textFill>
            <w14:solidFill>
              <w14:schemeClr w14:val="tx1"/>
            </w14:solidFill>
          </w14:textFill>
        </w:rPr>
        <w:t>汉城景区管理处2025年保安服务项目</w:t>
      </w:r>
      <w:r>
        <w:rPr>
          <w:rFonts w:hint="eastAsia" w:ascii="宋体" w:hAnsi="宋体" w:cs="宋体"/>
          <w:color w:val="000000" w:themeColor="text1"/>
          <w:sz w:val="24"/>
          <w:u w:val="none"/>
          <w:lang w:val="en-US" w:eastAsia="zh-CN"/>
          <w14:textFill>
            <w14:solidFill>
              <w14:schemeClr w14:val="tx1"/>
            </w14:solidFill>
          </w14:textFill>
        </w:rPr>
        <w:t>项目</w:t>
      </w:r>
      <w:r>
        <w:rPr>
          <w:rFonts w:hint="eastAsia" w:ascii="宋体" w:hAnsi="宋体" w:cs="宋体"/>
          <w:color w:val="000000" w:themeColor="text1"/>
          <w:sz w:val="24"/>
          <w14:textFill>
            <w14:solidFill>
              <w14:schemeClr w14:val="tx1"/>
            </w14:solidFill>
          </w14:textFill>
        </w:rPr>
        <w:t>采取竞争性磋商采购方式进行采购，竞争性磋商文件（以下简称《磋商文件》）内容如下：</w:t>
      </w:r>
    </w:p>
    <w:p w14:paraId="6842B04A">
      <w:pPr>
        <w:keepNext w:val="0"/>
        <w:keepLines w:val="0"/>
        <w:pageBreakBefore w:val="0"/>
        <w:kinsoku/>
        <w:wordWrap/>
        <w:overflowPunct/>
        <w:topLinePunct w:val="0"/>
        <w:autoSpaceDE/>
        <w:autoSpaceDN/>
        <w:bidi w:val="0"/>
        <w:adjustRightInd/>
        <w:snapToGrid/>
        <w:spacing w:line="360" w:lineRule="auto"/>
        <w:ind w:left="0" w:right="0" w:firstLine="482" w:firstLineChars="200"/>
        <w:jc w:val="both"/>
        <w:textAlignment w:val="auto"/>
        <w:rPr>
          <w:rFonts w:hint="eastAsia" w:ascii="宋体" w:hAnsi="宋体" w:cs="宋体"/>
          <w:b/>
          <w:bCs/>
          <w:color w:val="000000" w:themeColor="text1"/>
          <w:sz w:val="24"/>
          <w14:textFill>
            <w14:solidFill>
              <w14:schemeClr w14:val="tx1"/>
            </w14:solidFill>
          </w14:textFill>
        </w:rPr>
      </w:pPr>
    </w:p>
    <w:p w14:paraId="338F3D74">
      <w:pPr>
        <w:keepNext w:val="0"/>
        <w:keepLines w:val="0"/>
        <w:pageBreakBefore w:val="0"/>
        <w:kinsoku/>
        <w:wordWrap/>
        <w:overflowPunct/>
        <w:topLinePunct w:val="0"/>
        <w:autoSpaceDE/>
        <w:autoSpaceDN/>
        <w:bidi w:val="0"/>
        <w:adjustRightInd/>
        <w:snapToGrid/>
        <w:spacing w:line="360" w:lineRule="auto"/>
        <w:ind w:left="0" w:right="0" w:firstLine="482" w:firstLineChars="20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第一章 项目说明</w:t>
      </w:r>
    </w:p>
    <w:p w14:paraId="52698A62">
      <w:pPr>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w:t>
      </w:r>
      <w:r>
        <w:rPr>
          <w:rFonts w:hint="eastAsia" w:ascii="宋体" w:hAnsi="宋体" w:cs="宋体"/>
          <w:color w:val="000000" w:themeColor="text1"/>
          <w:sz w:val="24"/>
          <w14:textFill>
            <w14:solidFill>
              <w14:schemeClr w14:val="tx1"/>
            </w14:solidFill>
          </w14:textFill>
        </w:rPr>
        <w:t>采购人：</w:t>
      </w:r>
      <w:r>
        <w:rPr>
          <w:rFonts w:hint="eastAsia" w:ascii="宋体" w:hAnsi="宋体" w:cs="宋体"/>
          <w:color w:val="000000" w:themeColor="text1"/>
          <w:sz w:val="24"/>
          <w:lang w:eastAsia="zh-CN"/>
          <w14:textFill>
            <w14:solidFill>
              <w14:schemeClr w14:val="tx1"/>
            </w14:solidFill>
          </w14:textFill>
        </w:rPr>
        <w:t>沛县汉城景区管理处。</w:t>
      </w:r>
    </w:p>
    <w:p w14:paraId="2A6DE9AB">
      <w:pPr>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lang w:eastAsia="zh-CN"/>
          <w14:textFill>
            <w14:solidFill>
              <w14:schemeClr w14:val="tx1"/>
            </w14:solidFill>
          </w14:textFill>
        </w:rPr>
        <w:t>汉城景区管理处2025年保安服务项目。</w:t>
      </w:r>
    </w:p>
    <w:p w14:paraId="08859F33">
      <w:pPr>
        <w:keepNext w:val="0"/>
        <w:keepLines w:val="0"/>
        <w:pageBreakBefore w:val="0"/>
        <w:kinsoku/>
        <w:wordWrap/>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w:t>
      </w:r>
      <w:r>
        <w:rPr>
          <w:rFonts w:hint="eastAsia" w:ascii="宋体" w:hAnsi="宋体" w:cs="宋体"/>
          <w:color w:val="000000" w:themeColor="text1"/>
          <w:sz w:val="24"/>
          <w14:textFill>
            <w14:solidFill>
              <w14:schemeClr w14:val="tx1"/>
            </w14:solidFill>
          </w14:textFill>
        </w:rPr>
        <w:t>项目编号：</w:t>
      </w:r>
      <w:r>
        <w:rPr>
          <w:rFonts w:hint="eastAsia" w:ascii="宋体" w:hAnsi="宋体" w:cs="宋体"/>
          <w:color w:val="000000" w:themeColor="text1"/>
          <w:sz w:val="24"/>
          <w:lang w:eastAsia="zh-CN"/>
          <w14:textFill>
            <w14:solidFill>
              <w14:schemeClr w14:val="tx1"/>
            </w14:solidFill>
          </w14:textFill>
        </w:rPr>
        <w:t>JSZC-320322-SHGC-C2025-0002。</w:t>
      </w:r>
    </w:p>
    <w:p w14:paraId="02092E58">
      <w:pPr>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w:t>
      </w:r>
      <w:r>
        <w:rPr>
          <w:rFonts w:hint="eastAsia" w:ascii="宋体" w:hAnsi="宋体" w:cs="宋体"/>
          <w:color w:val="000000" w:themeColor="text1"/>
          <w:sz w:val="24"/>
          <w14:textFill>
            <w14:solidFill>
              <w14:schemeClr w14:val="tx1"/>
            </w14:solidFill>
          </w14:textFill>
        </w:rPr>
        <w:t>采购邀请：通过发布公告的方式邀请符合相应资格条件的供应商参与竞争性磋商采购活动。</w:t>
      </w:r>
    </w:p>
    <w:p w14:paraId="6EF079B4">
      <w:pPr>
        <w:keepNext w:val="0"/>
        <w:keepLines w:val="0"/>
        <w:pageBreakBefore w:val="0"/>
        <w:widowControl/>
        <w:kinsoku/>
        <w:wordWrap/>
        <w:overflowPunct/>
        <w:topLinePunct w:val="0"/>
        <w:autoSpaceDE/>
        <w:autoSpaceDN/>
        <w:bidi w:val="0"/>
        <w:adjustRightInd/>
        <w:snapToGrid/>
        <w:spacing w:line="360" w:lineRule="auto"/>
        <w:ind w:left="0" w:right="0" w:firstLine="482" w:firstLineChars="200"/>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w:t>
      </w:r>
      <w:r>
        <w:rPr>
          <w:rFonts w:hint="eastAsia" w:ascii="宋体" w:hAnsi="宋体" w:cs="宋体"/>
          <w:color w:val="000000" w:themeColor="text1"/>
          <w:sz w:val="24"/>
          <w14:textFill>
            <w14:solidFill>
              <w14:schemeClr w14:val="tx1"/>
            </w14:solidFill>
          </w14:textFill>
        </w:rPr>
        <w:t>采购方式：本项目采用竞争性磋商采购方式。</w:t>
      </w:r>
    </w:p>
    <w:p w14:paraId="1D377BB4">
      <w:pPr>
        <w:keepNext w:val="0"/>
        <w:keepLines w:val="0"/>
        <w:pageBreakBefore w:val="0"/>
        <w:widowControl/>
        <w:kinsoku/>
        <w:wordWrap/>
        <w:overflowPunct/>
        <w:topLinePunct w:val="0"/>
        <w:autoSpaceDE/>
        <w:autoSpaceDN/>
        <w:bidi w:val="0"/>
        <w:adjustRightInd/>
        <w:snapToGrid/>
        <w:spacing w:line="360" w:lineRule="auto"/>
        <w:ind w:left="0" w:right="0" w:firstLine="482" w:firstLineChars="200"/>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w:t>
      </w:r>
      <w:r>
        <w:rPr>
          <w:rFonts w:hint="eastAsia" w:ascii="宋体" w:hAnsi="宋体" w:cs="宋体"/>
          <w:color w:val="000000" w:themeColor="text1"/>
          <w:sz w:val="24"/>
          <w14:textFill>
            <w14:solidFill>
              <w14:schemeClr w14:val="tx1"/>
            </w14:solidFill>
          </w14:textFill>
        </w:rPr>
        <w:t>供应商资格条件：见竞争性磋商公告。</w:t>
      </w:r>
    </w:p>
    <w:p w14:paraId="0577AA78">
      <w:pPr>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七、采购预算（采购项目预算金额）：见《磋商文件》附件2、《项目要求（采购需求）》。</w:t>
      </w:r>
    </w:p>
    <w:p w14:paraId="5200824E">
      <w:pPr>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八、</w:t>
      </w:r>
      <w:r>
        <w:rPr>
          <w:rFonts w:hint="eastAsia" w:ascii="宋体" w:hAnsi="宋体" w:cs="宋体"/>
          <w:color w:val="000000" w:themeColor="text1"/>
          <w:sz w:val="24"/>
          <w14:textFill>
            <w14:solidFill>
              <w14:schemeClr w14:val="tx1"/>
            </w14:solidFill>
          </w14:textFill>
        </w:rPr>
        <w:t>采购需求：见《磋商文件》附件2、《项目要求（采购需求）》。</w:t>
      </w:r>
    </w:p>
    <w:p w14:paraId="500317A0">
      <w:pPr>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九、</w:t>
      </w:r>
      <w:r>
        <w:rPr>
          <w:rFonts w:hint="eastAsia" w:ascii="宋体" w:hAnsi="宋体" w:cs="宋体"/>
          <w:sz w:val="24"/>
          <w:highlight w:val="none"/>
        </w:rPr>
        <w:t>合同草案条款</w:t>
      </w:r>
      <w:r>
        <w:rPr>
          <w:rFonts w:hint="eastAsia" w:ascii="宋体" w:hAnsi="宋体" w:cs="宋体"/>
          <w:color w:val="000000" w:themeColor="text1"/>
          <w:sz w:val="24"/>
          <w:highlight w:val="none"/>
          <w14:textFill>
            <w14:solidFill>
              <w14:schemeClr w14:val="tx1"/>
            </w14:solidFill>
          </w14:textFill>
        </w:rPr>
        <w:t>：见《磋商文件》附件6、《合同条款》。</w:t>
      </w:r>
    </w:p>
    <w:p w14:paraId="7DED47C5">
      <w:pPr>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十、报价要求</w:t>
      </w:r>
    </w:p>
    <w:p w14:paraId="5DE1608F">
      <w:pPr>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1、供应商报价为要约，</w:t>
      </w:r>
      <w:r>
        <w:rPr>
          <w:rFonts w:hint="eastAsia" w:ascii="宋体" w:hAnsi="宋体" w:cs="宋体"/>
          <w:color w:val="000000" w:themeColor="text1"/>
          <w:sz w:val="24"/>
          <w:u w:val="single"/>
          <w:lang w:eastAsia="zh-CN"/>
          <w14:textFill>
            <w14:solidFill>
              <w14:schemeClr w14:val="tx1"/>
            </w14:solidFill>
          </w14:textFill>
        </w:rPr>
        <w:t>江苏苏航工程项目管理有限公司</w:t>
      </w:r>
      <w:r>
        <w:rPr>
          <w:rFonts w:hint="eastAsia" w:ascii="宋体" w:hAnsi="宋体" w:cs="宋体"/>
          <w:color w:val="000000" w:themeColor="text1"/>
          <w:sz w:val="24"/>
          <w14:textFill>
            <w14:solidFill>
              <w14:schemeClr w14:val="tx1"/>
            </w14:solidFill>
          </w14:textFill>
        </w:rPr>
        <w:t>无承诺表示时视为未成交，</w:t>
      </w:r>
      <w:r>
        <w:rPr>
          <w:rFonts w:hint="eastAsia" w:ascii="宋体" w:hAnsi="宋体" w:cs="宋体"/>
          <w:color w:val="000000" w:themeColor="text1"/>
          <w:sz w:val="24"/>
          <w:u w:val="single"/>
          <w:lang w:eastAsia="zh-CN"/>
          <w14:textFill>
            <w14:solidFill>
              <w14:schemeClr w14:val="tx1"/>
            </w14:solidFill>
          </w14:textFill>
        </w:rPr>
        <w:t>江苏苏航工程项目管理有限公司</w:t>
      </w:r>
      <w:r>
        <w:rPr>
          <w:rFonts w:hint="eastAsia" w:ascii="宋体" w:hAnsi="宋体" w:cs="宋体"/>
          <w:color w:val="000000" w:themeColor="text1"/>
          <w:sz w:val="24"/>
          <w14:textFill>
            <w14:solidFill>
              <w14:schemeClr w14:val="tx1"/>
            </w14:solidFill>
          </w14:textFill>
        </w:rPr>
        <w:t>认为必要时可重新进行竞争性磋商采购或采取其它方式采购。</w:t>
      </w:r>
    </w:p>
    <w:p w14:paraId="0E6425E2">
      <w:pPr>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2、按照《磋商报价表》要求填写首次报价。</w:t>
      </w:r>
    </w:p>
    <w:p w14:paraId="63F7D54B">
      <w:pPr>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3、报价包含本项目范围内的全部费用。供应商有漏报或不报的，采购人将视为有关费用已包括在本项目的报价中而不予支付。采购人不支付报价以外的任何费用。</w:t>
      </w:r>
    </w:p>
    <w:p w14:paraId="26195235">
      <w:pPr>
        <w:keepNext w:val="0"/>
        <w:keepLines w:val="0"/>
        <w:pageBreakBefore w:val="0"/>
        <w:kinsoku/>
        <w:wordWrap/>
        <w:overflowPunct/>
        <w:topLinePunct w:val="0"/>
        <w:autoSpaceDE/>
        <w:autoSpaceDN/>
        <w:bidi w:val="0"/>
        <w:adjustRightInd/>
        <w:snapToGrid/>
        <w:spacing w:line="360" w:lineRule="auto"/>
        <w:ind w:left="0" w:right="0" w:firstLine="482" w:firstLineChars="200"/>
        <w:jc w:val="center"/>
        <w:textAlignment w:val="auto"/>
        <w:rPr>
          <w:rFonts w:hint="eastAsia" w:ascii="宋体" w:hAnsi="宋体" w:cs="宋体"/>
          <w:b/>
          <w:bCs/>
          <w:color w:val="000000" w:themeColor="text1"/>
          <w:sz w:val="24"/>
          <w14:textFill>
            <w14:solidFill>
              <w14:schemeClr w14:val="tx1"/>
            </w14:solidFill>
          </w14:textFill>
        </w:rPr>
      </w:pPr>
    </w:p>
    <w:p w14:paraId="55FC3B67">
      <w:pPr>
        <w:keepNext w:val="0"/>
        <w:keepLines w:val="0"/>
        <w:pageBreakBefore w:val="0"/>
        <w:kinsoku/>
        <w:wordWrap/>
        <w:overflowPunct/>
        <w:topLinePunct w:val="0"/>
        <w:autoSpaceDE/>
        <w:autoSpaceDN/>
        <w:bidi w:val="0"/>
        <w:adjustRightInd/>
        <w:snapToGrid/>
        <w:spacing w:line="360" w:lineRule="auto"/>
        <w:ind w:left="0" w:right="0" w:firstLine="482" w:firstLineChars="200"/>
        <w:jc w:val="center"/>
        <w:textAlignment w:val="auto"/>
        <w:rPr>
          <w:rFonts w:hint="eastAsia" w:ascii="宋体" w:hAnsi="宋体" w:cs="宋体"/>
          <w:b/>
          <w:bCs/>
          <w:color w:val="000000" w:themeColor="text1"/>
          <w:sz w:val="24"/>
          <w14:textFill>
            <w14:solidFill>
              <w14:schemeClr w14:val="tx1"/>
            </w14:solidFill>
          </w14:textFill>
        </w:rPr>
      </w:pPr>
    </w:p>
    <w:p w14:paraId="6F184C33">
      <w:pPr>
        <w:keepNext w:val="0"/>
        <w:keepLines w:val="0"/>
        <w:pageBreakBefore w:val="0"/>
        <w:kinsoku/>
        <w:wordWrap/>
        <w:overflowPunct/>
        <w:topLinePunct w:val="0"/>
        <w:autoSpaceDE/>
        <w:autoSpaceDN/>
        <w:bidi w:val="0"/>
        <w:adjustRightInd/>
        <w:snapToGrid/>
        <w:spacing w:line="360" w:lineRule="auto"/>
        <w:ind w:left="0" w:right="0" w:firstLine="482" w:firstLineChars="200"/>
        <w:jc w:val="center"/>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第二章 磋商保证金</w:t>
      </w:r>
    </w:p>
    <w:p w14:paraId="5556DFD3">
      <w:pPr>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十一、供应商提交磋商保证金</w:t>
      </w:r>
    </w:p>
    <w:p w14:paraId="13F75F4D">
      <w:pPr>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1、磋商保证金交纳数额和形式：不需交纳。</w:t>
      </w:r>
    </w:p>
    <w:p w14:paraId="35D12692">
      <w:pPr>
        <w:keepNext w:val="0"/>
        <w:keepLines w:val="0"/>
        <w:pageBreakBefore w:val="0"/>
        <w:kinsoku/>
        <w:wordWrap/>
        <w:overflowPunct/>
        <w:topLinePunct w:val="0"/>
        <w:autoSpaceDE/>
        <w:autoSpaceDN/>
        <w:bidi w:val="0"/>
        <w:adjustRightInd/>
        <w:snapToGrid/>
        <w:spacing w:line="360" w:lineRule="auto"/>
        <w:ind w:left="0" w:right="0" w:firstLine="482" w:firstLineChars="200"/>
        <w:jc w:val="center"/>
        <w:textAlignment w:val="auto"/>
        <w:rPr>
          <w:rFonts w:hint="eastAsia" w:ascii="宋体" w:hAnsi="宋体" w:cs="宋体"/>
          <w:b/>
          <w:bCs/>
          <w:color w:val="000000" w:themeColor="text1"/>
          <w:sz w:val="24"/>
          <w14:textFill>
            <w14:solidFill>
              <w14:schemeClr w14:val="tx1"/>
            </w14:solidFill>
          </w14:textFill>
        </w:rPr>
      </w:pPr>
    </w:p>
    <w:p w14:paraId="260E726B">
      <w:pPr>
        <w:keepNext w:val="0"/>
        <w:keepLines w:val="0"/>
        <w:pageBreakBefore w:val="0"/>
        <w:kinsoku/>
        <w:wordWrap/>
        <w:overflowPunct/>
        <w:topLinePunct w:val="0"/>
        <w:autoSpaceDE/>
        <w:autoSpaceDN/>
        <w:bidi w:val="0"/>
        <w:adjustRightInd/>
        <w:snapToGrid/>
        <w:spacing w:line="360" w:lineRule="auto"/>
        <w:ind w:left="0" w:right="0" w:firstLine="482" w:firstLineChars="200"/>
        <w:jc w:val="center"/>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第三章 响应文件</w:t>
      </w:r>
    </w:p>
    <w:p w14:paraId="7F38BA34">
      <w:pPr>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十二、提交响应文件要求</w:t>
      </w:r>
    </w:p>
    <w:p w14:paraId="5BFB73A7">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Style w:val="31"/>
          <w:rFonts w:ascii="宋体" w:hAnsi="宋体" w:cs="宋体"/>
          <w:bCs/>
          <w:color w:val="000000" w:themeColor="text1"/>
          <w:sz w:val="24"/>
          <w14:textFill>
            <w14:solidFill>
              <w14:schemeClr w14:val="tx1"/>
            </w14:solidFill>
          </w14:textFill>
        </w:rPr>
      </w:pPr>
      <w:r>
        <w:rPr>
          <w:rStyle w:val="31"/>
          <w:rFonts w:ascii="宋体" w:hAnsi="宋体" w:cs="宋体"/>
          <w:bCs/>
          <w:color w:val="000000" w:themeColor="text1"/>
          <w:sz w:val="24"/>
          <w14:textFill>
            <w14:solidFill>
              <w14:schemeClr w14:val="tx1"/>
            </w14:solidFill>
          </w14:textFill>
        </w:rPr>
        <w:t>（一）本项目通过“苏采云”系统进行电子采购，即供应商响应文件从政府采购客户端工具制作并通过“苏采云”系统提交。</w:t>
      </w:r>
    </w:p>
    <w:p w14:paraId="66318C37">
      <w:pPr>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Style w:val="31"/>
          <w:rFonts w:ascii="宋体" w:hAnsi="宋体" w:cs="宋体"/>
          <w:bCs/>
          <w:color w:val="000000" w:themeColor="text1"/>
          <w:sz w:val="24"/>
          <w14:textFill>
            <w14:solidFill>
              <w14:schemeClr w14:val="tx1"/>
            </w14:solidFill>
          </w14:textFill>
        </w:rPr>
      </w:pPr>
      <w:r>
        <w:rPr>
          <w:rStyle w:val="31"/>
          <w:rFonts w:ascii="宋体" w:hAnsi="宋体" w:cs="宋体"/>
          <w:bCs/>
          <w:color w:val="000000" w:themeColor="text1"/>
          <w:sz w:val="24"/>
          <w14:textFill>
            <w14:solidFill>
              <w14:schemeClr w14:val="tx1"/>
            </w14:solidFill>
          </w14:textFill>
        </w:rPr>
        <w:t>供应商应当通过“苏采云”系统提交数据电文形式的响应文件（即电子投标）。未进行线上响应文件提交并解密(因“苏采云”系统导致解密失败的除外)的供应商，响应无效。</w:t>
      </w:r>
    </w:p>
    <w:p w14:paraId="65FB55EC">
      <w:pPr>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color w:val="000000" w:themeColor="text1"/>
          <w14:textFill>
            <w14:solidFill>
              <w14:schemeClr w14:val="tx1"/>
            </w14:solidFill>
          </w14:textFill>
        </w:rPr>
      </w:pPr>
      <w:r>
        <w:rPr>
          <w:rStyle w:val="31"/>
          <w:rFonts w:ascii="宋体" w:hAnsi="宋体" w:cs="宋体"/>
          <w:bCs/>
          <w:color w:val="000000" w:themeColor="text1"/>
          <w:sz w:val="24"/>
          <w14:textFill>
            <w14:solidFill>
              <w14:schemeClr w14:val="tx1"/>
            </w14:solidFill>
          </w14:textFill>
        </w:rPr>
        <w:t>“CA数字证书”的获取：供应商需办理CA锁，“苏采云”系统目前仅支持“苏采云”系统下的政务CA，省内各地区办理的“苏采云”系统下的政务CA全省通用。“CA数字证书”的办理材料详见“徐州政府采购网-业务工作-快速服务-下载专区”中的《“苏采云”系统政务CA办理材料、操作手册及控件下载》。</w:t>
      </w:r>
    </w:p>
    <w:p w14:paraId="61B84543">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Style w:val="31"/>
          <w:rFonts w:ascii="宋体" w:hAnsi="宋体" w:cs="宋体"/>
          <w:bCs/>
          <w:color w:val="000000" w:themeColor="text1"/>
          <w:sz w:val="24"/>
          <w14:textFill>
            <w14:solidFill>
              <w14:schemeClr w14:val="tx1"/>
            </w14:solidFill>
          </w14:textFill>
        </w:rPr>
      </w:pPr>
      <w:r>
        <w:rPr>
          <w:rStyle w:val="31"/>
          <w:rFonts w:ascii="宋体" w:hAnsi="宋体" w:cs="宋体"/>
          <w:bCs/>
          <w:color w:val="000000" w:themeColor="text1"/>
          <w:sz w:val="24"/>
          <w14:textFill>
            <w14:solidFill>
              <w14:schemeClr w14:val="tx1"/>
            </w14:solidFill>
          </w14:textFill>
        </w:rPr>
        <w:t>使用需要第三方认证的电子签名、数据电文，通过互联网方式提交首次响应文件。即：使用“电子签名认证证书（CA数字证书）”登录“苏采云”系统（网址：http://jszfcg.jsczt.cn/；或进入徐州政府采购网（网址：http://czj.xz.gov.cn/Home/HomeIndex）--业务工作--用户登录，点击“苏采云”进入系统），按照要求通过互联网方式提交首次响应文件。</w:t>
      </w:r>
    </w:p>
    <w:p w14:paraId="4C636F3D">
      <w:pPr>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outlineLvl w:val="9"/>
        <w:rPr>
          <w:rStyle w:val="31"/>
          <w:rFonts w:ascii="宋体" w:hAnsi="宋体"/>
          <w:b/>
          <w:color w:val="000000" w:themeColor="text1"/>
          <w:sz w:val="24"/>
          <w14:textFill>
            <w14:solidFill>
              <w14:schemeClr w14:val="tx1"/>
            </w14:solidFill>
          </w14:textFill>
        </w:rPr>
      </w:pPr>
      <w:r>
        <w:rPr>
          <w:rStyle w:val="31"/>
          <w:rFonts w:ascii="宋体" w:hAnsi="宋体"/>
          <w:b/>
          <w:color w:val="000000" w:themeColor="text1"/>
          <w:sz w:val="24"/>
          <w14:textFill>
            <w14:solidFill>
              <w14:schemeClr w14:val="tx1"/>
            </w14:solidFill>
          </w14:textFill>
        </w:rPr>
        <w:t>“苏采云”系统使用要求：</w:t>
      </w:r>
    </w:p>
    <w:p w14:paraId="0E5CCDA1">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Style w:val="31"/>
          <w:rFonts w:ascii="宋体" w:hAnsi="宋体" w:cs="宋体"/>
          <w:bCs/>
          <w:color w:val="000000" w:themeColor="text1"/>
          <w:sz w:val="24"/>
          <w14:textFill>
            <w14:solidFill>
              <w14:schemeClr w14:val="tx1"/>
            </w14:solidFill>
          </w14:textFill>
        </w:rPr>
      </w:pPr>
      <w:r>
        <w:rPr>
          <w:rStyle w:val="31"/>
          <w:rFonts w:ascii="宋体" w:hAnsi="宋体" w:cs="宋体"/>
          <w:bCs/>
          <w:color w:val="000000" w:themeColor="text1"/>
          <w:sz w:val="24"/>
          <w14:textFill>
            <w14:solidFill>
              <w14:schemeClr w14:val="tx1"/>
            </w14:solidFill>
          </w14:textFill>
        </w:rPr>
        <w:t>1、使用谷歌浏览器参与不见面开标及磋商环节。</w:t>
      </w:r>
    </w:p>
    <w:p w14:paraId="1468C69B">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Style w:val="31"/>
          <w:rFonts w:ascii="宋体" w:hAnsi="宋体" w:cs="宋体"/>
          <w:bCs/>
          <w:color w:val="000000" w:themeColor="text1"/>
          <w:sz w:val="24"/>
          <w14:textFill>
            <w14:solidFill>
              <w14:schemeClr w14:val="tx1"/>
            </w14:solidFill>
          </w14:textFill>
        </w:rPr>
      </w:pPr>
      <w:r>
        <w:rPr>
          <w:rStyle w:val="31"/>
          <w:rFonts w:ascii="宋体" w:hAnsi="宋体" w:cs="宋体"/>
          <w:bCs/>
          <w:color w:val="000000" w:themeColor="text1"/>
          <w:sz w:val="24"/>
          <w14:textFill>
            <w14:solidFill>
              <w14:schemeClr w14:val="tx1"/>
            </w14:solidFill>
          </w14:textFill>
        </w:rPr>
        <w:t>2、电脑需提前准备好麦克风、音响，摄像头，提前检查保证能够正常使用。</w:t>
      </w:r>
    </w:p>
    <w:p w14:paraId="04A41726">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Style w:val="31"/>
          <w:rFonts w:ascii="宋体" w:hAnsi="宋体" w:cs="宋体"/>
          <w:bCs/>
          <w:color w:val="000000" w:themeColor="text1"/>
          <w:sz w:val="24"/>
          <w14:textFill>
            <w14:solidFill>
              <w14:schemeClr w14:val="tx1"/>
            </w14:solidFill>
          </w14:textFill>
        </w:rPr>
      </w:pPr>
      <w:r>
        <w:rPr>
          <w:rStyle w:val="31"/>
          <w:rFonts w:ascii="宋体" w:hAnsi="宋体" w:cs="宋体"/>
          <w:bCs/>
          <w:color w:val="000000" w:themeColor="text1"/>
          <w:sz w:val="24"/>
          <w14:textFill>
            <w14:solidFill>
              <w14:schemeClr w14:val="tx1"/>
            </w14:solidFill>
          </w14:textFill>
        </w:rPr>
        <w:t>3、操作系统至少win7以上，建议使用win10操作系统。</w:t>
      </w:r>
    </w:p>
    <w:p w14:paraId="2B5E8AEC">
      <w:pPr>
        <w:pStyle w:val="21"/>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（二）首次响应文件提交的截止时间：</w:t>
      </w:r>
      <w:r>
        <w:rPr>
          <w:rFonts w:hint="eastAsia" w:ascii="宋体" w:hAnsi="宋体" w:cs="宋体"/>
          <w:b/>
          <w:bCs/>
          <w:color w:val="000000" w:themeColor="text1"/>
          <w:sz w:val="24"/>
          <w:lang w:eastAsia="zh-CN"/>
          <w14:textFill>
            <w14:solidFill>
              <w14:schemeClr w14:val="tx1"/>
            </w14:solidFill>
          </w14:textFill>
        </w:rPr>
        <w:t>2025</w:t>
      </w:r>
      <w:r>
        <w:rPr>
          <w:rFonts w:hint="eastAsia" w:ascii="宋体" w:hAnsi="宋体" w:cs="宋体"/>
          <w:b/>
          <w:bCs/>
          <w:color w:val="000000" w:themeColor="text1"/>
          <w:sz w:val="24"/>
          <w14:textFill>
            <w14:solidFill>
              <w14:schemeClr w14:val="tx1"/>
            </w14:solidFill>
          </w14:textFill>
        </w:rPr>
        <w:t>年</w:t>
      </w:r>
      <w:r>
        <w:rPr>
          <w:rFonts w:hint="eastAsia" w:ascii="宋体" w:hAnsi="宋体" w:cs="宋体"/>
          <w:b/>
          <w:bCs/>
          <w:color w:val="000000" w:themeColor="text1"/>
          <w:sz w:val="24"/>
          <w:u w:val="single"/>
          <w:lang w:val="en-US" w:eastAsia="zh-CN"/>
          <w14:textFill>
            <w14:solidFill>
              <w14:schemeClr w14:val="tx1"/>
            </w14:solidFill>
          </w14:textFill>
        </w:rPr>
        <w:t xml:space="preserve"> 8 </w:t>
      </w:r>
      <w:r>
        <w:rPr>
          <w:rFonts w:hint="eastAsia" w:ascii="宋体" w:hAnsi="宋体" w:cs="宋体"/>
          <w:b/>
          <w:bCs/>
          <w:color w:val="000000" w:themeColor="text1"/>
          <w:sz w:val="24"/>
          <w14:textFill>
            <w14:solidFill>
              <w14:schemeClr w14:val="tx1"/>
            </w14:solidFill>
          </w14:textFill>
        </w:rPr>
        <w:t>月</w:t>
      </w:r>
      <w:r>
        <w:rPr>
          <w:rFonts w:hint="eastAsia" w:ascii="宋体" w:hAnsi="宋体" w:cs="宋体"/>
          <w:b/>
          <w:bCs/>
          <w:color w:val="000000" w:themeColor="text1"/>
          <w:sz w:val="24"/>
          <w:u w:val="single"/>
          <w:lang w:val="en-US" w:eastAsia="zh-CN"/>
          <w14:textFill>
            <w14:solidFill>
              <w14:schemeClr w14:val="tx1"/>
            </w14:solidFill>
          </w14:textFill>
        </w:rPr>
        <w:t xml:space="preserve"> 21 </w:t>
      </w:r>
      <w:r>
        <w:rPr>
          <w:rFonts w:hint="eastAsia" w:ascii="宋体" w:hAnsi="宋体" w:cs="宋体"/>
          <w:b/>
          <w:bCs/>
          <w:color w:val="000000" w:themeColor="text1"/>
          <w:sz w:val="24"/>
          <w14:textFill>
            <w14:solidFill>
              <w14:schemeClr w14:val="tx1"/>
            </w14:solidFill>
          </w14:textFill>
        </w:rPr>
        <w:t>日上午09：30，</w:t>
      </w:r>
      <w:r>
        <w:rPr>
          <w:rFonts w:hint="eastAsia" w:ascii="宋体" w:hAnsi="宋体" w:cs="宋体"/>
          <w:color w:val="000000" w:themeColor="text1"/>
          <w:sz w:val="24"/>
          <w14:textFill>
            <w14:solidFill>
              <w14:schemeClr w14:val="tx1"/>
            </w14:solidFill>
          </w14:textFill>
        </w:rPr>
        <w:t>在截止时间后提交的首次响应文件为无效文件，将被拒收。</w:t>
      </w:r>
    </w:p>
    <w:p w14:paraId="21B1B64B">
      <w:pPr>
        <w:pStyle w:val="21"/>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（三）首次响应文件提交时间、地点：</w:t>
      </w:r>
    </w:p>
    <w:p w14:paraId="0495343A">
      <w:pPr>
        <w:pStyle w:val="21"/>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1、提交时间</w:t>
      </w:r>
      <w:r>
        <w:rPr>
          <w:rFonts w:hint="eastAsia" w:ascii="宋体" w:hAnsi="宋体" w:cs="宋体"/>
          <w:b/>
          <w:bCs/>
          <w:color w:val="000000" w:themeColor="text1"/>
          <w:sz w:val="24"/>
          <w:lang w:eastAsia="zh-CN"/>
          <w14:textFill>
            <w14:solidFill>
              <w14:schemeClr w14:val="tx1"/>
            </w14:solidFill>
          </w14:textFill>
        </w:rPr>
        <w:t>：</w:t>
      </w:r>
    </w:p>
    <w:p w14:paraId="4DCBC97A">
      <w:pPr>
        <w:pStyle w:val="2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首次响应文件提交的截止时间</w:t>
      </w:r>
      <w:r>
        <w:rPr>
          <w:rFonts w:hint="eastAsia"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lang w:eastAsia="zh-CN"/>
          <w14:textFill>
            <w14:solidFill>
              <w14:schemeClr w14:val="tx1"/>
            </w14:solidFill>
          </w14:textFill>
        </w:rPr>
        <w:t>2025</w:t>
      </w:r>
      <w:r>
        <w:rPr>
          <w:rFonts w:hint="eastAsia" w:ascii="宋体" w:hAnsi="宋体" w:cs="宋体"/>
          <w:b/>
          <w:bCs/>
          <w:color w:val="000000" w:themeColor="text1"/>
          <w:sz w:val="24"/>
          <w14:textFill>
            <w14:solidFill>
              <w14:schemeClr w14:val="tx1"/>
            </w14:solidFill>
          </w14:textFill>
        </w:rPr>
        <w:t>年</w:t>
      </w:r>
      <w:r>
        <w:rPr>
          <w:rFonts w:hint="eastAsia" w:ascii="宋体" w:hAnsi="宋体" w:cs="宋体"/>
          <w:b/>
          <w:bCs/>
          <w:color w:val="000000" w:themeColor="text1"/>
          <w:sz w:val="24"/>
          <w:u w:val="single"/>
          <w:lang w:val="en-US" w:eastAsia="zh-CN"/>
          <w14:textFill>
            <w14:solidFill>
              <w14:schemeClr w14:val="tx1"/>
            </w14:solidFill>
          </w14:textFill>
        </w:rPr>
        <w:t xml:space="preserve"> 8 </w:t>
      </w:r>
      <w:r>
        <w:rPr>
          <w:rFonts w:hint="eastAsia" w:ascii="宋体" w:hAnsi="宋体" w:cs="宋体"/>
          <w:b/>
          <w:bCs/>
          <w:color w:val="000000" w:themeColor="text1"/>
          <w:sz w:val="24"/>
          <w14:textFill>
            <w14:solidFill>
              <w14:schemeClr w14:val="tx1"/>
            </w14:solidFill>
          </w14:textFill>
        </w:rPr>
        <w:t>月</w:t>
      </w:r>
      <w:r>
        <w:rPr>
          <w:rFonts w:hint="eastAsia" w:ascii="宋体" w:hAnsi="宋体" w:cs="宋体"/>
          <w:b/>
          <w:bCs/>
          <w:color w:val="000000" w:themeColor="text1"/>
          <w:sz w:val="24"/>
          <w:u w:val="single"/>
          <w:lang w:val="en-US" w:eastAsia="zh-CN"/>
          <w14:textFill>
            <w14:solidFill>
              <w14:schemeClr w14:val="tx1"/>
            </w14:solidFill>
          </w14:textFill>
        </w:rPr>
        <w:t xml:space="preserve"> 21 </w:t>
      </w:r>
      <w:r>
        <w:rPr>
          <w:rFonts w:hint="eastAsia" w:ascii="宋体" w:hAnsi="宋体" w:cs="宋体"/>
          <w:b/>
          <w:bCs/>
          <w:color w:val="000000" w:themeColor="text1"/>
          <w:sz w:val="24"/>
          <w14:textFill>
            <w14:solidFill>
              <w14:schemeClr w14:val="tx1"/>
            </w14:solidFill>
          </w14:textFill>
        </w:rPr>
        <w:t>日上午09：30）前。</w:t>
      </w:r>
    </w:p>
    <w:p w14:paraId="138D8F40">
      <w:pPr>
        <w:pStyle w:val="21"/>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2、提交地点：</w:t>
      </w:r>
    </w:p>
    <w:p w14:paraId="0285D6EE">
      <w:pPr>
        <w:pStyle w:val="2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“苏采云”系统（网址：http://jszfcg.jsczt.cn/）“开标大厅”或进入徐州政府采购网（网址：http://czj.xz.gov.cn/Home/HomeIndex）-业务工作-用户登录，点击“苏采云”进入系统“开标大厅”。 </w:t>
      </w:r>
    </w:p>
    <w:p w14:paraId="138A91C0">
      <w:pPr>
        <w:pStyle w:val="21"/>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（四）首次响应文件开启时间：</w:t>
      </w:r>
      <w:r>
        <w:rPr>
          <w:rFonts w:hint="eastAsia" w:ascii="宋体" w:hAnsi="宋体" w:cs="宋体"/>
          <w:b/>
          <w:bCs/>
          <w:color w:val="000000" w:themeColor="text1"/>
          <w:sz w:val="24"/>
          <w:lang w:eastAsia="zh-CN"/>
          <w14:textFill>
            <w14:solidFill>
              <w14:schemeClr w14:val="tx1"/>
            </w14:solidFill>
          </w14:textFill>
        </w:rPr>
        <w:t>2025</w:t>
      </w:r>
      <w:r>
        <w:rPr>
          <w:rFonts w:hint="eastAsia" w:ascii="宋体" w:hAnsi="宋体" w:cs="宋体"/>
          <w:b/>
          <w:bCs/>
          <w:color w:val="000000" w:themeColor="text1"/>
          <w:sz w:val="24"/>
          <w14:textFill>
            <w14:solidFill>
              <w14:schemeClr w14:val="tx1"/>
            </w14:solidFill>
          </w14:textFill>
        </w:rPr>
        <w:t>年</w:t>
      </w:r>
      <w:r>
        <w:rPr>
          <w:rFonts w:hint="eastAsia" w:ascii="宋体" w:hAnsi="宋体" w:cs="宋体"/>
          <w:b/>
          <w:bCs/>
          <w:color w:val="000000" w:themeColor="text1"/>
          <w:sz w:val="24"/>
          <w:u w:val="single"/>
          <w:lang w:val="en-US" w:eastAsia="zh-CN"/>
          <w14:textFill>
            <w14:solidFill>
              <w14:schemeClr w14:val="tx1"/>
            </w14:solidFill>
          </w14:textFill>
        </w:rPr>
        <w:t xml:space="preserve"> 8 </w:t>
      </w:r>
      <w:r>
        <w:rPr>
          <w:rFonts w:hint="eastAsia" w:ascii="宋体" w:hAnsi="宋体" w:cs="宋体"/>
          <w:b/>
          <w:bCs/>
          <w:color w:val="000000" w:themeColor="text1"/>
          <w:sz w:val="24"/>
          <w14:textFill>
            <w14:solidFill>
              <w14:schemeClr w14:val="tx1"/>
            </w14:solidFill>
          </w14:textFill>
        </w:rPr>
        <w:t>月</w:t>
      </w:r>
      <w:r>
        <w:rPr>
          <w:rFonts w:hint="eastAsia" w:ascii="宋体" w:hAnsi="宋体" w:cs="宋体"/>
          <w:b/>
          <w:bCs/>
          <w:color w:val="000000" w:themeColor="text1"/>
          <w:sz w:val="24"/>
          <w:u w:val="single"/>
          <w:lang w:val="en-US" w:eastAsia="zh-CN"/>
          <w14:textFill>
            <w14:solidFill>
              <w14:schemeClr w14:val="tx1"/>
            </w14:solidFill>
          </w14:textFill>
        </w:rPr>
        <w:t xml:space="preserve"> 21 </w:t>
      </w:r>
      <w:r>
        <w:rPr>
          <w:rFonts w:hint="eastAsia" w:ascii="宋体" w:hAnsi="宋体" w:cs="宋体"/>
          <w:b/>
          <w:bCs/>
          <w:color w:val="000000" w:themeColor="text1"/>
          <w:sz w:val="24"/>
          <w14:textFill>
            <w14:solidFill>
              <w14:schemeClr w14:val="tx1"/>
            </w14:solidFill>
          </w14:textFill>
        </w:rPr>
        <w:t>日上午09：30。</w:t>
      </w:r>
    </w:p>
    <w:p w14:paraId="5E631736">
      <w:pPr>
        <w:pStyle w:val="21"/>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（五）首次响应文件开启地点：</w:t>
      </w:r>
    </w:p>
    <w:p w14:paraId="59399F42">
      <w:pPr>
        <w:pStyle w:val="21"/>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“苏采云”系统（网址：http://jszfcg.jsczt.cn/）“开标大厅”或进入徐州政府采购网（网址：http://czj.xz.gov.cn/Home/HomeIndex）-业务工作-用户登录，点击“苏采云”进入系统“开标大厅”。</w:t>
      </w:r>
    </w:p>
    <w:p w14:paraId="05957180">
      <w:pPr>
        <w:pStyle w:val="21"/>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供应商在首次响应文件提交的截止时间前，可以对所提交的首次响应文件进行补充、修改或者撤回。补充、修改的内容作为响应文件的组成部分。补充、修改的内容与首次响应文件不一致的，以补充、修改的内容为准。</w:t>
      </w:r>
    </w:p>
    <w:p w14:paraId="68825AF7">
      <w:pPr>
        <w:pStyle w:val="21"/>
        <w:keepNext w:val="0"/>
        <w:keepLines w:val="0"/>
        <w:pageBreakBefore w:val="0"/>
        <w:widowControl/>
        <w:shd w:val="clear"/>
        <w:kinsoku/>
        <w:wordWrap/>
        <w:overflowPunct/>
        <w:topLinePunct w:val="0"/>
        <w:autoSpaceDE/>
        <w:autoSpaceDN/>
        <w:bidi w:val="0"/>
        <w:adjustRightInd/>
        <w:snapToGrid/>
        <w:spacing w:line="360" w:lineRule="auto"/>
        <w:ind w:left="0" w:right="0" w:firstLine="480" w:firstLineChars="200"/>
        <w:jc w:val="left"/>
        <w:textAlignment w:val="auto"/>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（七）不接受不按要求加盖公章（电子签章）的首次响应文件。电子签章相关要求见“苏采云”系统。</w:t>
      </w:r>
    </w:p>
    <w:p w14:paraId="770DFF4C">
      <w:pPr>
        <w:pStyle w:val="21"/>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（八）首次响应文件解密：到达开启时间，</w:t>
      </w:r>
      <w:r>
        <w:rPr>
          <w:rFonts w:hint="eastAsia" w:ascii="宋体" w:hAnsi="宋体" w:cs="宋体"/>
          <w:color w:val="000000" w:themeColor="text1"/>
          <w:sz w:val="24"/>
          <w14:textFill>
            <w14:solidFill>
              <w14:schemeClr w14:val="tx1"/>
            </w14:solidFill>
          </w14:textFill>
        </w:rPr>
        <w:t>“苏采云”系统自动提取所有响应文件，供应商按采购文件规定方式按时在线解密。本项目采购文件规定的供应商按时在线解密方式：</w:t>
      </w:r>
      <w:r>
        <w:rPr>
          <w:rFonts w:hint="eastAsia" w:ascii="宋体" w:hAnsi="宋体" w:cs="宋体"/>
          <w:b/>
          <w:bCs/>
          <w:color w:val="000000" w:themeColor="text1"/>
          <w:sz w:val="24"/>
          <w14:textFill>
            <w14:solidFill>
              <w14:schemeClr w14:val="tx1"/>
            </w14:solidFill>
          </w14:textFill>
        </w:rPr>
        <w:t>开启时间后30分钟内</w:t>
      </w:r>
      <w:r>
        <w:rPr>
          <w:rFonts w:hint="eastAsia" w:ascii="宋体" w:hAnsi="宋体" w:cs="宋体"/>
          <w:color w:val="000000" w:themeColor="text1"/>
          <w:sz w:val="24"/>
          <w14:textFill>
            <w14:solidFill>
              <w14:schemeClr w14:val="tx1"/>
            </w14:solidFill>
          </w14:textFill>
        </w:rPr>
        <w:t>，通过“苏采云”系统（使用“CA数字证书”）解密。</w:t>
      </w:r>
    </w:p>
    <w:p w14:paraId="47AA88E2">
      <w:pPr>
        <w:pStyle w:val="21"/>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（九）采购文件（后缀名为“.kedt”）、供应商操作手册及政府采购客户端工具可通过“苏采云”系统（网址：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"http://jszfcg.jsczt.cn/"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http://jszfcg.jsczt.cn/</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14:paraId="2D5D9D96">
      <w:pPr>
        <w:pStyle w:val="21"/>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（十）相关说明</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供应商在“苏采云”系统中提交首次响应文件的时间即为数据电文（响应文件，下同）的发送时间和接收时间。</w:t>
      </w:r>
    </w:p>
    <w:p w14:paraId="14CF9D70">
      <w:pPr>
        <w:pStyle w:val="21"/>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十三、响应文件编制要求</w:t>
      </w:r>
    </w:p>
    <w:p w14:paraId="62C3FCA5">
      <w:pPr>
        <w:pStyle w:val="21"/>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请按照以下要求（包括但不限于以下要求）制作：</w:t>
      </w:r>
    </w:p>
    <w:p w14:paraId="039A816A">
      <w:pPr>
        <w:pStyle w:val="21"/>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（一）基本目录</w:t>
      </w:r>
    </w:p>
    <w:p w14:paraId="767DD7C2">
      <w:pPr>
        <w:pStyle w:val="21"/>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b/>
          <w:bCs w:val="0"/>
          <w:color w:val="000000" w:themeColor="text1"/>
          <w:sz w:val="24"/>
          <w14:textFill>
            <w14:solidFill>
              <w14:schemeClr w14:val="tx1"/>
            </w14:solidFill>
          </w14:textFill>
        </w:rPr>
      </w:pPr>
      <w:r>
        <w:rPr>
          <w:rFonts w:hint="eastAsia" w:ascii="宋体" w:hAnsi="宋体" w:cs="宋体"/>
          <w:b/>
          <w:bCs w:val="0"/>
          <w:color w:val="000000" w:themeColor="text1"/>
          <w:sz w:val="24"/>
          <w14:textFill>
            <w14:solidFill>
              <w14:schemeClr w14:val="tx1"/>
            </w14:solidFill>
          </w14:textFill>
        </w:rPr>
        <w:t>1、《磋商报价表》（加盖电子签章，格式见《磋商文件》附件。政府采购客户端工具输入报价自动生成）；</w:t>
      </w:r>
    </w:p>
    <w:p w14:paraId="4582A8B2">
      <w:pPr>
        <w:pStyle w:val="21"/>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2、授权委托书（提供原件的扫描件，格式见《磋商文件》附件）；</w:t>
      </w:r>
    </w:p>
    <w:p w14:paraId="642D179F">
      <w:pPr>
        <w:pStyle w:val="21"/>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3、授权委托书中受托人身份证原件的扫描件；</w:t>
      </w:r>
    </w:p>
    <w:p w14:paraId="6EC712BB">
      <w:pPr>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4、供应商认为需要提供的其他资料的扫描件（如有）。</w:t>
      </w:r>
    </w:p>
    <w:p w14:paraId="758425BE">
      <w:pPr>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（二）资格条件（1～</w:t>
      </w:r>
      <w:r>
        <w:rPr>
          <w:rFonts w:hint="eastAsia" w:ascii="宋体" w:hAnsi="宋体" w:cs="宋体"/>
          <w:b/>
          <w:color w:val="000000" w:themeColor="text1"/>
          <w:sz w:val="24"/>
          <w:szCs w:val="24"/>
          <w:lang w:val="en-US" w:eastAsia="zh-CN"/>
          <w14:textFill>
            <w14:solidFill>
              <w14:schemeClr w14:val="tx1"/>
            </w14:solidFill>
          </w14:textFill>
        </w:rPr>
        <w:t>7</w:t>
      </w:r>
      <w:r>
        <w:rPr>
          <w:rFonts w:hint="eastAsia" w:ascii="宋体" w:hAnsi="宋体" w:cs="宋体"/>
          <w:b/>
          <w:color w:val="000000" w:themeColor="text1"/>
          <w:sz w:val="24"/>
          <w:szCs w:val="24"/>
          <w14:textFill>
            <w14:solidFill>
              <w14:schemeClr w14:val="tx1"/>
            </w14:solidFill>
          </w14:textFill>
        </w:rPr>
        <w:t>项必须提供，否则响应无效）</w:t>
      </w:r>
    </w:p>
    <w:p w14:paraId="24CA204C">
      <w:pPr>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w:t>
      </w:r>
      <w:r>
        <w:rPr>
          <w:rFonts w:hint="eastAsia" w:ascii="宋体" w:hAnsi="宋体" w:cs="宋体"/>
          <w:b w:val="0"/>
          <w:bCs w:val="0"/>
          <w:color w:val="000000" w:themeColor="text1"/>
          <w:sz w:val="24"/>
          <w:szCs w:val="24"/>
          <w14:textFill>
            <w14:solidFill>
              <w14:schemeClr w14:val="tx1"/>
            </w14:solidFill>
          </w14:textFill>
        </w:rPr>
        <w:t>供应商</w:t>
      </w:r>
      <w:r>
        <w:rPr>
          <w:rFonts w:hint="eastAsia" w:ascii="新宋体" w:hAnsi="新宋体" w:eastAsia="新宋体" w:cs="新宋体"/>
          <w:b w:val="0"/>
          <w:bCs w:val="0"/>
          <w:i w:val="0"/>
          <w:iCs w:val="0"/>
          <w:caps w:val="0"/>
          <w:color w:val="auto"/>
          <w:spacing w:val="0"/>
          <w:sz w:val="24"/>
          <w:szCs w:val="24"/>
        </w:rPr>
        <w:t>具有独立承担民事责任的能力，提供供应商合法有效的法人营业执照(或事业单位法人证书)或其他组织应提供合法证明文件</w:t>
      </w:r>
      <w:r>
        <w:rPr>
          <w:rFonts w:hint="eastAsia" w:ascii="宋体" w:hAnsi="宋体" w:cs="宋体"/>
          <w:b/>
          <w:bCs/>
          <w:color w:val="000000" w:themeColor="text1"/>
          <w:sz w:val="24"/>
          <w:szCs w:val="24"/>
          <w14:textFill>
            <w14:solidFill>
              <w14:schemeClr w14:val="tx1"/>
            </w14:solidFill>
          </w14:textFill>
        </w:rPr>
        <w:t>，以上证明文件的扫描件；</w:t>
      </w:r>
    </w:p>
    <w:p w14:paraId="355FFC37">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b w:val="0"/>
          <w:bCs w:val="0"/>
          <w:color w:val="auto"/>
          <w:sz w:val="24"/>
          <w:szCs w:val="24"/>
        </w:rPr>
        <w:t>2、</w:t>
      </w:r>
      <w:r>
        <w:rPr>
          <w:rFonts w:hint="eastAsia" w:ascii="新宋体" w:hAnsi="新宋体" w:eastAsia="新宋体" w:cs="新宋体"/>
          <w:i w:val="0"/>
          <w:iCs w:val="0"/>
          <w:caps w:val="0"/>
          <w:color w:val="auto"/>
          <w:spacing w:val="0"/>
          <w:sz w:val="24"/>
          <w:szCs w:val="24"/>
        </w:rPr>
        <w:t>具备履行合同所必需的设备和专业技术能力的证明材料，提供具备履行合同所必需的设备和专业技术能力的书面声明（加盖电子签章，格式见《磋商文件》附件），所附证明材料须包含</w:t>
      </w:r>
      <w:r>
        <w:rPr>
          <w:rFonts w:hint="eastAsia" w:ascii="宋体" w:hAnsi="宋体" w:eastAsia="宋体" w:cs="宋体"/>
          <w:i w:val="0"/>
          <w:iCs w:val="0"/>
          <w:caps w:val="0"/>
          <w:color w:val="auto"/>
          <w:spacing w:val="0"/>
          <w:sz w:val="24"/>
          <w:szCs w:val="24"/>
        </w:rPr>
        <w:t>具备履行合同所必需的设备和专业技术能力的证明材料，即至少提供</w:t>
      </w:r>
      <w:r>
        <w:rPr>
          <w:rFonts w:hint="eastAsia" w:ascii="宋体" w:hAnsi="宋体" w:cs="宋体"/>
          <w:i w:val="0"/>
          <w:iCs w:val="0"/>
          <w:caps w:val="0"/>
          <w:color w:val="auto"/>
          <w:spacing w:val="0"/>
          <w:sz w:val="24"/>
          <w:szCs w:val="24"/>
          <w:lang w:val="en-US" w:eastAsia="zh-CN"/>
        </w:rPr>
        <w:t>有</w:t>
      </w:r>
      <w:r>
        <w:rPr>
          <w:rFonts w:hint="eastAsia" w:ascii="宋体" w:hAnsi="宋体" w:eastAsia="宋体" w:cs="宋体"/>
          <w:i w:val="0"/>
          <w:iCs w:val="0"/>
          <w:caps w:val="0"/>
          <w:color w:val="auto"/>
          <w:spacing w:val="0"/>
          <w:sz w:val="24"/>
          <w:szCs w:val="24"/>
        </w:rPr>
        <w:t>效的《保安服务许可证》扫描件。</w:t>
      </w:r>
      <w:r>
        <w:rPr>
          <w:rFonts w:hint="eastAsia" w:ascii="宋体" w:hAnsi="宋体" w:cs="宋体"/>
          <w:color w:val="auto"/>
          <w:sz w:val="24"/>
          <w:szCs w:val="24"/>
        </w:rPr>
        <w:t>（加盖电子签章，格式见《磋商文件》附件,所附证明材料扫描件加盖电子签章）</w:t>
      </w:r>
      <w:r>
        <w:rPr>
          <w:rFonts w:hint="eastAsia" w:ascii="宋体" w:hAnsi="宋体" w:cs="宋体"/>
          <w:color w:val="000000" w:themeColor="text1"/>
          <w:sz w:val="24"/>
          <w:szCs w:val="24"/>
          <w14:textFill>
            <w14:solidFill>
              <w14:schemeClr w14:val="tx1"/>
            </w14:solidFill>
          </w14:textFill>
        </w:rPr>
        <w:t>；</w:t>
      </w:r>
    </w:p>
    <w:p w14:paraId="26F93D21">
      <w:pPr>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3、财务状况报告，至少提供：</w:t>
      </w:r>
    </w:p>
    <w:p w14:paraId="18C85CEE">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供应商的提交首次响应文件时间前6个月内任何日期的</w:t>
      </w:r>
      <w:r>
        <w:rPr>
          <w:rFonts w:hint="eastAsia" w:ascii="宋体" w:hAnsi="宋体" w:cs="宋体"/>
          <w:b/>
          <w:color w:val="000000" w:themeColor="text1"/>
          <w:sz w:val="24"/>
          <w:szCs w:val="24"/>
          <w14:textFill>
            <w14:solidFill>
              <w14:schemeClr w14:val="tx1"/>
            </w14:solidFill>
          </w14:textFill>
        </w:rPr>
        <w:t>资产负债表和利润表</w:t>
      </w:r>
      <w:r>
        <w:rPr>
          <w:rFonts w:hint="eastAsia" w:ascii="宋体" w:hAnsi="宋体" w:cs="宋体"/>
          <w:bCs/>
          <w:color w:val="000000" w:themeColor="text1"/>
          <w:sz w:val="24"/>
          <w:szCs w:val="24"/>
          <w14:textFill>
            <w14:solidFill>
              <w14:schemeClr w14:val="tx1"/>
            </w14:solidFill>
          </w14:textFill>
        </w:rPr>
        <w:t>月报表扫描件</w:t>
      </w:r>
      <w:r>
        <w:rPr>
          <w:rFonts w:hint="eastAsia" w:ascii="宋体" w:hAnsi="宋体" w:cs="宋体"/>
          <w:b/>
          <w:bCs w:val="0"/>
          <w:color w:val="000000" w:themeColor="text1"/>
          <w:sz w:val="24"/>
          <w:szCs w:val="24"/>
          <w:lang w:val="en-US" w:eastAsia="zh-CN"/>
          <w14:textFill>
            <w14:solidFill>
              <w14:schemeClr w14:val="tx1"/>
            </w14:solidFill>
          </w14:textFill>
        </w:rPr>
        <w:t>各一份</w:t>
      </w:r>
      <w:r>
        <w:rPr>
          <w:rFonts w:hint="eastAsia" w:ascii="宋体" w:hAnsi="宋体" w:cs="宋体"/>
          <w:b/>
          <w:bCs w:val="0"/>
          <w:color w:val="000000" w:themeColor="text1"/>
          <w:sz w:val="24"/>
          <w:szCs w:val="24"/>
          <w14:textFill>
            <w14:solidFill>
              <w14:schemeClr w14:val="tx1"/>
            </w14:solidFill>
          </w14:textFill>
        </w:rPr>
        <w:t>；</w:t>
      </w:r>
      <w:r>
        <w:rPr>
          <w:rFonts w:hint="eastAsia" w:ascii="宋体" w:hAnsi="宋体" w:cs="宋体"/>
          <w:bCs/>
          <w:color w:val="000000" w:themeColor="text1"/>
          <w:sz w:val="24"/>
          <w:szCs w:val="24"/>
          <w14:textFill>
            <w14:solidFill>
              <w14:schemeClr w14:val="tx1"/>
            </w14:solidFill>
          </w14:textFill>
        </w:rPr>
        <w:t>或供应商基本开户银行出具的有效的资信证明扫描件</w:t>
      </w:r>
      <w:r>
        <w:rPr>
          <w:rFonts w:hint="eastAsia" w:ascii="宋体" w:hAnsi="宋体" w:cs="宋体"/>
          <w:b/>
          <w:bCs w:val="0"/>
          <w:color w:val="000000" w:themeColor="text1"/>
          <w:sz w:val="24"/>
          <w:szCs w:val="24"/>
          <w:lang w:val="en-US" w:eastAsia="zh-CN"/>
          <w14:textFill>
            <w14:solidFill>
              <w14:schemeClr w14:val="tx1"/>
            </w14:solidFill>
          </w14:textFill>
        </w:rPr>
        <w:t>一份</w:t>
      </w:r>
      <w:r>
        <w:rPr>
          <w:rFonts w:hint="eastAsia" w:ascii="宋体" w:hAnsi="宋体" w:cs="宋体"/>
          <w:bCs/>
          <w:color w:val="000000" w:themeColor="text1"/>
          <w:sz w:val="24"/>
          <w:szCs w:val="24"/>
          <w14:textFill>
            <w14:solidFill>
              <w14:schemeClr w14:val="tx1"/>
            </w14:solidFill>
          </w14:textFill>
        </w:rPr>
        <w:t>；或提供</w:t>
      </w:r>
      <w:r>
        <w:rPr>
          <w:rFonts w:hint="eastAsia" w:ascii="宋体" w:hAnsi="宋体" w:cs="宋体"/>
          <w:bCs/>
          <w:color w:val="000000" w:themeColor="text1"/>
          <w:sz w:val="24"/>
          <w:szCs w:val="24"/>
          <w:lang w:val="en-US" w:eastAsia="zh-CN"/>
          <w14:textFill>
            <w14:solidFill>
              <w14:schemeClr w14:val="tx1"/>
            </w14:solidFill>
          </w14:textFill>
        </w:rPr>
        <w:t>供应商</w:t>
      </w:r>
      <w:r>
        <w:rPr>
          <w:rFonts w:hint="eastAsia" w:ascii="宋体" w:hAnsi="宋体" w:cs="宋体"/>
          <w:b/>
          <w:bCs w:val="0"/>
          <w:color w:val="000000" w:themeColor="text1"/>
          <w:sz w:val="24"/>
          <w:szCs w:val="24"/>
          <w:lang w:val="en-US" w:eastAsia="zh-CN"/>
          <w14:textFill>
            <w14:solidFill>
              <w14:schemeClr w14:val="tx1"/>
            </w14:solidFill>
          </w14:textFill>
        </w:rPr>
        <w:t>2024年度</w:t>
      </w:r>
      <w:r>
        <w:rPr>
          <w:rFonts w:hint="eastAsia" w:ascii="宋体" w:hAnsi="宋体" w:cs="宋体"/>
          <w:b/>
          <w:bCs w:val="0"/>
          <w:color w:val="000000" w:themeColor="text1"/>
          <w:sz w:val="24"/>
          <w:szCs w:val="24"/>
          <w14:textFill>
            <w14:solidFill>
              <w14:schemeClr w14:val="tx1"/>
            </w14:solidFill>
          </w14:textFill>
        </w:rPr>
        <w:t>经审计</w:t>
      </w:r>
      <w:r>
        <w:rPr>
          <w:rFonts w:hint="eastAsia" w:ascii="宋体" w:hAnsi="宋体" w:cs="宋体"/>
          <w:bCs/>
          <w:color w:val="000000" w:themeColor="text1"/>
          <w:sz w:val="24"/>
          <w:szCs w:val="24"/>
          <w14:textFill>
            <w14:solidFill>
              <w14:schemeClr w14:val="tx1"/>
            </w14:solidFill>
          </w14:textFill>
        </w:rPr>
        <w:t>的财务报告扫描件</w:t>
      </w:r>
      <w:r>
        <w:rPr>
          <w:rFonts w:hint="eastAsia" w:ascii="宋体" w:hAnsi="宋体" w:cs="宋体"/>
          <w:b/>
          <w:bCs w:val="0"/>
          <w:color w:val="000000" w:themeColor="text1"/>
          <w:sz w:val="24"/>
          <w:szCs w:val="24"/>
          <w14:textFill>
            <w14:solidFill>
              <w14:schemeClr w14:val="tx1"/>
            </w14:solidFill>
          </w14:textFill>
        </w:rPr>
        <w:t>一份</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14:textFill>
            <w14:solidFill>
              <w14:schemeClr w14:val="tx1"/>
            </w14:solidFill>
          </w14:textFill>
        </w:rPr>
        <w:t>或财政部门认可的政府采购专业担保机构出具的有效的投标担保函扫描件</w:t>
      </w:r>
      <w:r>
        <w:rPr>
          <w:rFonts w:hint="eastAsia" w:ascii="宋体" w:hAnsi="宋体" w:cs="宋体"/>
          <w:b/>
          <w:bCs w:val="0"/>
          <w:color w:val="000000" w:themeColor="text1"/>
          <w:sz w:val="24"/>
          <w:szCs w:val="24"/>
          <w:lang w:val="en-US" w:eastAsia="zh-CN"/>
          <w14:textFill>
            <w14:solidFill>
              <w14:schemeClr w14:val="tx1"/>
            </w14:solidFill>
          </w14:textFill>
        </w:rPr>
        <w:t>一份</w:t>
      </w:r>
      <w:r>
        <w:rPr>
          <w:rFonts w:hint="eastAsia" w:ascii="宋体" w:hAnsi="宋体" w:cs="宋体"/>
          <w:bCs/>
          <w:color w:val="000000" w:themeColor="text1"/>
          <w:sz w:val="24"/>
          <w:szCs w:val="24"/>
          <w14:textFill>
            <w14:solidFill>
              <w14:schemeClr w14:val="tx1"/>
            </w14:solidFill>
          </w14:textFill>
        </w:rPr>
        <w:t>；</w:t>
      </w:r>
    </w:p>
    <w:p w14:paraId="4C299880">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4、供应商的提交首次响应文件时间前6个月内任何1月的</w:t>
      </w:r>
      <w:r>
        <w:rPr>
          <w:rFonts w:hint="eastAsia" w:ascii="宋体" w:hAnsi="宋体" w:cs="宋体"/>
          <w:b/>
          <w:color w:val="000000" w:themeColor="text1"/>
          <w:sz w:val="24"/>
          <w:szCs w:val="24"/>
          <w14:textFill>
            <w14:solidFill>
              <w14:schemeClr w14:val="tx1"/>
            </w14:solidFill>
          </w14:textFill>
        </w:rPr>
        <w:t>依法缴纳税收和社会保障资金</w:t>
      </w:r>
      <w:r>
        <w:rPr>
          <w:rFonts w:hint="eastAsia" w:ascii="宋体" w:hAnsi="宋体" w:cs="宋体"/>
          <w:bCs/>
          <w:color w:val="000000" w:themeColor="text1"/>
          <w:sz w:val="24"/>
          <w:szCs w:val="24"/>
          <w14:textFill>
            <w14:solidFill>
              <w14:schemeClr w14:val="tx1"/>
            </w14:solidFill>
          </w14:textFill>
        </w:rPr>
        <w:t>的相关材料扫描件</w:t>
      </w:r>
      <w:r>
        <w:rPr>
          <w:rFonts w:hint="eastAsia" w:ascii="宋体" w:hAnsi="宋体" w:cs="宋体"/>
          <w:b/>
          <w:bCs w:val="0"/>
          <w:color w:val="000000" w:themeColor="text1"/>
          <w:sz w:val="24"/>
          <w:szCs w:val="24"/>
          <w:lang w:val="en-US" w:eastAsia="zh-CN"/>
          <w14:textFill>
            <w14:solidFill>
              <w14:schemeClr w14:val="tx1"/>
            </w14:solidFill>
          </w14:textFill>
        </w:rPr>
        <w:t>各一份</w:t>
      </w:r>
      <w:r>
        <w:rPr>
          <w:rFonts w:hint="eastAsia" w:ascii="宋体" w:hAnsi="宋体" w:cs="宋体"/>
          <w:b/>
          <w:bCs w:val="0"/>
          <w:color w:val="000000" w:themeColor="text1"/>
          <w:sz w:val="24"/>
          <w:szCs w:val="24"/>
          <w14:textFill>
            <w14:solidFill>
              <w14:schemeClr w14:val="tx1"/>
            </w14:solidFill>
          </w14:textFill>
        </w:rPr>
        <w:t>；</w:t>
      </w:r>
      <w:r>
        <w:rPr>
          <w:rFonts w:hint="eastAsia" w:ascii="宋体" w:hAnsi="宋体" w:cs="宋体"/>
          <w:bCs/>
          <w:color w:val="000000" w:themeColor="text1"/>
          <w:sz w:val="24"/>
          <w:szCs w:val="24"/>
          <w14:textFill>
            <w14:solidFill>
              <w14:schemeClr w14:val="tx1"/>
            </w14:solidFill>
          </w14:textFill>
        </w:rPr>
        <w:t>或依法免税或不需要缴纳社会保障资金的供应商应提供相应其依法免税或不需要缴纳社会保障资金的证明文件扫描件；</w:t>
      </w:r>
    </w:p>
    <w:p w14:paraId="5BD350E0">
      <w:pPr>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5、供应商参加政府采购活动前3年内在经营活动中没有重大违法记录的书面声明(原件，格式见《磋商文件》附件)；</w:t>
      </w:r>
    </w:p>
    <w:p w14:paraId="22FEE79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新宋体" w:hAnsi="新宋体" w:eastAsia="新宋体" w:cs="新宋体"/>
          <w:i w:val="0"/>
          <w:iCs w:val="0"/>
          <w:caps w:val="0"/>
          <w:color w:val="auto"/>
          <w:spacing w:val="0"/>
          <w:sz w:val="24"/>
          <w:szCs w:val="24"/>
          <w:lang w:val="en-US" w:eastAsia="zh-CN"/>
        </w:rPr>
        <w:t>6、</w:t>
      </w:r>
      <w:r>
        <w:rPr>
          <w:rFonts w:hint="eastAsia" w:ascii="新宋体" w:hAnsi="新宋体" w:eastAsia="新宋体" w:cs="新宋体"/>
          <w:i w:val="0"/>
          <w:iCs w:val="0"/>
          <w:caps w:val="0"/>
          <w:color w:val="auto"/>
          <w:spacing w:val="0"/>
          <w:sz w:val="24"/>
          <w:szCs w:val="24"/>
        </w:rPr>
        <w:t>本项目的特定资格要求：</w:t>
      </w:r>
      <w:r>
        <w:rPr>
          <w:rFonts w:hint="eastAsia" w:ascii="新宋体" w:hAnsi="新宋体" w:eastAsia="新宋体" w:cs="新宋体"/>
          <w:i w:val="0"/>
          <w:iCs w:val="0"/>
          <w:caps w:val="0"/>
          <w:color w:val="auto"/>
          <w:spacing w:val="0"/>
          <w:sz w:val="24"/>
          <w:szCs w:val="24"/>
          <w:lang w:eastAsia="zh-CN"/>
        </w:rPr>
        <w:t>供应商具备合法有效的《保安服务许可证》，需提供原件扫描件</w:t>
      </w:r>
      <w:r>
        <w:rPr>
          <w:rFonts w:hint="eastAsia" w:ascii="新宋体" w:hAnsi="新宋体" w:eastAsia="新宋体" w:cs="新宋体"/>
          <w:i w:val="0"/>
          <w:iCs w:val="0"/>
          <w:caps w:val="0"/>
          <w:color w:val="auto"/>
          <w:spacing w:val="0"/>
          <w:sz w:val="24"/>
          <w:szCs w:val="24"/>
          <w:lang w:val="en-US" w:eastAsia="zh-CN"/>
        </w:rPr>
        <w:t>并</w:t>
      </w:r>
      <w:r>
        <w:rPr>
          <w:rFonts w:hint="eastAsia" w:ascii="宋体" w:hAnsi="宋体" w:cs="宋体"/>
          <w:color w:val="auto"/>
          <w:sz w:val="24"/>
          <w:szCs w:val="24"/>
        </w:rPr>
        <w:t>加盖电子签章</w:t>
      </w:r>
      <w:r>
        <w:rPr>
          <w:rFonts w:hint="eastAsia" w:ascii="宋体" w:hAnsi="宋体" w:cs="宋体"/>
          <w:color w:val="auto"/>
          <w:sz w:val="24"/>
          <w:szCs w:val="24"/>
          <w:lang w:eastAsia="zh-CN"/>
        </w:rPr>
        <w:t>；</w:t>
      </w:r>
    </w:p>
    <w:p w14:paraId="31B3ACC2">
      <w:pPr>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7</w:t>
      </w:r>
      <w:r>
        <w:rPr>
          <w:rFonts w:hint="eastAsia" w:ascii="宋体" w:hAnsi="宋体" w:cs="宋体"/>
          <w:b/>
          <w:color w:val="000000" w:themeColor="text1"/>
          <w:sz w:val="24"/>
          <w:szCs w:val="24"/>
          <w14:textFill>
            <w14:solidFill>
              <w14:schemeClr w14:val="tx1"/>
            </w14:solidFill>
          </w14:textFill>
        </w:rPr>
        <w:t>、本项目为专门面向中小微企业采购的项目，</w:t>
      </w:r>
      <w:r>
        <w:rPr>
          <w:rFonts w:hint="eastAsia" w:ascii="宋体" w:hAnsi="宋体" w:cs="宋体"/>
          <w:bCs/>
          <w:color w:val="000000" w:themeColor="text1"/>
          <w:sz w:val="24"/>
          <w:szCs w:val="24"/>
          <w14:textFill>
            <w14:solidFill>
              <w14:schemeClr w14:val="tx1"/>
            </w14:solidFill>
          </w14:textFill>
        </w:rPr>
        <w:t>供应商应为中小微企业（含中型、小型、微型企业，下同），响应文件中提供《中小企业声明函》（加盖</w:t>
      </w:r>
      <w:r>
        <w:rPr>
          <w:rFonts w:hint="eastAsia" w:ascii="宋体" w:hAnsi="宋体" w:cs="宋体"/>
          <w:bCs/>
          <w:color w:val="000000" w:themeColor="text1"/>
          <w:sz w:val="24"/>
          <w14:textFill>
            <w14:solidFill>
              <w14:schemeClr w14:val="tx1"/>
            </w14:solidFill>
          </w14:textFill>
        </w:rPr>
        <w:t>电子签章，填写完整，</w:t>
      </w:r>
      <w:r>
        <w:rPr>
          <w:rFonts w:hint="eastAsia" w:ascii="宋体" w:hAnsi="宋体" w:cs="宋体"/>
          <w:bCs/>
          <w:color w:val="000000" w:themeColor="text1"/>
          <w:sz w:val="24"/>
          <w:lang w:val="en-US" w:eastAsia="zh-CN"/>
          <w14:textFill>
            <w14:solidFill>
              <w14:schemeClr w14:val="tx1"/>
            </w14:solidFill>
          </w14:textFill>
        </w:rPr>
        <w:t>必须提供，</w:t>
      </w:r>
      <w:r>
        <w:rPr>
          <w:rFonts w:hint="eastAsia" w:ascii="宋体" w:hAnsi="宋体" w:cs="宋体"/>
          <w:bCs/>
          <w:color w:val="000000" w:themeColor="text1"/>
          <w:sz w:val="24"/>
          <w14:textFill>
            <w14:solidFill>
              <w14:schemeClr w14:val="tx1"/>
            </w14:solidFill>
          </w14:textFill>
        </w:rPr>
        <w:t>格式见《磋商文件》附件）。《中小企业声明函》查询渠道用微信搜索“中小企业规模类型自测小程序”。</w:t>
      </w:r>
    </w:p>
    <w:p w14:paraId="4A4AFFED">
      <w:pPr>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注：中小微企业，应当同时符合以下条件：</w:t>
      </w:r>
    </w:p>
    <w:p w14:paraId="2036E9E7">
      <w:pPr>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中小企业需满足的条件具体以《政府采购促进中小企业发展管理办法》（财库﹝2020﹞46 号）和《工业和信息化部、国家统计局、国家发展和改革委员会、财政部关于印发中小企业划型标准规定的通知》（工信部联企业[2011]300号）的规定为准。</w:t>
      </w:r>
    </w:p>
    <w:p w14:paraId="4BA9388F">
      <w:pPr>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供应商为残疾人福利性单位的，视同小微企业，提供《残疾人福利性单位声明函》（电子签章，格式见附件》）。具体以《关于促进残疾人就业政府采购政策的通知》（财库〔2017〕141号）的规定为准。</w:t>
      </w:r>
    </w:p>
    <w:p w14:paraId="761B1071">
      <w:pPr>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b/>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供应商为监狱企业的，视同小微企业，提供省级以上监狱管理局、戒毒管理局（含新疆生产建设兵团）出具的属于监狱企业的证明文件扫描件。具体以《财政部 司法部关于政府采购支持监狱企业发展有关问题的通知》（财库〔2014〕68号）的规定为准。</w:t>
      </w:r>
    </w:p>
    <w:p w14:paraId="0745F7DF">
      <w:pPr>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（三）符合条件（必须提供，否则响应无效）</w:t>
      </w:r>
    </w:p>
    <w:p w14:paraId="498850BF">
      <w:pPr>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1、《承诺书》（加盖电子签章，格式见《磋商文件》附件）；</w:t>
      </w:r>
    </w:p>
    <w:p w14:paraId="64CD893B">
      <w:pPr>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2</w:t>
      </w:r>
      <w:r>
        <w:rPr>
          <w:rFonts w:hint="eastAsia" w:ascii="宋体" w:hAnsi="宋体" w:cs="宋体"/>
          <w:b/>
          <w:bCs/>
          <w:color w:val="000000" w:themeColor="text1"/>
          <w:sz w:val="24"/>
          <w14:textFill>
            <w14:solidFill>
              <w14:schemeClr w14:val="tx1"/>
            </w14:solidFill>
          </w14:textFill>
        </w:rPr>
        <w:t>、偏离表（加盖电子签章，格式见《磋商文件》附件）；</w:t>
      </w:r>
    </w:p>
    <w:p w14:paraId="029FA834">
      <w:pPr>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3</w:t>
      </w:r>
      <w:r>
        <w:rPr>
          <w:rFonts w:hint="eastAsia" w:ascii="宋体" w:hAnsi="宋体" w:cs="宋体"/>
          <w:b/>
          <w:bCs/>
          <w:color w:val="000000" w:themeColor="text1"/>
          <w:sz w:val="24"/>
          <w:highlight w:val="none"/>
          <w14:textFill>
            <w14:solidFill>
              <w14:schemeClr w14:val="tx1"/>
            </w14:solidFill>
          </w14:textFill>
        </w:rPr>
        <w:t>、分项价格表（加盖电子签章，格式《磋商文件》附件）；</w:t>
      </w:r>
    </w:p>
    <w:p w14:paraId="5C67E261">
      <w:pPr>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（四）综合评审评分项</w:t>
      </w:r>
    </w:p>
    <w:p w14:paraId="5A297B32">
      <w:pPr>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一)技术部分：</w:t>
      </w:r>
    </w:p>
    <w:p w14:paraId="278C4E9B">
      <w:pPr>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1、技术服务方案</w:t>
      </w:r>
      <w:r>
        <w:rPr>
          <w:rFonts w:hint="eastAsia" w:ascii="宋体" w:hAnsi="宋体" w:cs="宋体"/>
          <w:color w:val="000000" w:themeColor="text1"/>
          <w:sz w:val="24"/>
          <w:highlight w:val="none"/>
          <w:lang w:val="en-US" w:eastAsia="zh-CN"/>
          <w14:textFill>
            <w14:solidFill>
              <w14:schemeClr w14:val="tx1"/>
            </w14:solidFill>
          </w14:textFill>
        </w:rPr>
        <w:t>（要求见《磋商文件》附件1、《评分细则》及附件：2、《项目要求（采购需求）》）；</w:t>
      </w:r>
    </w:p>
    <w:p w14:paraId="781F31B3">
      <w:pPr>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2、</w:t>
      </w:r>
      <w:r>
        <w:rPr>
          <w:rFonts w:hint="eastAsia" w:ascii="宋体" w:hAnsi="宋体" w:cs="宋体"/>
          <w:b/>
          <w:bCs/>
          <w:color w:val="000000" w:themeColor="text1"/>
          <w:sz w:val="24"/>
          <w:highlight w:val="none"/>
          <w14:textFill>
            <w14:solidFill>
              <w14:schemeClr w14:val="tx1"/>
            </w14:solidFill>
          </w14:textFill>
        </w:rPr>
        <w:t>评分细则中评分得分需提供的相关证明文件扫描件或供应商认为需要提供的其他资料扫描件。</w:t>
      </w:r>
    </w:p>
    <w:p w14:paraId="57495AC2">
      <w:pPr>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二）商务部分：</w:t>
      </w:r>
    </w:p>
    <w:p w14:paraId="590B38A7">
      <w:pPr>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w:t>
      </w:r>
      <w:r>
        <w:rPr>
          <w:rFonts w:hint="eastAsia" w:ascii="宋体" w:hAnsi="宋体" w:cs="宋体"/>
          <w:b/>
          <w:bCs/>
          <w:color w:val="000000" w:themeColor="text1"/>
          <w:sz w:val="24"/>
          <w:highlight w:val="none"/>
          <w:lang w:val="en-US" w:eastAsia="zh-CN"/>
          <w14:textFill>
            <w14:solidFill>
              <w14:schemeClr w14:val="tx1"/>
            </w14:solidFill>
          </w14:textFill>
        </w:rPr>
        <w:t>企业</w:t>
      </w:r>
      <w:r>
        <w:rPr>
          <w:rFonts w:hint="eastAsia" w:ascii="宋体" w:hAnsi="宋体" w:cs="宋体"/>
          <w:b/>
          <w:bCs/>
          <w:color w:val="000000" w:themeColor="text1"/>
          <w:sz w:val="24"/>
          <w:highlight w:val="none"/>
          <w14:textFill>
            <w14:solidFill>
              <w14:schemeClr w14:val="tx1"/>
            </w14:solidFill>
          </w14:textFill>
        </w:rPr>
        <w:t>业绩（</w:t>
      </w:r>
      <w:r>
        <w:rPr>
          <w:rFonts w:hint="eastAsia" w:ascii="宋体" w:hAnsi="宋体" w:cs="宋体"/>
          <w:color w:val="000000" w:themeColor="text1"/>
          <w:sz w:val="24"/>
          <w:highlight w:val="none"/>
          <w14:textFill>
            <w14:solidFill>
              <w14:schemeClr w14:val="tx1"/>
            </w14:solidFill>
          </w14:textFill>
        </w:rPr>
        <w:t>要求见《磋商文件》附件1、《评分细则》）；</w:t>
      </w:r>
    </w:p>
    <w:p w14:paraId="20F3EAF9">
      <w:pPr>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2、企业实力</w:t>
      </w:r>
      <w:r>
        <w:rPr>
          <w:rFonts w:hint="eastAsia" w:ascii="宋体" w:hAnsi="宋体" w:cs="宋体"/>
          <w:color w:val="000000" w:themeColor="text1"/>
          <w:sz w:val="24"/>
          <w:highlight w:val="none"/>
          <w:lang w:val="en-US" w:eastAsia="zh-CN"/>
          <w14:textFill>
            <w14:solidFill>
              <w14:schemeClr w14:val="tx1"/>
            </w14:solidFill>
          </w14:textFill>
        </w:rPr>
        <w:t>（要求见《磋商文件》附件1、《评分细则》及附件：2、《项目要求（采购需求）》）；</w:t>
      </w:r>
    </w:p>
    <w:p w14:paraId="4E572843">
      <w:pPr>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3、人员配备方案</w:t>
      </w:r>
      <w:r>
        <w:rPr>
          <w:rFonts w:hint="eastAsia" w:ascii="宋体" w:hAnsi="宋体" w:cs="宋体"/>
          <w:color w:val="000000" w:themeColor="text1"/>
          <w:sz w:val="24"/>
          <w:highlight w:val="none"/>
          <w:lang w:val="en-US" w:eastAsia="zh-CN"/>
          <w14:textFill>
            <w14:solidFill>
              <w14:schemeClr w14:val="tx1"/>
            </w14:solidFill>
          </w14:textFill>
        </w:rPr>
        <w:t>（要求见《磋商文件》附件1、《评分细则》及附件：2、《项目要求（采购需求）》）；</w:t>
      </w:r>
    </w:p>
    <w:p w14:paraId="084AA48F">
      <w:pPr>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4</w:t>
      </w:r>
      <w:r>
        <w:rPr>
          <w:rFonts w:hint="eastAsia" w:ascii="宋体" w:hAnsi="宋体" w:cs="宋体"/>
          <w:b/>
          <w:bCs/>
          <w:color w:val="000000" w:themeColor="text1"/>
          <w:sz w:val="24"/>
          <w14:textFill>
            <w14:solidFill>
              <w14:schemeClr w14:val="tx1"/>
            </w14:solidFill>
          </w14:textFill>
        </w:rPr>
        <w:t>、评分细则中评分得分需提供的相关证明文件扫描件或供应商认为需要提供的其他资料扫描件。</w:t>
      </w:r>
    </w:p>
    <w:p w14:paraId="053329C1">
      <w:pPr>
        <w:pStyle w:val="21"/>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（五）价格折扣文件格式</w:t>
      </w:r>
    </w:p>
    <w:p w14:paraId="761A6ED8">
      <w:pPr>
        <w:pStyle w:val="21"/>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1、企业报价折扣证明：无。</w:t>
      </w:r>
    </w:p>
    <w:p w14:paraId="4337AB3F">
      <w:pPr>
        <w:pStyle w:val="21"/>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（六）提交的首次响应文件的密封、签署、盖章要求：</w:t>
      </w:r>
    </w:p>
    <w:p w14:paraId="77846552">
      <w:pPr>
        <w:pStyle w:val="21"/>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1、密封（加密）要求：</w:t>
      </w:r>
    </w:p>
    <w:p w14:paraId="0C21F2EE">
      <w:pPr>
        <w:pStyle w:val="21"/>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供应商应当按照《磋商文件》和“苏采云”系统的要求编制并加密响应文件。本项目供应商须通过“苏采云”系统提供的政府采购客户端工具（使用“CA数字证书”）对其数据电文形式的响应文件加密。</w:t>
      </w:r>
    </w:p>
    <w:p w14:paraId="480AB4E2">
      <w:pPr>
        <w:pStyle w:val="2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2、签署要求：见《磋商文件》第九章附件中相关格式要求</w:t>
      </w:r>
      <w:r>
        <w:rPr>
          <w:rFonts w:hint="eastAsia" w:ascii="宋体" w:hAnsi="宋体" w:cs="宋体"/>
          <w:b/>
          <w:bCs/>
          <w:color w:val="000000" w:themeColor="text1"/>
          <w:sz w:val="24"/>
          <w14:textFill>
            <w14:solidFill>
              <w14:schemeClr w14:val="tx1"/>
            </w14:solidFill>
          </w14:textFill>
        </w:rPr>
        <w:t>（特别提醒：竞争性磋商文件中如需“被授权代表签字或盖章”，供应商可打印成文档，签字或盖章后再扫描上传，最后再电子签章）。</w:t>
      </w:r>
    </w:p>
    <w:p w14:paraId="0F879EA5">
      <w:pPr>
        <w:pStyle w:val="2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3、盖章要求：见《磋商文件》第九章附件中相关格式要求。供应商须通过“苏采云”系统提供的政府采购客户端工具（使用“CA数字证书”）加盖电子签章。</w:t>
      </w:r>
    </w:p>
    <w:p w14:paraId="485FFACE">
      <w:pPr>
        <w:pStyle w:val="21"/>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（七）通过“苏采云”系统提交政府采购客户端工具导出加密的响应文件（后缀名为zip）。响应文件不得超过150M！ </w:t>
      </w:r>
    </w:p>
    <w:p w14:paraId="3DCDF9FF">
      <w:pPr>
        <w:pStyle w:val="21"/>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注：供应商应当按照《磋商文件》的要求编制响应文件，并对其提交的响应文件的真实性、合法性承担法律责任。</w:t>
      </w:r>
    </w:p>
    <w:p w14:paraId="23B150D3">
      <w:pPr>
        <w:pStyle w:val="21"/>
        <w:keepNext w:val="0"/>
        <w:keepLines w:val="0"/>
        <w:pageBreakBefore w:val="0"/>
        <w:kinsoku/>
        <w:wordWrap/>
        <w:overflowPunct/>
        <w:topLinePunct w:val="0"/>
        <w:autoSpaceDE/>
        <w:autoSpaceDN/>
        <w:bidi w:val="0"/>
        <w:adjustRightInd/>
        <w:snapToGrid/>
        <w:spacing w:line="360" w:lineRule="auto"/>
        <w:ind w:left="0" w:right="0" w:firstLine="482" w:firstLineChars="200"/>
        <w:jc w:val="center"/>
        <w:textAlignment w:val="auto"/>
        <w:rPr>
          <w:rFonts w:hint="eastAsia" w:ascii="宋体" w:hAnsi="宋体" w:cs="宋体"/>
          <w:b/>
          <w:bCs/>
          <w:color w:val="000000" w:themeColor="text1"/>
          <w:sz w:val="24"/>
          <w14:textFill>
            <w14:solidFill>
              <w14:schemeClr w14:val="tx1"/>
            </w14:solidFill>
          </w14:textFill>
        </w:rPr>
      </w:pPr>
    </w:p>
    <w:p w14:paraId="708502F4">
      <w:pPr>
        <w:pStyle w:val="21"/>
        <w:keepNext w:val="0"/>
        <w:keepLines w:val="0"/>
        <w:pageBreakBefore w:val="0"/>
        <w:kinsoku/>
        <w:wordWrap/>
        <w:overflowPunct/>
        <w:topLinePunct w:val="0"/>
        <w:autoSpaceDE/>
        <w:autoSpaceDN/>
        <w:bidi w:val="0"/>
        <w:adjustRightInd/>
        <w:snapToGrid/>
        <w:spacing w:line="360" w:lineRule="auto"/>
        <w:ind w:left="0" w:right="0" w:firstLine="482" w:firstLineChars="200"/>
        <w:jc w:val="center"/>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第四章 磋商相关说明</w:t>
      </w:r>
    </w:p>
    <w:p w14:paraId="0C01BDC4">
      <w:pPr>
        <w:pStyle w:val="21"/>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十四、磋商相关说明</w:t>
      </w:r>
    </w:p>
    <w:p w14:paraId="28DA7A7A">
      <w:pPr>
        <w:pStyle w:val="21"/>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（一）磋商要求</w:t>
      </w:r>
    </w:p>
    <w:p w14:paraId="2B9C8B5F">
      <w:pPr>
        <w:pStyle w:val="2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1、被邀请参与磋商的供应商需按本竞争性磋商文件要求的截止时间、方式（地点）提交首次响应文件，同时派人通过“苏采云”系统在“开标大厅”等待磋商。</w:t>
      </w:r>
    </w:p>
    <w:p w14:paraId="131879C3">
      <w:pPr>
        <w:pStyle w:val="2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2、供应商可通过CA数字证书，在首次响应文件开启时间后，使用CA数字证书在规定时间内解密各自响应文件。</w:t>
      </w:r>
    </w:p>
    <w:p w14:paraId="089132BE">
      <w:pPr>
        <w:pStyle w:val="21"/>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3、供应商的授权代表或法人须全程守候在“苏采云”系统开标大厅，并确保视频设备正常使用。授权代表或法人须携带授权委托书原件及身份证原件，经磋商小组核查后参与磋商活动。</w:t>
      </w:r>
    </w:p>
    <w:p w14:paraId="476D34F6">
      <w:pPr>
        <w:pStyle w:val="2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4、磋商顺序按照“苏采云”系统</w:t>
      </w:r>
      <w:r>
        <w:rPr>
          <w:rFonts w:hint="eastAsia" w:ascii="宋体" w:hAnsi="宋体" w:cs="宋体"/>
          <w:color w:val="000000" w:themeColor="text1"/>
          <w:sz w:val="24"/>
          <w:lang w:val="en-US" w:eastAsia="zh-CN"/>
          <w14:textFill>
            <w14:solidFill>
              <w14:schemeClr w14:val="tx1"/>
            </w14:solidFill>
          </w14:textFill>
        </w:rPr>
        <w:t>内供应商</w:t>
      </w:r>
      <w:r>
        <w:rPr>
          <w:rFonts w:hint="eastAsia" w:ascii="宋体" w:hAnsi="宋体" w:cs="宋体"/>
          <w:color w:val="000000" w:themeColor="text1"/>
          <w:sz w:val="24"/>
          <w14:textFill>
            <w14:solidFill>
              <w14:schemeClr w14:val="tx1"/>
            </w14:solidFill>
          </w14:textFill>
        </w:rPr>
        <w:t>电子标书</w:t>
      </w:r>
      <w:r>
        <w:rPr>
          <w:rFonts w:hint="eastAsia" w:ascii="宋体" w:hAnsi="宋体" w:cs="宋体"/>
          <w:color w:val="000000" w:themeColor="text1"/>
          <w:sz w:val="24"/>
          <w:lang w:val="en-US" w:eastAsia="zh-CN"/>
          <w14:textFill>
            <w14:solidFill>
              <w14:schemeClr w14:val="tx1"/>
            </w14:solidFill>
          </w14:textFill>
        </w:rPr>
        <w:t>显示</w:t>
      </w:r>
      <w:r>
        <w:rPr>
          <w:rFonts w:hint="eastAsia" w:ascii="宋体" w:hAnsi="宋体" w:cs="宋体"/>
          <w:color w:val="000000" w:themeColor="text1"/>
          <w:sz w:val="24"/>
          <w14:textFill>
            <w14:solidFill>
              <w14:schemeClr w14:val="tx1"/>
            </w14:solidFill>
          </w14:textFill>
        </w:rPr>
        <w:t>先后时间进行。</w:t>
      </w:r>
    </w:p>
    <w:p w14:paraId="4DFF3569">
      <w:pPr>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5、磋商方式：本次磋商采用“苏采云”系统中的视频会议，供应商自行选择任意地点参加远程磋商会议。请供应商在磋商前等候在开标大厅，随时接听磋商小组发出的磋商视频邀请（所有邀请等待时间2分钟，2分钟内所邀请供应商无响应，视同放弃磋商的权利，由解密顺序下一家进行磋商，不再后补）。</w:t>
      </w:r>
    </w:p>
    <w:p w14:paraId="34926A09">
      <w:pPr>
        <w:pStyle w:val="2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6、未在规定时间内进行答疑澄清的，视同放弃澄清。</w:t>
      </w:r>
    </w:p>
    <w:p w14:paraId="51C01E91">
      <w:pPr>
        <w:pStyle w:val="21"/>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b/>
          <w:bCs w:val="0"/>
          <w:color w:val="000000" w:themeColor="text1"/>
          <w:sz w:val="24"/>
          <w14:textFill>
            <w14:solidFill>
              <w14:schemeClr w14:val="tx1"/>
            </w14:solidFill>
          </w14:textFill>
        </w:rPr>
      </w:pPr>
      <w:r>
        <w:rPr>
          <w:rFonts w:hint="eastAsia" w:ascii="宋体" w:hAnsi="宋体" w:cs="宋体"/>
          <w:b/>
          <w:bCs w:val="0"/>
          <w:color w:val="000000" w:themeColor="text1"/>
          <w:sz w:val="24"/>
          <w14:textFill>
            <w14:solidFill>
              <w14:schemeClr w14:val="tx1"/>
            </w14:solidFill>
          </w14:textFill>
        </w:rPr>
        <w:t>7、未在规定时间内进行报价的，视为响应无效。</w:t>
      </w:r>
    </w:p>
    <w:p w14:paraId="3CC26824">
      <w:pPr>
        <w:pStyle w:val="2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8、被邀请参与磋商的供应商如未按上述磋商要求执行，视同放弃磋商的权利。</w:t>
      </w:r>
    </w:p>
    <w:p w14:paraId="545222D3">
      <w:pPr>
        <w:pStyle w:val="21"/>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（二）评审程序</w:t>
      </w:r>
    </w:p>
    <w:p w14:paraId="0D9F4C2E">
      <w:pPr>
        <w:pStyle w:val="21"/>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经磋商确定最终采购需求和提交最后报价的供应商后，由磋商小组采用综合评分法对提交最后报价的供应商的响应文件和最后报价进行综合评分。</w:t>
      </w:r>
    </w:p>
    <w:p w14:paraId="54C98C0A">
      <w:pPr>
        <w:pStyle w:val="21"/>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磋商小组应当根据综合评分情况，按照评审得分由高到低顺序推荐成交候选供应商，并编写评审报告。评审得分相同的，按照最后报价由低到高的顺序推荐。评审得分且最后报价相同</w:t>
      </w:r>
      <w:r>
        <w:rPr>
          <w:rFonts w:hint="eastAsia" w:ascii="宋体" w:hAnsi="宋体" w:cs="宋体"/>
          <w:color w:val="000000" w:themeColor="text1"/>
          <w:sz w:val="24"/>
          <w:highlight w:val="none"/>
          <w14:textFill>
            <w14:solidFill>
              <w14:schemeClr w14:val="tx1"/>
            </w14:solidFill>
          </w14:textFill>
        </w:rPr>
        <w:t>的，按照</w:t>
      </w:r>
      <w:r>
        <w:rPr>
          <w:rFonts w:hint="eastAsia" w:ascii="宋体" w:hAnsi="宋体" w:cs="宋体"/>
          <w:color w:val="000000" w:themeColor="text1"/>
          <w:sz w:val="24"/>
          <w:highlight w:val="none"/>
          <w:lang w:val="en-US" w:eastAsia="zh-CN"/>
          <w14:textFill>
            <w14:solidFill>
              <w14:schemeClr w14:val="tx1"/>
            </w14:solidFill>
          </w14:textFill>
        </w:rPr>
        <w:t>养护实施方案</w:t>
      </w:r>
      <w:r>
        <w:rPr>
          <w:rFonts w:hint="eastAsia" w:ascii="宋体" w:hAnsi="宋体" w:cs="宋体"/>
          <w:color w:val="000000" w:themeColor="text1"/>
          <w:sz w:val="24"/>
          <w:highlight w:val="none"/>
          <w14:textFill>
            <w14:solidFill>
              <w14:schemeClr w14:val="tx1"/>
            </w14:solidFill>
          </w14:textFill>
        </w:rPr>
        <w:t>优劣顺序推荐。</w:t>
      </w:r>
    </w:p>
    <w:p w14:paraId="1A61CCE7">
      <w:pPr>
        <w:pStyle w:val="21"/>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小组认为供应商的报价明显低于其他供应商的报价，有可能影响产品质量或者不能诚信履约的，应当要求其在评审现场合理的时间内提供书面说明，必要时提交相关证明材料；供应商不能证明其报价合理性的，磋商小组应当将其按响应无效处理。</w:t>
      </w:r>
    </w:p>
    <w:p w14:paraId="6E564F49">
      <w:pPr>
        <w:pStyle w:val="21"/>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相关内容和要求见：《中华人民共和国政府采购法》、《中华人民共和国政府采购法实施条例》及《政府采购竞争性磋商采购方式管理暂行办法》</w:t>
      </w:r>
    </w:p>
    <w:p w14:paraId="4E7F5688">
      <w:pPr>
        <w:pStyle w:val="21"/>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(三) 查询及使用供应商信用记录</w:t>
      </w:r>
    </w:p>
    <w:p w14:paraId="446C1429">
      <w:pPr>
        <w:pStyle w:val="21"/>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1、由采购人查询信用信息。</w:t>
      </w:r>
    </w:p>
    <w:p w14:paraId="27E31593">
      <w:pPr>
        <w:pStyle w:val="21"/>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2、查询渠道包括：</w:t>
      </w:r>
    </w:p>
    <w:p w14:paraId="5FA55D29">
      <w:pPr>
        <w:pStyle w:val="21"/>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（1）“信用中国”网（www.creditchina.gov.cn）；</w:t>
      </w:r>
    </w:p>
    <w:p w14:paraId="1AEFA369">
      <w:pPr>
        <w:pStyle w:val="21"/>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（2）中国政府采购网（www.ccgp.gov.cn）；</w:t>
      </w:r>
    </w:p>
    <w:p w14:paraId="3BE639FD">
      <w:pPr>
        <w:pStyle w:val="33"/>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Style w:val="38"/>
          <w:rFonts w:ascii="宋体" w:hAnsi="宋体"/>
          <w:color w:val="000000" w:themeColor="text1"/>
          <w:sz w:val="24"/>
          <w14:textFill>
            <w14:solidFill>
              <w14:schemeClr w14:val="tx1"/>
            </w14:solidFill>
          </w14:textFill>
        </w:rPr>
      </w:pPr>
      <w:r>
        <w:rPr>
          <w:rStyle w:val="38"/>
          <w:rFonts w:hint="eastAsia" w:ascii="宋体" w:hAnsi="宋体"/>
          <w:color w:val="000000" w:themeColor="text1"/>
          <w:sz w:val="24"/>
          <w14:textFill>
            <w14:solidFill>
              <w14:schemeClr w14:val="tx1"/>
            </w14:solidFill>
          </w14:textFill>
        </w:rPr>
        <w:t>（3）“信用江苏”网（http://credit.jiangsu.gov.cn/）；</w:t>
      </w:r>
    </w:p>
    <w:p w14:paraId="1435894A">
      <w:pPr>
        <w:pStyle w:val="33"/>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cs="宋体"/>
          <w:color w:val="000000" w:themeColor="text1"/>
          <w:sz w:val="24"/>
          <w14:textFill>
            <w14:solidFill>
              <w14:schemeClr w14:val="tx1"/>
            </w14:solidFill>
          </w14:textFill>
        </w:rPr>
      </w:pPr>
      <w:r>
        <w:rPr>
          <w:rStyle w:val="38"/>
          <w:rFonts w:hint="eastAsia" w:ascii="宋体" w:hAnsi="宋体"/>
          <w:color w:val="000000" w:themeColor="text1"/>
          <w:sz w:val="24"/>
          <w14:textFill>
            <w14:solidFill>
              <w14:schemeClr w14:val="tx1"/>
            </w14:solidFill>
          </w14:textFill>
        </w:rPr>
        <w:t>（4）“信用中国(江苏徐州)”网（http://www.xuzhoucredit.gov.cn）</w:t>
      </w:r>
      <w:r>
        <w:rPr>
          <w:rStyle w:val="38"/>
          <w:rFonts w:ascii="宋体" w:hAnsi="宋体"/>
          <w:color w:val="000000" w:themeColor="text1"/>
          <w:sz w:val="24"/>
          <w14:textFill>
            <w14:solidFill>
              <w14:schemeClr w14:val="tx1"/>
            </w14:solidFill>
          </w14:textFill>
        </w:rPr>
        <w:t>。</w:t>
      </w:r>
    </w:p>
    <w:p w14:paraId="4EE62BE9">
      <w:pPr>
        <w:pStyle w:val="21"/>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3、截止时点（查询环节）：首次响应文件开启后资格审查结束前。</w:t>
      </w:r>
    </w:p>
    <w:p w14:paraId="4668A2CC">
      <w:pPr>
        <w:pStyle w:val="21"/>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4、信用信息查询记录和证据留存的具体方式：</w:t>
      </w:r>
    </w:p>
    <w:p w14:paraId="133436B7">
      <w:pPr>
        <w:pStyle w:val="21"/>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网页截屏打印，与其他采购文件一并保存。</w:t>
      </w:r>
    </w:p>
    <w:p w14:paraId="5A72779E">
      <w:pPr>
        <w:pStyle w:val="21"/>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5、信用信息的使用规则：</w:t>
      </w:r>
    </w:p>
    <w:p w14:paraId="443469D6">
      <w:pPr>
        <w:pStyle w:val="21"/>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p w14:paraId="0993D752">
      <w:pPr>
        <w:pStyle w:val="21"/>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十五、评审方法和评审标准</w:t>
      </w:r>
    </w:p>
    <w:p w14:paraId="1764BF1F">
      <w:pPr>
        <w:pStyle w:val="21"/>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1、评审方法：综合评分法。</w:t>
      </w:r>
    </w:p>
    <w:p w14:paraId="115DCB95">
      <w:pPr>
        <w:pStyle w:val="21"/>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2、评审标准：详见《磋商文件》附件1、《评分细则》。</w:t>
      </w:r>
    </w:p>
    <w:p w14:paraId="52322716">
      <w:pPr>
        <w:pStyle w:val="21"/>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十六、</w:t>
      </w:r>
      <w:r>
        <w:rPr>
          <w:rFonts w:hint="eastAsia" w:ascii="宋体" w:hAnsi="宋体" w:cs="宋体"/>
          <w:color w:val="000000" w:themeColor="text1"/>
          <w:sz w:val="24"/>
          <w14:textFill>
            <w14:solidFill>
              <w14:schemeClr w14:val="tx1"/>
            </w14:solidFill>
          </w14:textFill>
        </w:rPr>
        <w:t>磋商过程中可能实质性变动的内容：在磋商过程中，磋商小组可以根据《磋商文件》和磋商情况实质性变动采购需求中的技术、服务要求以及拟签订的合同文本。</w:t>
      </w:r>
    </w:p>
    <w:p w14:paraId="0DA24ADB">
      <w:pPr>
        <w:pStyle w:val="21"/>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十七、</w:t>
      </w:r>
      <w:r>
        <w:rPr>
          <w:rFonts w:hint="eastAsia" w:ascii="宋体" w:hAnsi="宋体" w:cs="宋体"/>
          <w:color w:val="000000" w:themeColor="text1"/>
          <w:sz w:val="24"/>
          <w14:textFill>
            <w14:solidFill>
              <w14:schemeClr w14:val="tx1"/>
            </w14:solidFill>
          </w14:textFill>
        </w:rPr>
        <w:t>采购人有权对供应商的响应文件的真实性进行核实，如供应商不能在采购人规定的时间内向采购人提供有效的证明文件，将被采购人视为放弃中标（成交）资格。</w:t>
      </w:r>
    </w:p>
    <w:p w14:paraId="3F0D1B62">
      <w:pPr>
        <w:pStyle w:val="21"/>
        <w:keepNext w:val="0"/>
        <w:keepLines w:val="0"/>
        <w:pageBreakBefore w:val="0"/>
        <w:kinsoku/>
        <w:wordWrap/>
        <w:overflowPunct/>
        <w:topLinePunct w:val="0"/>
        <w:autoSpaceDE/>
        <w:autoSpaceDN/>
        <w:bidi w:val="0"/>
        <w:adjustRightInd/>
        <w:snapToGrid/>
        <w:spacing w:line="360" w:lineRule="auto"/>
        <w:ind w:left="0" w:right="0" w:firstLine="482" w:firstLineChars="200"/>
        <w:jc w:val="center"/>
        <w:textAlignment w:val="auto"/>
        <w:rPr>
          <w:rFonts w:hint="eastAsia" w:ascii="宋体" w:hAnsi="宋体" w:cs="宋体"/>
          <w:b/>
          <w:bCs/>
          <w:color w:val="000000" w:themeColor="text1"/>
          <w:sz w:val="24"/>
          <w14:textFill>
            <w14:solidFill>
              <w14:schemeClr w14:val="tx1"/>
            </w14:solidFill>
          </w14:textFill>
        </w:rPr>
      </w:pPr>
    </w:p>
    <w:p w14:paraId="3A455B99">
      <w:pPr>
        <w:pStyle w:val="21"/>
        <w:keepNext w:val="0"/>
        <w:keepLines w:val="0"/>
        <w:pageBreakBefore w:val="0"/>
        <w:kinsoku/>
        <w:wordWrap/>
        <w:overflowPunct/>
        <w:topLinePunct w:val="0"/>
        <w:autoSpaceDE/>
        <w:autoSpaceDN/>
        <w:bidi w:val="0"/>
        <w:adjustRightInd/>
        <w:snapToGrid/>
        <w:spacing w:line="360" w:lineRule="auto"/>
        <w:ind w:left="0" w:right="0" w:firstLine="482" w:firstLineChars="20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第五章 确定成交供应商及合同签订等</w:t>
      </w:r>
    </w:p>
    <w:p w14:paraId="055B398A">
      <w:pPr>
        <w:pStyle w:val="21"/>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十八、</w:t>
      </w:r>
      <w:r>
        <w:rPr>
          <w:rFonts w:hint="eastAsia" w:ascii="宋体" w:hAnsi="宋体" w:cs="宋体"/>
          <w:color w:val="000000" w:themeColor="text1"/>
          <w:sz w:val="24"/>
          <w14:textFill>
            <w14:solidFill>
              <w14:schemeClr w14:val="tx1"/>
            </w14:solidFill>
          </w14:textFill>
        </w:rPr>
        <w:t>采购人应当在收到评审报告后5个工作日内，从评审报告提出的成交候选供应商中，按照排序由高到低的原则确定成交供应商，如排序相同的，由采购人确定成交供应商。在省级以上财政部门指定的政府采购信息发布媒体上公告成交结果，公告标的的基本概况为成交供应商的《磋商报价表》（最后报价）。</w:t>
      </w:r>
    </w:p>
    <w:p w14:paraId="03B42346">
      <w:pPr>
        <w:pStyle w:val="21"/>
        <w:keepNext w:val="0"/>
        <w:keepLines w:val="0"/>
        <w:pageBreakBefore w:val="0"/>
        <w:widowControl/>
        <w:kinsoku/>
        <w:wordWrap/>
        <w:overflowPunct/>
        <w:topLinePunct w:val="0"/>
        <w:autoSpaceDE/>
        <w:autoSpaceDN/>
        <w:bidi w:val="0"/>
        <w:adjustRightInd/>
        <w:snapToGrid/>
        <w:spacing w:line="360" w:lineRule="auto"/>
        <w:ind w:left="0" w:right="0" w:firstLine="482" w:firstLineChars="200"/>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十九、采购人与成交供应商应当在成交通知书发出之日起30日内，</w:t>
      </w:r>
      <w:r>
        <w:rPr>
          <w:rFonts w:hint="eastAsia" w:ascii="宋体" w:hAnsi="宋体" w:cs="宋体"/>
          <w:color w:val="000000" w:themeColor="text1"/>
          <w:sz w:val="24"/>
          <w14:textFill>
            <w14:solidFill>
              <w14:schemeClr w14:val="tx1"/>
            </w14:solidFill>
          </w14:textFill>
        </w:rPr>
        <w:t>按照《磋商文件》确定的合同文本以及采购标的、规格型号、采购金额、采购数量、技术和服务要求等事项签订政府采购合同。</w:t>
      </w:r>
    </w:p>
    <w:p w14:paraId="5E08D56B">
      <w:pPr>
        <w:pStyle w:val="21"/>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特别说明：</w:t>
      </w:r>
      <w:r>
        <w:rPr>
          <w:rFonts w:hint="eastAsia" w:ascii="宋体" w:hAnsi="宋体" w:cs="宋体"/>
          <w:color w:val="000000" w:themeColor="text1"/>
          <w:sz w:val="24"/>
          <w14:textFill>
            <w14:solidFill>
              <w14:schemeClr w14:val="tx1"/>
            </w14:solidFill>
          </w14:textFill>
        </w:rPr>
        <w:t>按照《政府采购法》及其实施条例以及相关规定，中标或者成交后无正当理由拒不与采购人签订政府采购合同的, 在一至三年内禁止参加政府采购活动，列入政府采购严重违法失信行为记录名单。</w:t>
      </w:r>
    </w:p>
    <w:p w14:paraId="3A20D519">
      <w:pPr>
        <w:pStyle w:val="21"/>
        <w:keepNext w:val="0"/>
        <w:keepLines w:val="0"/>
        <w:pageBreakBefore w:val="0"/>
        <w:kinsoku/>
        <w:wordWrap/>
        <w:overflowPunct/>
        <w:topLinePunct w:val="0"/>
        <w:autoSpaceDE/>
        <w:autoSpaceDN/>
        <w:bidi w:val="0"/>
        <w:adjustRightInd/>
        <w:snapToGrid/>
        <w:spacing w:line="360" w:lineRule="auto"/>
        <w:ind w:left="0" w:right="0" w:firstLine="482" w:firstLineChars="200"/>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二十、</w:t>
      </w:r>
      <w:r>
        <w:rPr>
          <w:rFonts w:hint="eastAsia" w:ascii="宋体" w:hAnsi="宋体" w:cs="宋体"/>
          <w:color w:val="000000" w:themeColor="text1"/>
          <w:sz w:val="24"/>
          <w14:textFill>
            <w14:solidFill>
              <w14:schemeClr w14:val="tx1"/>
            </w14:solidFill>
          </w14:textFill>
        </w:rPr>
        <w:t>签订合同前，成交供应商必须向采购人提交其响应文件中所有扫描件的原件，采购人核查无误后，签订合同。如成交供应商人不能在采购人规定的时间内向采购人提供原件，将被采购人视为放弃中标（成交）资格。</w:t>
      </w:r>
    </w:p>
    <w:p w14:paraId="3E68E137">
      <w:pPr>
        <w:pStyle w:val="21"/>
        <w:keepNext w:val="0"/>
        <w:keepLines w:val="0"/>
        <w:pageBreakBefore w:val="0"/>
        <w:widowControl/>
        <w:kinsoku/>
        <w:wordWrap/>
        <w:overflowPunct/>
        <w:topLinePunct w:val="0"/>
        <w:autoSpaceDE/>
        <w:autoSpaceDN/>
        <w:bidi w:val="0"/>
        <w:adjustRightInd/>
        <w:snapToGrid/>
        <w:spacing w:line="360" w:lineRule="auto"/>
        <w:ind w:left="0" w:right="0" w:firstLine="482" w:firstLineChars="200"/>
        <w:jc w:val="center"/>
        <w:textAlignment w:val="auto"/>
        <w:rPr>
          <w:rFonts w:hint="eastAsia" w:ascii="宋体" w:hAnsi="宋体" w:cs="宋体"/>
          <w:b/>
          <w:bCs/>
          <w:color w:val="000000" w:themeColor="text1"/>
          <w:sz w:val="24"/>
          <w14:textFill>
            <w14:solidFill>
              <w14:schemeClr w14:val="tx1"/>
            </w14:solidFill>
          </w14:textFill>
        </w:rPr>
      </w:pPr>
    </w:p>
    <w:p w14:paraId="64503308">
      <w:pPr>
        <w:pStyle w:val="21"/>
        <w:keepNext w:val="0"/>
        <w:keepLines w:val="0"/>
        <w:pageBreakBefore w:val="0"/>
        <w:widowControl/>
        <w:kinsoku/>
        <w:wordWrap/>
        <w:overflowPunct/>
        <w:topLinePunct w:val="0"/>
        <w:autoSpaceDE/>
        <w:autoSpaceDN/>
        <w:bidi w:val="0"/>
        <w:adjustRightInd/>
        <w:snapToGrid/>
        <w:spacing w:line="360" w:lineRule="auto"/>
        <w:ind w:left="0" w:right="0" w:firstLine="482" w:firstLineChars="20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第六章 磋商文件的澄清或者修改</w:t>
      </w:r>
    </w:p>
    <w:p w14:paraId="465820BC">
      <w:pPr>
        <w:pStyle w:val="21"/>
        <w:keepNext w:val="0"/>
        <w:keepLines w:val="0"/>
        <w:pageBreakBefore w:val="0"/>
        <w:widowControl/>
        <w:kinsoku/>
        <w:wordWrap/>
        <w:overflowPunct/>
        <w:topLinePunct w:val="0"/>
        <w:autoSpaceDE/>
        <w:autoSpaceDN/>
        <w:bidi w:val="0"/>
        <w:adjustRightInd/>
        <w:snapToGrid/>
        <w:spacing w:line="360" w:lineRule="auto"/>
        <w:ind w:left="0" w:right="0" w:firstLine="482" w:firstLineChars="200"/>
        <w:jc w:val="left"/>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二十一、《磋商文件》的澄清或者修改</w:t>
      </w:r>
    </w:p>
    <w:p w14:paraId="40CEFA78">
      <w:pPr>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交首次响应文件截止之日（即“首次响应文件提交的截止时间”）前，采购代理机构可以对已发出的《磋商文件》进行必要的澄清或者修改，澄清或者修改的内容作为《磋商文件》的组成部分。澄清或者修改的内容以所发布的本项目的“更正公告”的形式通知所有获取《磋商文件》的供应商。发布本项目的“更正公告”后采购代理机构已尽通知义务。敬请各所有获取《磋商文件》的供应商关注本项目的“更正公告。</w:t>
      </w:r>
    </w:p>
    <w:p w14:paraId="4E0FF4C8">
      <w:pPr>
        <w:keepNext w:val="0"/>
        <w:keepLines w:val="0"/>
        <w:pageBreakBefore w:val="0"/>
        <w:widowControl/>
        <w:kinsoku/>
        <w:wordWrap/>
        <w:overflowPunct/>
        <w:topLinePunct w:val="0"/>
        <w:autoSpaceDE/>
        <w:autoSpaceDN/>
        <w:bidi w:val="0"/>
        <w:adjustRightInd/>
        <w:snapToGrid/>
        <w:spacing w:line="360" w:lineRule="auto"/>
        <w:ind w:left="0" w:right="0" w:firstLine="482" w:firstLineChars="200"/>
        <w:jc w:val="center"/>
        <w:textAlignment w:val="auto"/>
        <w:rPr>
          <w:rFonts w:hint="eastAsia" w:ascii="宋体" w:hAnsi="宋体" w:cs="宋体"/>
          <w:b/>
          <w:bCs/>
          <w:color w:val="000000" w:themeColor="text1"/>
          <w:sz w:val="24"/>
          <w14:textFill>
            <w14:solidFill>
              <w14:schemeClr w14:val="tx1"/>
            </w14:solidFill>
          </w14:textFill>
        </w:rPr>
      </w:pPr>
    </w:p>
    <w:p w14:paraId="01945E2C">
      <w:pPr>
        <w:keepNext w:val="0"/>
        <w:keepLines w:val="0"/>
        <w:pageBreakBefore w:val="0"/>
        <w:widowControl/>
        <w:kinsoku/>
        <w:wordWrap/>
        <w:overflowPunct/>
        <w:topLinePunct w:val="0"/>
        <w:autoSpaceDE/>
        <w:autoSpaceDN/>
        <w:bidi w:val="0"/>
        <w:adjustRightInd/>
        <w:snapToGrid/>
        <w:spacing w:line="360" w:lineRule="auto"/>
        <w:ind w:left="0" w:right="0" w:firstLine="482" w:firstLineChars="20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第七章 询问和质疑</w:t>
      </w:r>
    </w:p>
    <w:p w14:paraId="5ACAB06E">
      <w:pPr>
        <w:keepNext w:val="0"/>
        <w:keepLines w:val="0"/>
        <w:pageBreakBefore w:val="0"/>
        <w:widowControl/>
        <w:kinsoku/>
        <w:wordWrap/>
        <w:overflowPunct/>
        <w:topLinePunct w:val="0"/>
        <w:autoSpaceDE/>
        <w:autoSpaceDN/>
        <w:bidi w:val="0"/>
        <w:adjustRightInd/>
        <w:snapToGrid/>
        <w:spacing w:line="360" w:lineRule="auto"/>
        <w:ind w:left="0" w:right="0" w:firstLine="482" w:firstLineChars="200"/>
        <w:jc w:val="left"/>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二十二、询问和质疑</w:t>
      </w:r>
    </w:p>
    <w:p w14:paraId="53005C18">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对政府采购活动事项有疑问的，可以向采购人或采购代理机构提出询问；供应商认为采购文件、采购过程、中标或成交结果使自己的权益受到损害的，可以在知道或者应知其权益受到损害之日起七个工作日内，以书面形式向采购人或采购代理机构提出质疑，由采购人或采购代理机构依法处理。</w:t>
      </w:r>
    </w:p>
    <w:p w14:paraId="6CBD676C">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2、供应商针对同一采购程序环节的质疑应当在法定质疑期内一次性提出。</w:t>
      </w:r>
    </w:p>
    <w:p w14:paraId="718366FB">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3、质疑和投诉按《政府采购质疑和投诉办法》执行。</w:t>
      </w:r>
    </w:p>
    <w:p w14:paraId="6FA1EBCB">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4、接收质疑函的方式：供应商直接送交或供应商通过EMS邮寄。</w:t>
      </w:r>
    </w:p>
    <w:p w14:paraId="55634871">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lang w:val="en-US" w:eastAsia="zh-CN"/>
          <w14:textFill>
            <w14:solidFill>
              <w14:schemeClr w14:val="tx1"/>
            </w14:solidFill>
          </w14:textFill>
        </w:rPr>
        <w:t>燕宏伟</w:t>
      </w:r>
      <w:r>
        <w:rPr>
          <w:rFonts w:hint="eastAsia" w:ascii="宋体" w:hAnsi="宋体" w:cs="宋体"/>
          <w:color w:val="000000" w:themeColor="text1"/>
          <w:sz w:val="24"/>
          <w14:textFill>
            <w14:solidFill>
              <w14:schemeClr w14:val="tx1"/>
            </w14:solidFill>
          </w14:textFill>
        </w:rPr>
        <w:t xml:space="preserve">        联系电话：</w:t>
      </w:r>
      <w:r>
        <w:rPr>
          <w:rFonts w:hint="eastAsia" w:ascii="宋体" w:hAnsi="宋体" w:cs="宋体"/>
          <w:color w:val="000000" w:themeColor="text1"/>
          <w:sz w:val="24"/>
          <w:lang w:eastAsia="zh-CN"/>
          <w14:textFill>
            <w14:solidFill>
              <w14:schemeClr w14:val="tx1"/>
            </w14:solidFill>
          </w14:textFill>
        </w:rPr>
        <w:t>17751965233</w:t>
      </w:r>
    </w:p>
    <w:p w14:paraId="1D606454">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bCs/>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通讯地址：</w:t>
      </w:r>
      <w:r>
        <w:rPr>
          <w:rFonts w:hint="eastAsia" w:ascii="宋体" w:hAnsi="宋体" w:cs="宋体"/>
          <w:color w:val="000000" w:themeColor="text1"/>
          <w:sz w:val="24"/>
          <w:lang w:eastAsia="zh-CN"/>
          <w14:textFill>
            <w14:solidFill>
              <w14:schemeClr w14:val="tx1"/>
            </w14:solidFill>
          </w14:textFill>
        </w:rPr>
        <w:t>徐州市云龙区世茂商业外街A3-7-1272室</w:t>
      </w:r>
    </w:p>
    <w:p w14:paraId="03E2CB85">
      <w:pPr>
        <w:keepNext w:val="0"/>
        <w:keepLines w:val="0"/>
        <w:pageBreakBefore w:val="0"/>
        <w:kinsoku/>
        <w:wordWrap/>
        <w:overflowPunct/>
        <w:topLinePunct w:val="0"/>
        <w:autoSpaceDE/>
        <w:autoSpaceDN/>
        <w:bidi w:val="0"/>
        <w:adjustRightInd/>
        <w:snapToGrid/>
        <w:spacing w:line="360" w:lineRule="auto"/>
        <w:ind w:left="0" w:right="0" w:firstLine="482" w:firstLineChars="200"/>
        <w:jc w:val="center"/>
        <w:textAlignment w:val="auto"/>
        <w:rPr>
          <w:rFonts w:hint="eastAsia" w:ascii="宋体" w:hAnsi="宋体" w:cs="宋体"/>
          <w:b/>
          <w:bCs/>
          <w:color w:val="000000" w:themeColor="text1"/>
          <w:sz w:val="24"/>
          <w14:textFill>
            <w14:solidFill>
              <w14:schemeClr w14:val="tx1"/>
            </w14:solidFill>
          </w14:textFill>
        </w:rPr>
      </w:pPr>
    </w:p>
    <w:p w14:paraId="03D742F4">
      <w:pPr>
        <w:keepNext w:val="0"/>
        <w:keepLines w:val="0"/>
        <w:pageBreakBefore w:val="0"/>
        <w:kinsoku/>
        <w:wordWrap/>
        <w:overflowPunct/>
        <w:topLinePunct w:val="0"/>
        <w:autoSpaceDE/>
        <w:autoSpaceDN/>
        <w:bidi w:val="0"/>
        <w:adjustRightInd/>
        <w:snapToGrid/>
        <w:spacing w:line="360" w:lineRule="auto"/>
        <w:ind w:left="0" w:right="0" w:firstLine="482" w:firstLineChars="200"/>
        <w:jc w:val="center"/>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第八章 联系方式</w:t>
      </w:r>
    </w:p>
    <w:p w14:paraId="06379508">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1、采购人信息</w:t>
      </w:r>
    </w:p>
    <w:p w14:paraId="5BAB4DE4">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名称：</w:t>
      </w:r>
      <w:r>
        <w:rPr>
          <w:rFonts w:hint="eastAsia" w:ascii="宋体" w:hAnsi="宋体" w:cs="宋体"/>
          <w:color w:val="000000" w:themeColor="text1"/>
          <w:sz w:val="24"/>
          <w:lang w:eastAsia="zh-CN"/>
          <w14:textFill>
            <w14:solidFill>
              <w14:schemeClr w14:val="tx1"/>
            </w14:solidFill>
          </w14:textFill>
        </w:rPr>
        <w:t>沛县汉城景区管理处</w:t>
      </w:r>
    </w:p>
    <w:p w14:paraId="1D8A4A77">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lang w:val="en-US" w:eastAsia="zh-CN"/>
          <w14:textFill>
            <w14:solidFill>
              <w14:schemeClr w14:val="tx1"/>
            </w14:solidFill>
          </w14:textFill>
        </w:rPr>
        <w:t>沛县新城区沛公路2号</w:t>
      </w:r>
    </w:p>
    <w:p w14:paraId="6D5E5872">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联系方式：</w:t>
      </w:r>
      <w:r>
        <w:rPr>
          <w:rFonts w:hint="eastAsia" w:ascii="宋体" w:hAnsi="宋体" w:cs="宋体"/>
          <w:color w:val="000000" w:themeColor="text1"/>
          <w:sz w:val="24"/>
          <w:lang w:val="en-US" w:eastAsia="zh-CN"/>
          <w14:textFill>
            <w14:solidFill>
              <w14:schemeClr w14:val="tx1"/>
            </w14:solidFill>
          </w14:textFill>
        </w:rPr>
        <w:t>罗小兵</w:t>
      </w:r>
      <w:r>
        <w:rPr>
          <w:rFonts w:hint="eastAsia" w:ascii="宋体" w:hAnsi="宋体" w:cs="宋体"/>
          <w:color w:val="000000" w:themeColor="text1"/>
          <w:sz w:val="24"/>
          <w14:textFill>
            <w14:solidFill>
              <w14:schemeClr w14:val="tx1"/>
            </w14:solidFill>
          </w14:textFill>
        </w:rPr>
        <w:t>   联系电话：</w:t>
      </w:r>
      <w:r>
        <w:rPr>
          <w:rFonts w:hint="eastAsia" w:ascii="宋体" w:hAnsi="宋体" w:cs="宋体"/>
          <w:color w:val="000000" w:themeColor="text1"/>
          <w:sz w:val="24"/>
          <w:lang w:eastAsia="zh-CN"/>
          <w14:textFill>
            <w14:solidFill>
              <w14:schemeClr w14:val="tx1"/>
            </w14:solidFill>
          </w14:textFill>
        </w:rPr>
        <w:t>13160265737</w:t>
      </w:r>
    </w:p>
    <w:p w14:paraId="54CD28F5">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2、采购代理机构信息</w:t>
      </w:r>
    </w:p>
    <w:p w14:paraId="26B6B91D">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eastAsia="宋体"/>
          <w:lang w:eastAsia="zh-CN"/>
        </w:rPr>
      </w:pPr>
      <w:r>
        <w:rPr>
          <w:rFonts w:hint="eastAsia" w:ascii="宋体" w:hAnsi="宋体" w:eastAsia="宋体" w:cs="宋体"/>
          <w:color w:val="000000"/>
          <w:sz w:val="24"/>
          <w:szCs w:val="24"/>
        </w:rPr>
        <w:t>名称：</w:t>
      </w:r>
      <w:r>
        <w:rPr>
          <w:rFonts w:hint="eastAsia" w:ascii="宋体" w:hAnsi="宋体" w:cs="宋体"/>
          <w:color w:val="000000"/>
          <w:sz w:val="24"/>
          <w:szCs w:val="24"/>
          <w:lang w:eastAsia="zh-CN"/>
        </w:rPr>
        <w:t>江苏苏航工程项目管理有限公司</w:t>
      </w:r>
    </w:p>
    <w:p w14:paraId="4DD527C5">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eastAsia="宋体"/>
          <w:lang w:eastAsia="zh-CN"/>
        </w:rPr>
      </w:pPr>
      <w:r>
        <w:rPr>
          <w:rFonts w:hint="eastAsia" w:ascii="宋体" w:hAnsi="宋体" w:eastAsia="宋体" w:cs="宋体"/>
          <w:color w:val="000000"/>
          <w:sz w:val="24"/>
          <w:szCs w:val="24"/>
        </w:rPr>
        <w:t>地址：</w:t>
      </w:r>
      <w:r>
        <w:rPr>
          <w:rFonts w:hint="eastAsia" w:ascii="宋体" w:hAnsi="宋体" w:cs="宋体"/>
          <w:color w:val="000000"/>
          <w:sz w:val="24"/>
          <w:szCs w:val="24"/>
          <w:lang w:eastAsia="zh-CN"/>
        </w:rPr>
        <w:t>徐州市云龙区世茂商业外街A3-7-1272室</w:t>
      </w:r>
    </w:p>
    <w:p w14:paraId="5C6FD4A3">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eastAsia="宋体"/>
          <w:lang w:val="en-US" w:eastAsia="zh-CN"/>
        </w:rPr>
      </w:pPr>
      <w:r>
        <w:rPr>
          <w:rFonts w:hint="eastAsia" w:ascii="宋体" w:hAnsi="宋体" w:eastAsia="宋体" w:cs="宋体"/>
          <w:color w:val="000000"/>
          <w:sz w:val="24"/>
          <w:szCs w:val="24"/>
        </w:rPr>
        <w:t>联系方式：</w:t>
      </w:r>
      <w:r>
        <w:rPr>
          <w:rFonts w:hint="eastAsia" w:ascii="宋体" w:hAnsi="宋体" w:cs="宋体"/>
          <w:color w:val="000000"/>
          <w:sz w:val="24"/>
          <w:szCs w:val="24"/>
          <w:lang w:eastAsia="zh-CN"/>
        </w:rPr>
        <w:t>燕宏伟</w:t>
      </w:r>
      <w:r>
        <w:rPr>
          <w:rFonts w:hint="eastAsia" w:ascii="宋体" w:hAnsi="宋体" w:eastAsia="宋体" w:cs="宋体"/>
          <w:color w:val="000000"/>
          <w:sz w:val="24"/>
          <w:szCs w:val="24"/>
        </w:rPr>
        <w:t>  </w:t>
      </w:r>
      <w:r>
        <w:rPr>
          <w:rFonts w:hint="eastAsia" w:ascii="宋体" w:hAnsi="宋体" w:cs="宋体"/>
          <w:color w:val="000000" w:themeColor="text1"/>
          <w:sz w:val="24"/>
          <w14:textFill>
            <w14:solidFill>
              <w14:schemeClr w14:val="tx1"/>
            </w14:solidFill>
          </w14:textFill>
        </w:rPr>
        <w:t>联系电话：</w:t>
      </w:r>
      <w:r>
        <w:rPr>
          <w:rFonts w:hint="eastAsia" w:ascii="宋体" w:hAnsi="宋体" w:eastAsia="宋体" w:cs="宋体"/>
          <w:color w:val="000000"/>
          <w:sz w:val="24"/>
          <w:szCs w:val="24"/>
        </w:rPr>
        <w:t xml:space="preserve"> </w:t>
      </w:r>
      <w:r>
        <w:rPr>
          <w:rFonts w:hint="eastAsia" w:ascii="宋体" w:hAnsi="宋体" w:cs="宋体"/>
          <w:color w:val="000000"/>
          <w:sz w:val="24"/>
          <w:szCs w:val="24"/>
          <w:lang w:eastAsia="zh-CN"/>
        </w:rPr>
        <w:t>17751965233</w:t>
      </w:r>
    </w:p>
    <w:p w14:paraId="560C3B55">
      <w:pPr>
        <w:keepNext w:val="0"/>
        <w:keepLines w:val="0"/>
        <w:pageBreakBefore w:val="0"/>
        <w:kinsoku/>
        <w:wordWrap/>
        <w:overflowPunct/>
        <w:topLinePunct w:val="0"/>
        <w:autoSpaceDE/>
        <w:autoSpaceDN/>
        <w:bidi w:val="0"/>
        <w:adjustRightInd/>
        <w:snapToGrid/>
        <w:spacing w:line="360" w:lineRule="auto"/>
        <w:ind w:left="0" w:right="0" w:firstLine="482" w:firstLineChars="200"/>
        <w:jc w:val="center"/>
        <w:textAlignment w:val="auto"/>
        <w:rPr>
          <w:rFonts w:hint="eastAsia" w:ascii="宋体" w:hAnsi="宋体" w:cs="宋体"/>
          <w:b/>
          <w:bCs/>
          <w:color w:val="000000" w:themeColor="text1"/>
          <w:sz w:val="24"/>
          <w14:textFill>
            <w14:solidFill>
              <w14:schemeClr w14:val="tx1"/>
            </w14:solidFill>
          </w14:textFill>
        </w:rPr>
      </w:pPr>
    </w:p>
    <w:p w14:paraId="79072C7B">
      <w:pPr>
        <w:keepNext w:val="0"/>
        <w:keepLines w:val="0"/>
        <w:pageBreakBefore w:val="0"/>
        <w:kinsoku/>
        <w:wordWrap/>
        <w:overflowPunct/>
        <w:topLinePunct w:val="0"/>
        <w:autoSpaceDE/>
        <w:autoSpaceDN/>
        <w:bidi w:val="0"/>
        <w:adjustRightInd/>
        <w:snapToGrid/>
        <w:spacing w:line="360" w:lineRule="auto"/>
        <w:ind w:left="0" w:right="0" w:firstLine="482" w:firstLineChars="200"/>
        <w:jc w:val="center"/>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第九章 其他要求及附件</w:t>
      </w:r>
    </w:p>
    <w:p w14:paraId="452A5F0D">
      <w:pPr>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二十三、成交供应商在领取成交通知书前，向采购代理机构缴纳代理服务费</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代理服务费收费标准详见招标文件。</w:t>
      </w:r>
    </w:p>
    <w:p w14:paraId="6C45C80B">
      <w:pPr>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二十四、本项目属于专门面向中小微企业采购的项目，供应商应为中小微企业、监狱企业、残疾人福利性单位。</w:t>
      </w:r>
    </w:p>
    <w:p w14:paraId="6F5C2EC2">
      <w:pPr>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二十五、采购人确定的采购项目属性：服务。</w:t>
      </w:r>
    </w:p>
    <w:p w14:paraId="1A75A098">
      <w:pPr>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二十</w:t>
      </w:r>
      <w:r>
        <w:rPr>
          <w:rFonts w:hint="eastAsia" w:ascii="宋体" w:hAnsi="宋体" w:cs="宋体"/>
          <w:b/>
          <w:bCs/>
          <w:color w:val="000000" w:themeColor="text1"/>
          <w:sz w:val="24"/>
          <w:lang w:val="en-US" w:eastAsia="zh-CN"/>
          <w14:textFill>
            <w14:solidFill>
              <w14:schemeClr w14:val="tx1"/>
            </w14:solidFill>
          </w14:textFill>
        </w:rPr>
        <w:t>六</w:t>
      </w:r>
      <w:r>
        <w:rPr>
          <w:rFonts w:hint="eastAsia" w:ascii="宋体" w:hAnsi="宋体" w:cs="宋体"/>
          <w:b/>
          <w:bCs/>
          <w:color w:val="000000" w:themeColor="text1"/>
          <w:sz w:val="24"/>
          <w14:textFill>
            <w14:solidFill>
              <w14:schemeClr w14:val="tx1"/>
            </w14:solidFill>
          </w14:textFill>
        </w:rPr>
        <w:t>、附件：附后。</w:t>
      </w:r>
    </w:p>
    <w:p w14:paraId="1B547010">
      <w:pPr>
        <w:keepNext w:val="0"/>
        <w:keepLines w:val="0"/>
        <w:pageBreakBefore w:val="0"/>
        <w:kinsoku/>
        <w:wordWrap/>
        <w:overflowPunct/>
        <w:topLinePunct w:val="0"/>
        <w:autoSpaceDE/>
        <w:autoSpaceDN/>
        <w:bidi w:val="0"/>
        <w:adjustRightInd/>
        <w:snapToGrid/>
        <w:spacing w:line="360" w:lineRule="auto"/>
        <w:ind w:left="0" w:right="0" w:firstLine="482" w:firstLineChars="200"/>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附件：</w:t>
      </w:r>
    </w:p>
    <w:p w14:paraId="186F4448">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1、《评分细则》</w:t>
      </w:r>
    </w:p>
    <w:p w14:paraId="47BECF2F">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2、《项目要求（采购需求）》</w:t>
      </w:r>
    </w:p>
    <w:p w14:paraId="27F012DC">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3、《磋商报价表》</w:t>
      </w:r>
    </w:p>
    <w:p w14:paraId="3E52F634">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bCs/>
          <w:color w:val="000000" w:themeColor="text1"/>
          <w:sz w:val="24"/>
          <w14:textFill>
            <w14:solidFill>
              <w14:schemeClr w14:val="tx1"/>
            </w14:solidFill>
          </w14:textFill>
        </w:rPr>
        <w:t>分项价格表</w:t>
      </w:r>
      <w:r>
        <w:rPr>
          <w:rFonts w:hint="eastAsia" w:ascii="宋体" w:hAnsi="宋体" w:cs="宋体"/>
          <w:color w:val="000000" w:themeColor="text1"/>
          <w:sz w:val="24"/>
          <w14:textFill>
            <w14:solidFill>
              <w14:schemeClr w14:val="tx1"/>
            </w14:solidFill>
          </w14:textFill>
        </w:rPr>
        <w:t>》</w:t>
      </w:r>
    </w:p>
    <w:p w14:paraId="526B5203">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5、《偏离表》</w:t>
      </w:r>
    </w:p>
    <w:p w14:paraId="72185C83">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6、《拟签订的合同文本》</w:t>
      </w:r>
    </w:p>
    <w:p w14:paraId="70E90F5C">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7、《承诺书》</w:t>
      </w:r>
    </w:p>
    <w:p w14:paraId="37F4D266">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8、《授权委托书》</w:t>
      </w:r>
    </w:p>
    <w:p w14:paraId="2776E3D0">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9、《中小企业声明函》</w:t>
      </w:r>
    </w:p>
    <w:p w14:paraId="7D2D5FA5">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10、《供应商参加政府采购活动前3年内在经营活动中没有重大违法记录的书面声明》</w:t>
      </w:r>
    </w:p>
    <w:p w14:paraId="1250DB70">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宋体" w:hAnsi="宋体" w:eastAsia="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11、《具备履行合同所必需的设备和专业技术能力的书面声明（附证明材料扫描件）》</w:t>
      </w:r>
    </w:p>
    <w:p w14:paraId="7DBF1CCF">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新宋体" w:hAnsi="新宋体" w:eastAsia="新宋体" w:cs="新宋体"/>
          <w:color w:val="000000" w:themeColor="text1"/>
          <w:sz w:val="24"/>
          <w14:textFill>
            <w14:solidFill>
              <w14:schemeClr w14:val="tx1"/>
            </w14:solidFill>
          </w14:textFill>
        </w:rPr>
      </w:pPr>
      <w:r>
        <w:rPr>
          <w:rFonts w:hint="eastAsia" w:ascii="新宋体" w:hAnsi="新宋体" w:eastAsia="新宋体" w:cs="新宋体"/>
          <w:b w:val="0"/>
          <w:bCs w:val="0"/>
          <w:color w:val="000000" w:themeColor="text1"/>
          <w:sz w:val="24"/>
          <w14:textFill>
            <w14:solidFill>
              <w14:schemeClr w14:val="tx1"/>
            </w14:solidFill>
          </w14:textFill>
        </w:rPr>
        <w:t>1</w:t>
      </w:r>
      <w:r>
        <w:rPr>
          <w:rFonts w:hint="eastAsia" w:ascii="新宋体" w:hAnsi="新宋体" w:eastAsia="新宋体" w:cs="新宋体"/>
          <w:b w:val="0"/>
          <w:bCs w:val="0"/>
          <w:color w:val="000000" w:themeColor="text1"/>
          <w:sz w:val="24"/>
          <w:lang w:val="en-US" w:eastAsia="zh-CN"/>
          <w14:textFill>
            <w14:solidFill>
              <w14:schemeClr w14:val="tx1"/>
            </w14:solidFill>
          </w14:textFill>
        </w:rPr>
        <w:t>2</w:t>
      </w:r>
      <w:r>
        <w:rPr>
          <w:rFonts w:hint="eastAsia" w:ascii="新宋体" w:hAnsi="新宋体" w:eastAsia="新宋体" w:cs="新宋体"/>
          <w:b w:val="0"/>
          <w:bCs w:val="0"/>
          <w:color w:val="000000" w:themeColor="text1"/>
          <w:sz w:val="24"/>
          <w14:textFill>
            <w14:solidFill>
              <w14:schemeClr w14:val="tx1"/>
            </w14:solidFill>
          </w14:textFill>
        </w:rPr>
        <w:t>、《残疾人福利性单位</w:t>
      </w:r>
      <w:r>
        <w:rPr>
          <w:rFonts w:hint="eastAsia" w:ascii="新宋体" w:hAnsi="新宋体" w:eastAsia="新宋体" w:cs="新宋体"/>
          <w:color w:val="000000" w:themeColor="text1"/>
          <w:sz w:val="24"/>
          <w14:textFill>
            <w14:solidFill>
              <w14:schemeClr w14:val="tx1"/>
            </w14:solidFill>
          </w14:textFill>
        </w:rPr>
        <w:t>声明函》</w:t>
      </w:r>
    </w:p>
    <w:p w14:paraId="54F380A5">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新宋体" w:hAnsi="新宋体" w:eastAsia="新宋体" w:cs="新宋体"/>
          <w:color w:val="000000" w:themeColor="text1"/>
          <w:sz w:val="24"/>
          <w14:textFill>
            <w14:solidFill>
              <w14:schemeClr w14:val="tx1"/>
            </w14:solidFill>
          </w14:textFill>
        </w:rPr>
      </w:pPr>
      <w:r>
        <w:rPr>
          <w:rFonts w:hint="eastAsia" w:ascii="新宋体" w:hAnsi="新宋体" w:eastAsia="新宋体" w:cs="新宋体"/>
          <w:color w:val="000000" w:themeColor="text1"/>
          <w:sz w:val="24"/>
          <w14:textFill>
            <w14:solidFill>
              <w14:schemeClr w14:val="tx1"/>
            </w14:solidFill>
          </w14:textFill>
        </w:rPr>
        <w:t>1</w:t>
      </w:r>
      <w:r>
        <w:rPr>
          <w:rFonts w:hint="eastAsia" w:ascii="新宋体" w:hAnsi="新宋体" w:eastAsia="新宋体" w:cs="新宋体"/>
          <w:color w:val="000000" w:themeColor="text1"/>
          <w:sz w:val="24"/>
          <w:lang w:val="en-US" w:eastAsia="zh-CN"/>
          <w14:textFill>
            <w14:solidFill>
              <w14:schemeClr w14:val="tx1"/>
            </w14:solidFill>
          </w14:textFill>
        </w:rPr>
        <w:t>3</w:t>
      </w:r>
      <w:r>
        <w:rPr>
          <w:rFonts w:hint="eastAsia" w:ascii="新宋体" w:hAnsi="新宋体" w:eastAsia="新宋体" w:cs="新宋体"/>
          <w:color w:val="000000" w:themeColor="text1"/>
          <w:sz w:val="24"/>
          <w14:textFill>
            <w14:solidFill>
              <w14:schemeClr w14:val="tx1"/>
            </w14:solidFill>
          </w14:textFill>
        </w:rPr>
        <w:t>、《预付款保函支付条款模板》</w:t>
      </w:r>
    </w:p>
    <w:p w14:paraId="09BB56E3">
      <w:pPr>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新宋体" w:hAnsi="新宋体" w:eastAsia="新宋体" w:cs="新宋体"/>
          <w:lang w:val="en-US" w:eastAsia="zh-CN"/>
        </w:rPr>
      </w:pPr>
      <w:r>
        <w:rPr>
          <w:rFonts w:hint="eastAsia" w:ascii="新宋体" w:hAnsi="新宋体" w:eastAsia="新宋体" w:cs="新宋体"/>
          <w:sz w:val="24"/>
          <w:szCs w:val="24"/>
          <w:lang w:val="en-US" w:eastAsia="zh-CN"/>
        </w:rPr>
        <w:t>14、</w:t>
      </w:r>
      <w:r>
        <w:rPr>
          <w:rFonts w:hint="eastAsia" w:ascii="新宋体" w:hAnsi="新宋体" w:eastAsia="新宋体" w:cs="新宋体"/>
          <w:color w:val="000000" w:themeColor="text1"/>
          <w:sz w:val="24"/>
          <w14:textFill>
            <w14:solidFill>
              <w14:schemeClr w14:val="tx1"/>
            </w14:solidFill>
          </w14:textFill>
        </w:rPr>
        <w:t>《</w:t>
      </w:r>
      <w:r>
        <w:rPr>
          <w:rFonts w:hint="eastAsia" w:ascii="新宋体" w:hAnsi="新宋体" w:eastAsia="新宋体" w:cs="新宋体"/>
          <w:sz w:val="24"/>
          <w:szCs w:val="24"/>
        </w:rPr>
        <w:t>招标代理服务收费标准</w:t>
      </w:r>
      <w:r>
        <w:rPr>
          <w:rFonts w:hint="eastAsia" w:ascii="新宋体" w:hAnsi="新宋体" w:eastAsia="新宋体" w:cs="新宋体"/>
          <w:color w:val="000000" w:themeColor="text1"/>
          <w:sz w:val="24"/>
          <w14:textFill>
            <w14:solidFill>
              <w14:schemeClr w14:val="tx1"/>
            </w14:solidFill>
          </w14:textFill>
        </w:rPr>
        <w:t>》</w:t>
      </w:r>
    </w:p>
    <w:p w14:paraId="50D69C66">
      <w:pPr>
        <w:spacing w:line="360" w:lineRule="auto"/>
        <w:rPr>
          <w:rFonts w:hint="eastAsia" w:ascii="宋体" w:hAnsi="宋体" w:cs="宋体"/>
          <w:color w:val="000000" w:themeColor="text1"/>
          <w:sz w:val="24"/>
          <w14:textFill>
            <w14:solidFill>
              <w14:schemeClr w14:val="tx1"/>
            </w14:solidFill>
          </w14:textFill>
        </w:rPr>
      </w:pPr>
    </w:p>
    <w:p w14:paraId="7F308E11">
      <w:pPr>
        <w:spacing w:line="360" w:lineRule="auto"/>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2025</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月</w:t>
      </w:r>
    </w:p>
    <w:p w14:paraId="0C1BC5FB">
      <w:pPr>
        <w:numPr>
          <w:ilvl w:val="0"/>
          <w:numId w:val="2"/>
        </w:numPr>
        <w:spacing w:line="0" w:lineRule="atLeast"/>
        <w:jc w:val="right"/>
        <w:rPr>
          <w:rFonts w:ascii="宋体" w:hAnsi="宋体" w:cs="宋体"/>
          <w:b/>
          <w:color w:val="000000" w:themeColor="text1"/>
          <w:sz w:val="36"/>
          <w14:textFill>
            <w14:solidFill>
              <w14:schemeClr w14:val="tx1"/>
            </w14:solidFill>
          </w14:textFill>
        </w:rPr>
        <w:sectPr>
          <w:footerReference r:id="rId6" w:type="first"/>
          <w:footerReference r:id="rId5" w:type="default"/>
          <w:pgSz w:w="11906" w:h="16838"/>
          <w:pgMar w:top="1134" w:right="1797" w:bottom="1134" w:left="1797" w:header="851" w:footer="992" w:gutter="0"/>
          <w:pgNumType w:start="1"/>
          <w:cols w:space="1701" w:num="1"/>
          <w:docGrid w:linePitch="360" w:charSpace="0"/>
        </w:sectPr>
      </w:pPr>
    </w:p>
    <w:p w14:paraId="01DD5082">
      <w:pPr>
        <w:numPr>
          <w:ilvl w:val="0"/>
          <w:numId w:val="2"/>
        </w:numPr>
        <w:spacing w:line="0" w:lineRule="atLeast"/>
        <w:jc w:val="center"/>
        <w:rPr>
          <w:rFonts w:ascii="宋体" w:hAnsi="宋体" w:cs="宋体"/>
          <w:b/>
          <w:color w:val="000000" w:themeColor="text1"/>
          <w:sz w:val="36"/>
          <w:highlight w:val="none"/>
          <w14:textFill>
            <w14:solidFill>
              <w14:schemeClr w14:val="tx1"/>
            </w14:solidFill>
          </w14:textFill>
        </w:rPr>
      </w:pPr>
      <w:r>
        <w:rPr>
          <w:rFonts w:hint="eastAsia" w:ascii="宋体" w:hAnsi="宋体" w:cs="宋体"/>
          <w:b/>
          <w:color w:val="000000" w:themeColor="text1"/>
          <w:sz w:val="36"/>
          <w:highlight w:val="none"/>
          <w14:textFill>
            <w14:solidFill>
              <w14:schemeClr w14:val="tx1"/>
            </w14:solidFill>
          </w14:textFill>
        </w:rPr>
        <w:t>评分细则</w:t>
      </w:r>
    </w:p>
    <w:tbl>
      <w:tblPr>
        <w:tblStyle w:val="11"/>
        <w:tblW w:w="94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6"/>
        <w:gridCol w:w="1264"/>
        <w:gridCol w:w="6893"/>
      </w:tblGrid>
      <w:tr w14:paraId="45741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 w:hRule="atLeast"/>
          <w:jc w:val="center"/>
        </w:trPr>
        <w:tc>
          <w:tcPr>
            <w:tcW w:w="1286" w:type="dxa"/>
            <w:noWrap w:val="0"/>
            <w:vAlign w:val="center"/>
          </w:tcPr>
          <w:p w14:paraId="636EBF52">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eastAsia="宋体" w:cs="宋体"/>
                <w:b/>
                <w:bCs/>
                <w:color w:val="000000"/>
                <w:sz w:val="24"/>
                <w:szCs w:val="24"/>
              </w:rPr>
              <w:t>评分项目</w:t>
            </w:r>
          </w:p>
        </w:tc>
        <w:tc>
          <w:tcPr>
            <w:tcW w:w="8157" w:type="dxa"/>
            <w:gridSpan w:val="2"/>
            <w:noWrap w:val="0"/>
            <w:vAlign w:val="center"/>
          </w:tcPr>
          <w:p w14:paraId="2037AEF1">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eastAsia="宋体" w:cs="宋体"/>
                <w:b/>
                <w:bCs/>
                <w:color w:val="000000"/>
                <w:sz w:val="24"/>
                <w:szCs w:val="24"/>
              </w:rPr>
              <w:t>评分标准</w:t>
            </w:r>
          </w:p>
        </w:tc>
      </w:tr>
      <w:tr w14:paraId="1BBD5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06" w:hRule="atLeast"/>
          <w:jc w:val="center"/>
        </w:trPr>
        <w:tc>
          <w:tcPr>
            <w:tcW w:w="1286" w:type="dxa"/>
            <w:noWrap w:val="0"/>
            <w:vAlign w:val="center"/>
          </w:tcPr>
          <w:p w14:paraId="1EF4F0AF">
            <w:pPr>
              <w:pStyle w:val="2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价格</w:t>
            </w:r>
          </w:p>
          <w:p w14:paraId="67DE43F2">
            <w:pPr>
              <w:pStyle w:val="21"/>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分）</w:t>
            </w:r>
          </w:p>
        </w:tc>
        <w:tc>
          <w:tcPr>
            <w:tcW w:w="8157" w:type="dxa"/>
            <w:gridSpan w:val="2"/>
            <w:noWrap w:val="0"/>
            <w:vAlign w:val="center"/>
          </w:tcPr>
          <w:p w14:paraId="544AC246">
            <w:pPr>
              <w:rPr>
                <w:rFonts w:hint="eastAsia" w:ascii="新宋体" w:hAnsi="新宋体" w:eastAsia="新宋体" w:cs="新宋体"/>
                <w:sz w:val="24"/>
                <w:szCs w:val="24"/>
              </w:rPr>
            </w:pPr>
            <w:r>
              <w:rPr>
                <w:rFonts w:hint="eastAsia" w:ascii="新宋体" w:hAnsi="新宋体" w:eastAsia="新宋体" w:cs="新宋体"/>
                <w:sz w:val="24"/>
                <w:szCs w:val="24"/>
              </w:rPr>
              <w:t>采用低价优先法计算，即满足磋商文件要求且最后报价最低的供应商的价格为磋商基准价，其价格分为满分。</w:t>
            </w:r>
          </w:p>
          <w:p w14:paraId="151C5A1A">
            <w:pPr>
              <w:rPr>
                <w:rFonts w:hint="eastAsia" w:ascii="宋体" w:hAnsi="宋体" w:eastAsia="宋体" w:cs="宋体"/>
                <w:color w:val="000000" w:themeColor="text1"/>
                <w:sz w:val="24"/>
                <w14:textFill>
                  <w14:solidFill>
                    <w14:schemeClr w14:val="tx1"/>
                  </w14:solidFill>
                </w14:textFill>
              </w:rPr>
            </w:pPr>
            <w:r>
              <w:rPr>
                <w:rFonts w:hint="eastAsia" w:ascii="新宋体" w:hAnsi="新宋体" w:eastAsia="新宋体" w:cs="新宋体"/>
                <w:sz w:val="24"/>
                <w:szCs w:val="24"/>
              </w:rPr>
              <w:t>其他供应商的价格分统一按照下列公式计算：磋商报价得分=（磋商基准价/</w:t>
            </w:r>
            <w:r>
              <w:rPr>
                <w:rFonts w:hint="eastAsia" w:ascii="宋体" w:hAnsi="宋体" w:eastAsia="宋体" w:cs="宋体"/>
                <w:color w:val="auto"/>
                <w:sz w:val="24"/>
                <w:szCs w:val="24"/>
                <w:highlight w:val="none"/>
              </w:rPr>
              <w:t>各投标人</w:t>
            </w:r>
            <w:r>
              <w:rPr>
                <w:rFonts w:hint="eastAsia" w:ascii="新宋体" w:hAnsi="新宋体" w:eastAsia="新宋体" w:cs="新宋体"/>
                <w:sz w:val="24"/>
                <w:szCs w:val="24"/>
              </w:rPr>
              <w:t>最后磋商报价）×</w:t>
            </w:r>
            <w:r>
              <w:rPr>
                <w:rFonts w:hint="eastAsia" w:ascii="新宋体" w:hAnsi="新宋体" w:eastAsia="新宋体" w:cs="新宋体"/>
                <w:sz w:val="24"/>
                <w:szCs w:val="24"/>
                <w:lang w:val="en-US" w:eastAsia="zh-CN"/>
              </w:rPr>
              <w:t>10</w:t>
            </w:r>
          </w:p>
        </w:tc>
      </w:tr>
      <w:tr w14:paraId="6AA9A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0" w:hRule="atLeast"/>
          <w:jc w:val="center"/>
        </w:trPr>
        <w:tc>
          <w:tcPr>
            <w:tcW w:w="1286" w:type="dxa"/>
            <w:vMerge w:val="restart"/>
            <w:noWrap w:val="0"/>
            <w:vAlign w:val="center"/>
          </w:tcPr>
          <w:p w14:paraId="5D6CC848">
            <w:pPr>
              <w:pStyle w:val="19"/>
              <w:spacing w:line="400" w:lineRule="atLeast"/>
              <w:ind w:left="0" w:leftChars="0" w:firstLine="0" w:firstLineChars="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商务</w:t>
            </w:r>
            <w:r>
              <w:rPr>
                <w:rFonts w:hint="eastAsia" w:ascii="宋体" w:hAnsi="宋体" w:eastAsia="宋体" w:cs="宋体"/>
                <w:bCs/>
                <w:color w:val="auto"/>
                <w:sz w:val="24"/>
                <w:szCs w:val="24"/>
                <w:highlight w:val="none"/>
                <w:lang w:eastAsia="zh-CN"/>
              </w:rPr>
              <w:t>部分</w:t>
            </w:r>
          </w:p>
          <w:p w14:paraId="79B8759E">
            <w:pPr>
              <w:spacing w:line="360" w:lineRule="auto"/>
              <w:jc w:val="center"/>
              <w:rPr>
                <w:rFonts w:hint="eastAsia" w:ascii="宋体" w:hAnsi="宋体" w:eastAsia="宋体" w:cs="宋体"/>
                <w:sz w:val="24"/>
                <w:szCs w:val="24"/>
                <w:lang w:val="en-US"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13</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c>
          <w:tcPr>
            <w:tcW w:w="1264" w:type="dxa"/>
            <w:noWrap w:val="0"/>
            <w:vAlign w:val="center"/>
          </w:tcPr>
          <w:p w14:paraId="36C942DE">
            <w:pPr>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企业实力</w:t>
            </w:r>
          </w:p>
          <w:p w14:paraId="6B8AFB33">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tc>
        <w:tc>
          <w:tcPr>
            <w:tcW w:w="6893" w:type="dxa"/>
            <w:noWrap w:val="0"/>
            <w:vAlign w:val="center"/>
          </w:tcPr>
          <w:p w14:paraId="469B8A37">
            <w:pPr>
              <w:ind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供应商具有有效期内的质量管理体系认证证书、环境管理体系认证证书、职业健康安全管理体系认证证书的，每个得</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分；最高得</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p w14:paraId="7FF6DEED">
            <w:pPr>
              <w:ind w:firstLine="0" w:firstLineChars="0"/>
              <w:jc w:val="left"/>
            </w:pPr>
            <w:r>
              <w:rPr>
                <w:rFonts w:hint="eastAsia" w:ascii="宋体" w:hAnsi="宋体" w:eastAsia="宋体" w:cs="宋体"/>
                <w:b/>
                <w:bCs/>
                <w:color w:val="000000"/>
                <w:sz w:val="24"/>
                <w:szCs w:val="24"/>
                <w:lang w:val="zh-CN"/>
              </w:rPr>
              <w:t>注：</w:t>
            </w:r>
            <w:r>
              <w:rPr>
                <w:rFonts w:hint="eastAsia" w:ascii="宋体" w:hAnsi="宋体" w:cs="宋体"/>
                <w:b/>
                <w:bCs/>
                <w:color w:val="auto"/>
                <w:sz w:val="24"/>
                <w:szCs w:val="24"/>
                <w:highlight w:val="none"/>
                <w:lang w:val="en-US" w:eastAsia="zh-CN"/>
              </w:rPr>
              <w:t>响应文件中提供上述</w:t>
            </w:r>
            <w:r>
              <w:rPr>
                <w:rFonts w:hint="eastAsia" w:ascii="宋体" w:hAnsi="宋体" w:eastAsia="宋体" w:cs="宋体"/>
                <w:b/>
                <w:bCs/>
                <w:color w:val="000000"/>
                <w:sz w:val="24"/>
                <w:szCs w:val="24"/>
                <w:lang w:val="en-US" w:eastAsia="zh-CN"/>
              </w:rPr>
              <w:t>有效</w:t>
            </w:r>
            <w:r>
              <w:rPr>
                <w:rFonts w:hint="eastAsia" w:ascii="宋体" w:hAnsi="宋体" w:cs="宋体"/>
                <w:b/>
                <w:bCs/>
                <w:color w:val="auto"/>
                <w:sz w:val="24"/>
                <w:szCs w:val="24"/>
                <w:highlight w:val="none"/>
                <w:lang w:val="en-US" w:eastAsia="zh-CN"/>
              </w:rPr>
              <w:t>认证证书扫描件及国家市场监督管理总局全国认证认可信息公共服务平台(网址：http://cx.cnca.cn/CertECloud/result/skipResultList)查询证书状态为有效的截图证明材料方为有效，</w:t>
            </w:r>
            <w:r>
              <w:rPr>
                <w:rFonts w:hint="eastAsia" w:ascii="宋体" w:hAnsi="宋体" w:eastAsia="宋体" w:cs="宋体"/>
                <w:b/>
                <w:bCs/>
                <w:color w:val="000000"/>
                <w:sz w:val="24"/>
                <w:szCs w:val="24"/>
                <w:lang w:val="en-US" w:eastAsia="zh-CN"/>
              </w:rPr>
              <w:t>并加盖电子签章</w:t>
            </w:r>
            <w:r>
              <w:rPr>
                <w:rFonts w:hint="eastAsia" w:ascii="宋体" w:hAnsi="宋体" w:cs="宋体"/>
                <w:b/>
                <w:bCs/>
                <w:color w:val="000000"/>
                <w:sz w:val="24"/>
                <w:szCs w:val="24"/>
                <w:lang w:val="en-US" w:eastAsia="zh-CN"/>
              </w:rPr>
              <w:t>，</w:t>
            </w:r>
            <w:r>
              <w:rPr>
                <w:rFonts w:hint="eastAsia" w:ascii="宋体" w:hAnsi="宋体" w:cs="宋体"/>
                <w:b/>
                <w:bCs/>
                <w:color w:val="auto"/>
                <w:sz w:val="24"/>
                <w:szCs w:val="24"/>
                <w:highlight w:val="none"/>
                <w:lang w:val="en-US" w:eastAsia="zh-CN"/>
              </w:rPr>
              <w:t>不提供不得分。</w:t>
            </w:r>
          </w:p>
        </w:tc>
      </w:tr>
      <w:tr w14:paraId="67D05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86" w:hRule="atLeast"/>
          <w:jc w:val="center"/>
        </w:trPr>
        <w:tc>
          <w:tcPr>
            <w:tcW w:w="1286" w:type="dxa"/>
            <w:vMerge w:val="continue"/>
            <w:noWrap w:val="0"/>
            <w:vAlign w:val="center"/>
          </w:tcPr>
          <w:p w14:paraId="7F0FE5BB">
            <w:pPr>
              <w:pStyle w:val="21"/>
              <w:spacing w:line="360" w:lineRule="auto"/>
              <w:rPr>
                <w:rFonts w:hint="default" w:ascii="宋体" w:hAnsi="宋体" w:eastAsia="宋体" w:cs="宋体"/>
                <w:color w:val="000000" w:themeColor="text1"/>
                <w:sz w:val="24"/>
                <w14:textFill>
                  <w14:solidFill>
                    <w14:schemeClr w14:val="tx1"/>
                  </w14:solidFill>
                </w14:textFill>
              </w:rPr>
            </w:pPr>
          </w:p>
        </w:tc>
        <w:tc>
          <w:tcPr>
            <w:tcW w:w="1264" w:type="dxa"/>
            <w:noWrap w:val="0"/>
            <w:vAlign w:val="center"/>
          </w:tcPr>
          <w:p w14:paraId="5D57E6DC">
            <w:pPr>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企业业绩</w:t>
            </w:r>
          </w:p>
          <w:p w14:paraId="28F93AAF">
            <w:pPr>
              <w:ind w:firstLine="0" w:firstLineChars="0"/>
              <w:jc w:val="center"/>
              <w:rPr>
                <w:rFonts w:hint="eastAsia" w:ascii="宋体" w:hAnsi="宋体" w:cs="宋体"/>
                <w:color w:val="000000" w:themeColor="text1"/>
                <w:sz w:val="24"/>
                <w14:textFill>
                  <w14:solidFill>
                    <w14:schemeClr w14:val="tx1"/>
                  </w14:solidFill>
                </w14:textFill>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w:t>
            </w:r>
          </w:p>
        </w:tc>
        <w:tc>
          <w:tcPr>
            <w:tcW w:w="6893" w:type="dxa"/>
            <w:noWrap w:val="0"/>
            <w:vAlign w:val="center"/>
          </w:tcPr>
          <w:p w14:paraId="5A98A549">
            <w:pPr>
              <w:ind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供应商</w:t>
            </w:r>
            <w:r>
              <w:rPr>
                <w:rFonts w:hint="eastAsia" w:ascii="宋体" w:hAnsi="宋体" w:eastAsia="宋体" w:cs="宋体"/>
                <w:color w:val="000000"/>
                <w:sz w:val="24"/>
                <w:szCs w:val="24"/>
              </w:rPr>
              <w:t>提供202</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val="zh-CN"/>
              </w:rPr>
              <w:t>年1月1日（含）以来</w:t>
            </w:r>
            <w:r>
              <w:rPr>
                <w:rFonts w:hint="eastAsia" w:ascii="宋体" w:hAnsi="宋体" w:eastAsia="宋体" w:cs="宋体"/>
                <w:color w:val="000000"/>
                <w:sz w:val="24"/>
                <w:szCs w:val="24"/>
              </w:rPr>
              <w:t>承接过的类似服务项目（服务内容需包含保安），每个合同得</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分，最多得</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w:t>
            </w:r>
            <w:r>
              <w:rPr>
                <w:rFonts w:hint="eastAsia" w:ascii="宋体" w:hAnsi="宋体" w:eastAsia="宋体" w:cs="宋体"/>
                <w:color w:val="000000"/>
                <w:sz w:val="24"/>
                <w:szCs w:val="24"/>
                <w:lang w:val="zh-CN"/>
              </w:rPr>
              <w:t>。</w:t>
            </w:r>
          </w:p>
          <w:p w14:paraId="589F1165">
            <w:pPr>
              <w:ind w:firstLine="0" w:firstLineChars="0"/>
              <w:jc w:val="left"/>
            </w:pPr>
            <w:r>
              <w:rPr>
                <w:rFonts w:hint="eastAsia" w:ascii="宋体" w:hAnsi="宋体" w:eastAsia="宋体" w:cs="宋体"/>
                <w:b/>
                <w:bCs/>
                <w:color w:val="000000"/>
                <w:sz w:val="24"/>
                <w:szCs w:val="24"/>
                <w:lang w:val="zh-CN"/>
              </w:rPr>
              <w:t>注：</w:t>
            </w:r>
            <w:r>
              <w:rPr>
                <w:rFonts w:hint="eastAsia" w:ascii="宋体" w:hAnsi="宋体" w:eastAsia="宋体" w:cs="宋体"/>
                <w:b/>
                <w:bCs/>
                <w:color w:val="000000"/>
                <w:sz w:val="24"/>
                <w:szCs w:val="24"/>
                <w:lang w:val="en-US" w:eastAsia="zh-CN"/>
              </w:rPr>
              <w:t>响应文件中</w:t>
            </w:r>
            <w:r>
              <w:rPr>
                <w:rFonts w:hint="eastAsia" w:ascii="宋体" w:hAnsi="宋体" w:eastAsia="宋体" w:cs="宋体"/>
                <w:b/>
                <w:bCs/>
                <w:color w:val="000000"/>
                <w:sz w:val="24"/>
                <w:szCs w:val="24"/>
              </w:rPr>
              <w:t>提供</w:t>
            </w:r>
            <w:r>
              <w:rPr>
                <w:rFonts w:hint="eastAsia" w:ascii="宋体" w:hAnsi="宋体" w:eastAsia="宋体" w:cs="宋体"/>
                <w:b/>
                <w:bCs/>
                <w:color w:val="000000"/>
                <w:sz w:val="24"/>
                <w:szCs w:val="24"/>
                <w:lang w:val="zh-CN"/>
              </w:rPr>
              <w:t>日期以合同</w:t>
            </w:r>
            <w:r>
              <w:rPr>
                <w:rFonts w:hint="eastAsia" w:ascii="宋体" w:hAnsi="宋体" w:eastAsia="宋体" w:cs="宋体"/>
                <w:b/>
                <w:bCs/>
                <w:color w:val="000000"/>
                <w:sz w:val="24"/>
                <w:szCs w:val="24"/>
                <w:lang w:val="en-US" w:eastAsia="zh-CN"/>
              </w:rPr>
              <w:t>签订</w:t>
            </w:r>
            <w:r>
              <w:rPr>
                <w:rFonts w:hint="eastAsia" w:ascii="宋体" w:hAnsi="宋体" w:eastAsia="宋体" w:cs="宋体"/>
                <w:b/>
                <w:bCs/>
                <w:color w:val="000000"/>
                <w:sz w:val="24"/>
                <w:szCs w:val="24"/>
                <w:lang w:val="zh-CN"/>
              </w:rPr>
              <w:t>为准，</w:t>
            </w:r>
            <w:r>
              <w:rPr>
                <w:rFonts w:hint="eastAsia" w:ascii="宋体" w:hAnsi="宋体" w:eastAsia="宋体" w:cs="宋体"/>
                <w:b/>
                <w:bCs/>
                <w:color w:val="000000"/>
                <w:sz w:val="24"/>
                <w:szCs w:val="24"/>
                <w:lang w:val="en-US" w:eastAsia="zh-CN"/>
              </w:rPr>
              <w:t>响应文件中</w:t>
            </w:r>
            <w:r>
              <w:rPr>
                <w:rFonts w:hint="eastAsia" w:ascii="宋体" w:hAnsi="宋体" w:eastAsia="宋体" w:cs="宋体"/>
                <w:b/>
                <w:bCs/>
                <w:color w:val="000000"/>
                <w:sz w:val="24"/>
                <w:szCs w:val="24"/>
              </w:rPr>
              <w:t>提供合同</w:t>
            </w:r>
            <w:r>
              <w:rPr>
                <w:rFonts w:hint="eastAsia" w:ascii="宋体" w:hAnsi="宋体" w:eastAsia="宋体" w:cs="宋体"/>
                <w:b/>
                <w:bCs/>
                <w:color w:val="000000"/>
                <w:sz w:val="24"/>
                <w:szCs w:val="24"/>
                <w:lang w:val="en-US" w:eastAsia="zh-CN"/>
              </w:rPr>
              <w:t>原件</w:t>
            </w:r>
            <w:r>
              <w:rPr>
                <w:rFonts w:hint="eastAsia" w:ascii="宋体" w:hAnsi="宋体" w:eastAsia="宋体" w:cs="宋体"/>
                <w:b/>
                <w:bCs/>
                <w:color w:val="000000"/>
                <w:sz w:val="24"/>
                <w:szCs w:val="24"/>
              </w:rPr>
              <w:t>扫描件</w:t>
            </w:r>
            <w:r>
              <w:rPr>
                <w:rFonts w:hint="eastAsia" w:ascii="宋体" w:hAnsi="宋体" w:eastAsia="宋体" w:cs="宋体"/>
                <w:b/>
                <w:bCs/>
                <w:color w:val="000000"/>
                <w:sz w:val="24"/>
                <w:szCs w:val="24"/>
                <w:lang w:val="en-US" w:eastAsia="zh-CN"/>
              </w:rPr>
              <w:t>并加盖电子签章</w:t>
            </w:r>
            <w:r>
              <w:rPr>
                <w:rFonts w:hint="eastAsia" w:ascii="宋体" w:hAnsi="宋体" w:eastAsia="宋体" w:cs="宋体"/>
                <w:b/>
                <w:bCs/>
                <w:color w:val="000000"/>
                <w:sz w:val="24"/>
                <w:szCs w:val="24"/>
              </w:rPr>
              <w:t>，未提供不得分。</w:t>
            </w:r>
          </w:p>
        </w:tc>
      </w:tr>
      <w:tr w14:paraId="77CB3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0" w:hRule="atLeast"/>
          <w:jc w:val="center"/>
        </w:trPr>
        <w:tc>
          <w:tcPr>
            <w:tcW w:w="1286" w:type="dxa"/>
            <w:vMerge w:val="continue"/>
            <w:noWrap w:val="0"/>
            <w:vAlign w:val="center"/>
          </w:tcPr>
          <w:p w14:paraId="03CDD9D9">
            <w:pPr>
              <w:pStyle w:val="21"/>
              <w:spacing w:line="360" w:lineRule="auto"/>
              <w:jc w:val="center"/>
              <w:rPr>
                <w:rFonts w:hint="eastAsia" w:ascii="宋体" w:hAnsi="宋体" w:cs="宋体"/>
                <w:color w:val="000000" w:themeColor="text1"/>
                <w:sz w:val="24"/>
                <w:lang w:val="en-US" w:eastAsia="zh-CN"/>
                <w14:textFill>
                  <w14:solidFill>
                    <w14:schemeClr w14:val="tx1"/>
                  </w14:solidFill>
                </w14:textFill>
              </w:rPr>
            </w:pPr>
          </w:p>
        </w:tc>
        <w:tc>
          <w:tcPr>
            <w:tcW w:w="1264" w:type="dxa"/>
            <w:noWrap w:val="0"/>
            <w:vAlign w:val="center"/>
          </w:tcPr>
          <w:p w14:paraId="0D62DBF1">
            <w:pPr>
              <w:ind w:firstLine="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人员配备</w:t>
            </w:r>
            <w:r>
              <w:rPr>
                <w:rFonts w:hint="eastAsia" w:ascii="宋体" w:hAnsi="宋体" w:eastAsia="宋体" w:cs="宋体"/>
                <w:color w:val="000000"/>
                <w:sz w:val="24"/>
                <w:szCs w:val="24"/>
                <w:lang w:val="en-US" w:eastAsia="zh-CN"/>
              </w:rPr>
              <w:t>方案</w:t>
            </w:r>
          </w:p>
          <w:p w14:paraId="598B2675">
            <w:pPr>
              <w:ind w:firstLine="0" w:firstLineChars="0"/>
              <w:jc w:val="center"/>
              <w:rPr>
                <w:rFonts w:hint="eastAsia" w:ascii="宋体" w:hAnsi="宋体" w:cs="宋体"/>
                <w:color w:val="000000"/>
                <w:sz w:val="24"/>
                <w:szCs w:val="24"/>
                <w:lang w:val="en-US" w:eastAsia="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分）</w:t>
            </w:r>
          </w:p>
        </w:tc>
        <w:tc>
          <w:tcPr>
            <w:tcW w:w="6893" w:type="dxa"/>
            <w:noWrap w:val="0"/>
            <w:vAlign w:val="center"/>
          </w:tcPr>
          <w:p w14:paraId="631411EA">
            <w:p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拟派驻项目负责人：</w:t>
            </w:r>
            <w:r>
              <w:rPr>
                <w:rFonts w:hint="eastAsia" w:ascii="新宋体" w:hAnsi="新宋体" w:eastAsia="新宋体" w:cs="新宋体"/>
                <w:sz w:val="24"/>
                <w:szCs w:val="24"/>
                <w:lang w:val="en-US" w:eastAsia="zh-CN"/>
              </w:rPr>
              <w:t>50</w:t>
            </w:r>
            <w:r>
              <w:rPr>
                <w:rFonts w:hint="eastAsia" w:ascii="新宋体" w:hAnsi="新宋体" w:eastAsia="新宋体" w:cs="新宋体"/>
                <w:sz w:val="24"/>
                <w:szCs w:val="24"/>
              </w:rPr>
              <w:t>周岁以内，具有高级保安员证书，得</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分，满分</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分。</w:t>
            </w:r>
          </w:p>
          <w:p w14:paraId="519FE3B0">
            <w:p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拟派驻人员</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除</w:t>
            </w:r>
            <w:r>
              <w:rPr>
                <w:rFonts w:hint="eastAsia" w:ascii="新宋体" w:hAnsi="新宋体" w:eastAsia="新宋体" w:cs="新宋体"/>
                <w:sz w:val="24"/>
                <w:szCs w:val="24"/>
              </w:rPr>
              <w:t>项目负责人</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具有保安从业资格证，</w:t>
            </w:r>
            <w:r>
              <w:rPr>
                <w:rFonts w:hint="eastAsia" w:ascii="新宋体" w:hAnsi="新宋体" w:eastAsia="新宋体" w:cs="新宋体"/>
                <w:sz w:val="24"/>
                <w:szCs w:val="24"/>
                <w:lang w:val="en-US" w:eastAsia="zh-CN"/>
              </w:rPr>
              <w:t>每</w:t>
            </w:r>
            <w:r>
              <w:rPr>
                <w:rFonts w:hint="eastAsia" w:ascii="新宋体" w:hAnsi="新宋体" w:eastAsia="新宋体" w:cs="新宋体"/>
                <w:sz w:val="24"/>
                <w:szCs w:val="24"/>
              </w:rPr>
              <w:t>有</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人得</w:t>
            </w:r>
            <w:r>
              <w:rPr>
                <w:rFonts w:hint="eastAsia" w:ascii="新宋体" w:hAnsi="新宋体" w:eastAsia="新宋体" w:cs="新宋体"/>
                <w:sz w:val="24"/>
                <w:szCs w:val="24"/>
                <w:lang w:val="en-US" w:eastAsia="zh-CN"/>
              </w:rPr>
              <w:t>0.5</w:t>
            </w:r>
            <w:r>
              <w:rPr>
                <w:rFonts w:hint="eastAsia" w:ascii="新宋体" w:hAnsi="新宋体" w:eastAsia="新宋体" w:cs="新宋体"/>
                <w:sz w:val="24"/>
                <w:szCs w:val="24"/>
              </w:rPr>
              <w:t>分，满分</w:t>
            </w: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分。</w:t>
            </w:r>
          </w:p>
          <w:p w14:paraId="11AA40AC">
            <w:pPr>
              <w:rPr>
                <w:rFonts w:hint="eastAsia" w:ascii="宋体" w:hAnsi="宋体" w:eastAsia="新宋体" w:cs="宋体"/>
                <w:color w:val="000000"/>
                <w:sz w:val="24"/>
                <w:szCs w:val="24"/>
                <w:lang w:val="en-US" w:eastAsia="zh-CN"/>
              </w:rPr>
            </w:pPr>
            <w:r>
              <w:rPr>
                <w:rFonts w:hint="eastAsia" w:ascii="宋体" w:hAnsi="宋体" w:eastAsia="宋体" w:cs="宋体"/>
                <w:b/>
                <w:bCs/>
                <w:color w:val="000000"/>
                <w:sz w:val="24"/>
                <w:szCs w:val="24"/>
                <w:lang w:val="zh-CN"/>
              </w:rPr>
              <w:t>注：</w:t>
            </w:r>
            <w:r>
              <w:rPr>
                <w:rFonts w:hint="eastAsia" w:ascii="宋体" w:hAnsi="宋体" w:eastAsia="宋体" w:cs="宋体"/>
                <w:b/>
                <w:bCs/>
                <w:color w:val="000000"/>
                <w:sz w:val="24"/>
                <w:szCs w:val="24"/>
                <w:lang w:val="en-US" w:eastAsia="zh-CN"/>
              </w:rPr>
              <w:t>响应文件中</w:t>
            </w:r>
            <w:r>
              <w:rPr>
                <w:rFonts w:hint="eastAsia" w:ascii="宋体" w:hAnsi="宋体" w:eastAsia="宋体" w:cs="宋体"/>
                <w:b/>
                <w:bCs/>
                <w:color w:val="000000"/>
                <w:sz w:val="24"/>
                <w:szCs w:val="24"/>
              </w:rPr>
              <w:t>提供</w:t>
            </w:r>
            <w:r>
              <w:rPr>
                <w:rFonts w:hint="eastAsia" w:ascii="新宋体" w:hAnsi="新宋体" w:eastAsia="新宋体" w:cs="新宋体"/>
                <w:b/>
                <w:bCs/>
                <w:sz w:val="24"/>
                <w:szCs w:val="24"/>
              </w:rPr>
              <w:t>供应商需提供证书</w:t>
            </w:r>
            <w:r>
              <w:rPr>
                <w:rFonts w:hint="eastAsia" w:ascii="新宋体" w:hAnsi="新宋体" w:eastAsia="新宋体" w:cs="新宋体"/>
                <w:b/>
                <w:bCs/>
                <w:sz w:val="24"/>
                <w:szCs w:val="24"/>
                <w:lang w:eastAsia="zh-CN"/>
              </w:rPr>
              <w:t>等材料原件扫描件</w:t>
            </w:r>
            <w:r>
              <w:rPr>
                <w:rFonts w:hint="eastAsia" w:ascii="宋体" w:hAnsi="宋体" w:eastAsia="宋体" w:cs="宋体"/>
                <w:b/>
                <w:bCs/>
                <w:color w:val="000000"/>
                <w:sz w:val="24"/>
                <w:szCs w:val="24"/>
                <w:lang w:val="en-US" w:eastAsia="zh-CN"/>
              </w:rPr>
              <w:t>并加盖电子签章</w:t>
            </w:r>
            <w:r>
              <w:rPr>
                <w:rFonts w:hint="eastAsia" w:ascii="新宋体" w:hAnsi="新宋体" w:eastAsia="新宋体" w:cs="新宋体"/>
                <w:b/>
                <w:bCs/>
                <w:sz w:val="24"/>
                <w:szCs w:val="24"/>
              </w:rPr>
              <w:t>，</w:t>
            </w:r>
            <w:r>
              <w:rPr>
                <w:rFonts w:hint="eastAsia" w:ascii="宋体" w:hAnsi="宋体" w:eastAsia="宋体" w:cs="宋体"/>
                <w:b/>
                <w:bCs/>
                <w:color w:val="000000"/>
                <w:sz w:val="24"/>
                <w:szCs w:val="24"/>
              </w:rPr>
              <w:t>未</w:t>
            </w:r>
            <w:r>
              <w:rPr>
                <w:rFonts w:hint="eastAsia" w:ascii="新宋体" w:hAnsi="新宋体" w:eastAsia="新宋体" w:cs="新宋体"/>
                <w:b/>
                <w:bCs/>
                <w:sz w:val="24"/>
                <w:szCs w:val="24"/>
              </w:rPr>
              <w:t>提供不得分</w:t>
            </w:r>
            <w:r>
              <w:rPr>
                <w:rFonts w:hint="eastAsia" w:ascii="新宋体" w:hAnsi="新宋体" w:eastAsia="新宋体" w:cs="新宋体"/>
                <w:b/>
                <w:bCs/>
                <w:sz w:val="24"/>
                <w:szCs w:val="24"/>
                <w:lang w:eastAsia="zh-CN"/>
              </w:rPr>
              <w:t>。</w:t>
            </w:r>
          </w:p>
        </w:tc>
      </w:tr>
      <w:tr w14:paraId="226B7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0" w:hRule="atLeast"/>
          <w:jc w:val="center"/>
        </w:trPr>
        <w:tc>
          <w:tcPr>
            <w:tcW w:w="1286" w:type="dxa"/>
            <w:vMerge w:val="restart"/>
            <w:noWrap w:val="0"/>
            <w:vAlign w:val="center"/>
          </w:tcPr>
          <w:p w14:paraId="17DFAF3C">
            <w:pPr>
              <w:pStyle w:val="21"/>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技术服务方案</w:t>
            </w:r>
          </w:p>
          <w:p w14:paraId="1CDFB62C">
            <w:pPr>
              <w:pStyle w:val="21"/>
              <w:spacing w:line="360" w:lineRule="auto"/>
              <w:jc w:val="cente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77</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c>
          <w:tcPr>
            <w:tcW w:w="1264" w:type="dxa"/>
            <w:noWrap w:val="0"/>
            <w:vAlign w:val="center"/>
          </w:tcPr>
          <w:p w14:paraId="1C728AC3">
            <w:pPr>
              <w:pStyle w:val="21"/>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总体服务方案</w:t>
            </w:r>
          </w:p>
          <w:p w14:paraId="6E5374B2">
            <w:pPr>
              <w:pStyle w:val="21"/>
              <w:spacing w:line="360" w:lineRule="auto"/>
              <w:jc w:val="center"/>
              <w:rPr>
                <w:rFonts w:hint="eastAsia" w:ascii="宋体" w:hAnsi="宋体" w:eastAsia="宋体" w:cs="宋体"/>
                <w:caps w:val="0"/>
                <w:color w:val="auto"/>
                <w:sz w:val="24"/>
                <w:highlight w:val="none"/>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11</w:t>
            </w:r>
            <w:r>
              <w:rPr>
                <w:rFonts w:hint="eastAsia" w:ascii="宋体" w:hAnsi="宋体" w:eastAsia="宋体" w:cs="宋体"/>
                <w:color w:val="000000"/>
                <w:sz w:val="24"/>
                <w:szCs w:val="24"/>
              </w:rPr>
              <w:t>分）</w:t>
            </w:r>
          </w:p>
        </w:tc>
        <w:tc>
          <w:tcPr>
            <w:tcW w:w="6893" w:type="dxa"/>
            <w:noWrap w:val="0"/>
            <w:vAlign w:val="top"/>
          </w:tcPr>
          <w:p w14:paraId="0C1F6799">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zh-CN"/>
              </w:rPr>
              <w:t>根据</w:t>
            </w:r>
            <w:r>
              <w:rPr>
                <w:rFonts w:hint="eastAsia" w:ascii="新宋体" w:hAnsi="新宋体" w:eastAsia="新宋体" w:cs="新宋体"/>
                <w:sz w:val="24"/>
                <w:szCs w:val="24"/>
              </w:rPr>
              <w:t>供应商提供</w:t>
            </w:r>
            <w:r>
              <w:rPr>
                <w:rFonts w:hint="eastAsia" w:ascii="新宋体" w:hAnsi="新宋体" w:eastAsia="新宋体" w:cs="新宋体"/>
                <w:sz w:val="24"/>
                <w:szCs w:val="24"/>
                <w:lang w:val="en-US" w:eastAsia="zh-CN"/>
              </w:rPr>
              <w:t>的总体服务方案进行</w:t>
            </w:r>
            <w:r>
              <w:rPr>
                <w:rFonts w:hint="eastAsia" w:ascii="新宋体" w:hAnsi="新宋体" w:eastAsia="新宋体" w:cs="新宋体"/>
                <w:sz w:val="24"/>
                <w:szCs w:val="24"/>
              </w:rPr>
              <w:t>综合评分</w:t>
            </w:r>
            <w:r>
              <w:rPr>
                <w:rFonts w:hint="eastAsia" w:ascii="新宋体" w:hAnsi="新宋体" w:eastAsia="新宋体" w:cs="新宋体"/>
                <w:sz w:val="24"/>
                <w:szCs w:val="24"/>
                <w:lang w:val="en-US" w:eastAsia="zh-CN"/>
              </w:rPr>
              <w:t>。</w:t>
            </w:r>
          </w:p>
          <w:p w14:paraId="384D1F13">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总体服务方案科学、严密、合理，描述详细且具有针对性的，得11分；</w:t>
            </w:r>
          </w:p>
          <w:p w14:paraId="1B347906">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总体服务方案较合理、严密、描述较为详细，不存在实施难度的，得8分；</w:t>
            </w:r>
          </w:p>
          <w:p w14:paraId="30570BBB">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总体服务方案基本合理、描述一般、存在可操作性的，得5分；</w:t>
            </w:r>
          </w:p>
          <w:p w14:paraId="0DC700FE">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总体服务方案具有不合理项、描述略欠缺、存在一定的实施难度的，得2分；</w:t>
            </w:r>
          </w:p>
          <w:p w14:paraId="312A652F">
            <w:pPr>
              <w:rPr>
                <w:rFonts w:hint="eastAsia" w:ascii="宋体" w:hAnsi="宋体" w:cs="宋体"/>
                <w:color w:val="000000"/>
                <w:sz w:val="24"/>
                <w:szCs w:val="24"/>
                <w:lang w:val="en-US" w:eastAsia="zh-CN"/>
              </w:rPr>
            </w:pPr>
            <w:r>
              <w:rPr>
                <w:rFonts w:hint="eastAsia" w:ascii="新宋体" w:hAnsi="新宋体" w:eastAsia="新宋体" w:cs="新宋体"/>
                <w:sz w:val="24"/>
                <w:szCs w:val="24"/>
                <w:lang w:val="en-US" w:eastAsia="zh-CN"/>
              </w:rPr>
              <w:t>未提供方案的不得分。</w:t>
            </w:r>
          </w:p>
        </w:tc>
      </w:tr>
      <w:tr w14:paraId="4F6C5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0" w:hRule="atLeast"/>
          <w:jc w:val="center"/>
        </w:trPr>
        <w:tc>
          <w:tcPr>
            <w:tcW w:w="1286" w:type="dxa"/>
            <w:vMerge w:val="continue"/>
            <w:noWrap w:val="0"/>
            <w:vAlign w:val="center"/>
          </w:tcPr>
          <w:p w14:paraId="3E4B7A84">
            <w:pPr>
              <w:pStyle w:val="21"/>
              <w:spacing w:line="360" w:lineRule="auto"/>
              <w:jc w:val="center"/>
              <w:rPr>
                <w:rFonts w:hint="eastAsia" w:ascii="宋体" w:hAnsi="宋体" w:cs="宋体"/>
                <w:color w:val="000000" w:themeColor="text1"/>
                <w:sz w:val="24"/>
                <w:lang w:val="en-US" w:eastAsia="zh-CN"/>
                <w14:textFill>
                  <w14:solidFill>
                    <w14:schemeClr w14:val="tx1"/>
                  </w14:solidFill>
                </w14:textFill>
              </w:rPr>
            </w:pPr>
          </w:p>
        </w:tc>
        <w:tc>
          <w:tcPr>
            <w:tcW w:w="1264" w:type="dxa"/>
            <w:noWrap w:val="0"/>
            <w:vAlign w:val="center"/>
          </w:tcPr>
          <w:p w14:paraId="247EA521">
            <w:pPr>
              <w:jc w:val="center"/>
              <w:rPr>
                <w:rFonts w:hint="eastAsia" w:ascii="新宋体" w:hAnsi="新宋体" w:eastAsia="新宋体" w:cs="新宋体"/>
                <w:sz w:val="24"/>
                <w:szCs w:val="24"/>
              </w:rPr>
            </w:pPr>
            <w:r>
              <w:rPr>
                <w:rFonts w:hint="eastAsia" w:ascii="新宋体" w:hAnsi="新宋体" w:eastAsia="新宋体" w:cs="新宋体"/>
                <w:sz w:val="24"/>
                <w:szCs w:val="24"/>
              </w:rPr>
              <w:t>人员管理架构方案</w:t>
            </w:r>
          </w:p>
          <w:p w14:paraId="4DAA9A27">
            <w:pPr>
              <w:jc w:val="center"/>
              <w:rPr>
                <w:rFonts w:hint="eastAsia" w:ascii="新宋体" w:hAnsi="新宋体" w:eastAsia="新宋体" w:cs="新宋体"/>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11</w:t>
            </w:r>
            <w:r>
              <w:rPr>
                <w:rFonts w:hint="eastAsia" w:ascii="新宋体" w:hAnsi="新宋体" w:eastAsia="新宋体" w:cs="新宋体"/>
                <w:sz w:val="24"/>
                <w:szCs w:val="24"/>
              </w:rPr>
              <w:t>分）</w:t>
            </w:r>
          </w:p>
        </w:tc>
        <w:tc>
          <w:tcPr>
            <w:tcW w:w="6893" w:type="dxa"/>
            <w:noWrap w:val="0"/>
            <w:vAlign w:val="center"/>
          </w:tcPr>
          <w:p w14:paraId="3100B3C1">
            <w:pPr>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根据</w:t>
            </w:r>
            <w:r>
              <w:rPr>
                <w:rFonts w:hint="eastAsia" w:ascii="新宋体" w:hAnsi="新宋体" w:eastAsia="新宋体" w:cs="新宋体"/>
                <w:sz w:val="24"/>
                <w:szCs w:val="24"/>
              </w:rPr>
              <w:t>供应商提供</w:t>
            </w:r>
            <w:r>
              <w:rPr>
                <w:rFonts w:hint="eastAsia" w:ascii="新宋体" w:hAnsi="新宋体" w:eastAsia="新宋体" w:cs="新宋体"/>
                <w:sz w:val="24"/>
                <w:szCs w:val="24"/>
                <w:lang w:val="en-US" w:eastAsia="zh-CN"/>
              </w:rPr>
              <w:t>的</w:t>
            </w:r>
            <w:r>
              <w:rPr>
                <w:rFonts w:hint="eastAsia" w:ascii="新宋体" w:hAnsi="新宋体" w:eastAsia="新宋体" w:cs="新宋体"/>
                <w:sz w:val="24"/>
                <w:szCs w:val="24"/>
              </w:rPr>
              <w:t>人员管理架构方案</w:t>
            </w:r>
            <w:r>
              <w:rPr>
                <w:rFonts w:hint="eastAsia" w:ascii="新宋体" w:hAnsi="新宋体" w:eastAsia="新宋体" w:cs="新宋体"/>
                <w:sz w:val="24"/>
                <w:szCs w:val="24"/>
                <w:lang w:eastAsia="zh-CN"/>
              </w:rPr>
              <w:t>（</w:t>
            </w:r>
            <w:r>
              <w:rPr>
                <w:rFonts w:hint="eastAsia" w:ascii="宋体" w:hAnsi="宋体" w:cs="宋体"/>
                <w:sz w:val="24"/>
                <w:szCs w:val="24"/>
              </w:rPr>
              <w:t>方案须包含：组织架构、职责分工、机构运作、合同结束后人员安排计划）</w:t>
            </w:r>
            <w:r>
              <w:rPr>
                <w:rFonts w:hint="eastAsia" w:ascii="新宋体" w:hAnsi="新宋体" w:eastAsia="新宋体" w:cs="新宋体"/>
                <w:sz w:val="24"/>
                <w:szCs w:val="24"/>
              </w:rPr>
              <w:t>进行综合评分。</w:t>
            </w:r>
          </w:p>
          <w:p w14:paraId="381DFB11">
            <w:pPr>
              <w:rPr>
                <w:rFonts w:hint="eastAsia" w:ascii="新宋体" w:hAnsi="新宋体" w:eastAsia="新宋体" w:cs="新宋体"/>
                <w:sz w:val="24"/>
                <w:szCs w:val="24"/>
              </w:rPr>
            </w:pPr>
            <w:r>
              <w:rPr>
                <w:rFonts w:hint="eastAsia" w:ascii="新宋体" w:hAnsi="新宋体" w:eastAsia="新宋体" w:cs="新宋体"/>
                <w:sz w:val="24"/>
                <w:szCs w:val="24"/>
              </w:rPr>
              <w:t>组织管理架构安排方案严密、可行、描述详细，操作性强得</w:t>
            </w:r>
            <w:r>
              <w:rPr>
                <w:rFonts w:hint="eastAsia" w:ascii="新宋体" w:hAnsi="新宋体" w:eastAsia="新宋体" w:cs="新宋体"/>
                <w:sz w:val="24"/>
                <w:szCs w:val="24"/>
                <w:lang w:val="en-US" w:eastAsia="zh-CN"/>
              </w:rPr>
              <w:t>11</w:t>
            </w:r>
            <w:r>
              <w:rPr>
                <w:rFonts w:hint="eastAsia" w:ascii="新宋体" w:hAnsi="新宋体" w:eastAsia="新宋体" w:cs="新宋体"/>
                <w:sz w:val="24"/>
                <w:szCs w:val="24"/>
              </w:rPr>
              <w:t>分；</w:t>
            </w:r>
          </w:p>
          <w:p w14:paraId="336C320D">
            <w:pPr>
              <w:rPr>
                <w:rFonts w:hint="eastAsia" w:ascii="新宋体" w:hAnsi="新宋体" w:eastAsia="新宋体" w:cs="新宋体"/>
                <w:sz w:val="24"/>
                <w:szCs w:val="24"/>
              </w:rPr>
            </w:pPr>
            <w:r>
              <w:rPr>
                <w:rFonts w:hint="eastAsia" w:ascii="新宋体" w:hAnsi="新宋体" w:eastAsia="新宋体" w:cs="新宋体"/>
                <w:sz w:val="24"/>
                <w:szCs w:val="24"/>
              </w:rPr>
              <w:t>组织管理架构安排方案较合理、严密、描述较为详细，不存在实施难度的得</w:t>
            </w: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rPr>
              <w:t>分；</w:t>
            </w:r>
          </w:p>
          <w:p w14:paraId="649B00A2">
            <w:pPr>
              <w:rPr>
                <w:rFonts w:hint="eastAsia" w:ascii="新宋体" w:hAnsi="新宋体" w:eastAsia="新宋体" w:cs="新宋体"/>
                <w:sz w:val="24"/>
                <w:szCs w:val="24"/>
              </w:rPr>
            </w:pPr>
            <w:r>
              <w:rPr>
                <w:rFonts w:hint="eastAsia" w:ascii="新宋体" w:hAnsi="新宋体" w:eastAsia="新宋体" w:cs="新宋体"/>
                <w:sz w:val="24"/>
                <w:szCs w:val="24"/>
              </w:rPr>
              <w:t>组织管理架构安排方案基本响应需求，并没有完善的保证措施得</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分；</w:t>
            </w:r>
          </w:p>
          <w:p w14:paraId="629CE4CC">
            <w:pPr>
              <w:rPr>
                <w:rFonts w:hint="eastAsia" w:ascii="新宋体" w:hAnsi="新宋体" w:eastAsia="新宋体" w:cs="新宋体"/>
                <w:sz w:val="24"/>
                <w:szCs w:val="24"/>
                <w:lang w:eastAsia="zh-CN"/>
              </w:rPr>
            </w:pPr>
            <w:r>
              <w:rPr>
                <w:rFonts w:hint="eastAsia" w:ascii="新宋体" w:hAnsi="新宋体" w:eastAsia="新宋体" w:cs="新宋体"/>
                <w:sz w:val="24"/>
                <w:szCs w:val="24"/>
              </w:rPr>
              <w:t>组织管理架构安排方案可行性较低，响应度低得</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分；</w:t>
            </w:r>
          </w:p>
          <w:p w14:paraId="1348834E">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未提供方案的不得分。</w:t>
            </w:r>
          </w:p>
        </w:tc>
      </w:tr>
      <w:tr w14:paraId="3FD0A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0" w:hRule="atLeast"/>
          <w:jc w:val="center"/>
        </w:trPr>
        <w:tc>
          <w:tcPr>
            <w:tcW w:w="1286" w:type="dxa"/>
            <w:vMerge w:val="continue"/>
            <w:noWrap w:val="0"/>
            <w:vAlign w:val="center"/>
          </w:tcPr>
          <w:p w14:paraId="7041079F">
            <w:pPr>
              <w:pStyle w:val="21"/>
              <w:spacing w:line="360" w:lineRule="auto"/>
              <w:jc w:val="center"/>
              <w:rPr>
                <w:rFonts w:hint="eastAsia" w:ascii="宋体" w:hAnsi="宋体" w:cs="宋体"/>
                <w:color w:val="000000" w:themeColor="text1"/>
                <w:sz w:val="24"/>
                <w:lang w:val="en-US" w:eastAsia="zh-CN"/>
                <w14:textFill>
                  <w14:solidFill>
                    <w14:schemeClr w14:val="tx1"/>
                  </w14:solidFill>
                </w14:textFill>
              </w:rPr>
            </w:pPr>
          </w:p>
        </w:tc>
        <w:tc>
          <w:tcPr>
            <w:tcW w:w="1264" w:type="dxa"/>
            <w:noWrap w:val="0"/>
            <w:vAlign w:val="center"/>
          </w:tcPr>
          <w:p w14:paraId="06902D3A">
            <w:pPr>
              <w:jc w:val="center"/>
              <w:rPr>
                <w:rFonts w:hint="eastAsia" w:ascii="宋体" w:hAnsi="宋体" w:eastAsia="宋体" w:cs="宋体"/>
                <w:sz w:val="24"/>
              </w:rPr>
            </w:pPr>
            <w:r>
              <w:rPr>
                <w:rFonts w:hint="eastAsia" w:ascii="宋体" w:hAnsi="宋体" w:eastAsia="宋体" w:cs="宋体"/>
                <w:sz w:val="24"/>
              </w:rPr>
              <w:t>共用设备设施管理服务方案</w:t>
            </w:r>
          </w:p>
          <w:p w14:paraId="159B66E9">
            <w:pPr>
              <w:jc w:val="center"/>
              <w:rPr>
                <w:rFonts w:hint="eastAsia" w:ascii="新宋体" w:hAnsi="新宋体" w:eastAsia="新宋体" w:cs="新宋体"/>
                <w:sz w:val="24"/>
                <w:szCs w:val="24"/>
              </w:rPr>
            </w:pPr>
            <w:r>
              <w:rPr>
                <w:rFonts w:hint="eastAsia" w:ascii="宋体" w:hAnsi="宋体" w:eastAsia="宋体" w:cs="宋体"/>
                <w:sz w:val="24"/>
              </w:rPr>
              <w:t>（</w:t>
            </w:r>
            <w:r>
              <w:rPr>
                <w:rFonts w:hint="eastAsia" w:ascii="宋体" w:hAnsi="宋体" w:eastAsia="宋体" w:cs="宋体"/>
                <w:sz w:val="24"/>
                <w:lang w:val="en-US" w:eastAsia="zh-CN"/>
              </w:rPr>
              <w:t>1</w:t>
            </w:r>
            <w:r>
              <w:rPr>
                <w:rFonts w:hint="eastAsia" w:ascii="宋体" w:hAnsi="宋体" w:cs="宋体"/>
                <w:sz w:val="24"/>
                <w:lang w:val="en-US" w:eastAsia="zh-CN"/>
              </w:rPr>
              <w:t>1</w:t>
            </w:r>
            <w:r>
              <w:rPr>
                <w:rFonts w:hint="eastAsia" w:ascii="宋体" w:hAnsi="宋体" w:eastAsia="宋体" w:cs="宋体"/>
                <w:sz w:val="24"/>
              </w:rPr>
              <w:t>分）</w:t>
            </w:r>
          </w:p>
        </w:tc>
        <w:tc>
          <w:tcPr>
            <w:tcW w:w="6893" w:type="dxa"/>
            <w:noWrap w:val="0"/>
            <w:vAlign w:val="center"/>
          </w:tcPr>
          <w:p w14:paraId="1217E5AA">
            <w:pPr>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根据</w:t>
            </w:r>
            <w:r>
              <w:rPr>
                <w:rFonts w:hint="eastAsia" w:ascii="新宋体" w:hAnsi="新宋体" w:eastAsia="新宋体" w:cs="新宋体"/>
                <w:sz w:val="24"/>
                <w:szCs w:val="24"/>
              </w:rPr>
              <w:t>供应商提供</w:t>
            </w:r>
            <w:r>
              <w:rPr>
                <w:rFonts w:hint="eastAsia" w:ascii="新宋体" w:hAnsi="新宋体" w:eastAsia="新宋体" w:cs="新宋体"/>
                <w:sz w:val="24"/>
                <w:szCs w:val="24"/>
                <w:lang w:val="en-US" w:eastAsia="zh-CN"/>
              </w:rPr>
              <w:t>的</w:t>
            </w:r>
            <w:r>
              <w:rPr>
                <w:rFonts w:hint="eastAsia" w:ascii="新宋体" w:hAnsi="新宋体" w:eastAsia="新宋体" w:cs="新宋体"/>
                <w:sz w:val="24"/>
                <w:szCs w:val="24"/>
              </w:rPr>
              <w:t>共用设备设施管理服务方案进行综合评分。</w:t>
            </w:r>
          </w:p>
          <w:p w14:paraId="36C9C85F">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设施设备服务方案完整，能完全满足项目实施要求的，得11分；</w:t>
            </w:r>
          </w:p>
          <w:p w14:paraId="2514FF8A">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设施设备服务方案较具体，能基本满足项目实施要求的，得8分；</w:t>
            </w:r>
          </w:p>
          <w:p w14:paraId="52333865">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设施设备服务方案较简单，对项目实施要求响应一般的，得5分；</w:t>
            </w:r>
          </w:p>
          <w:p w14:paraId="39FBA942">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设施设备服务方案较差、无针对性或可行性较差的，得5分；</w:t>
            </w:r>
          </w:p>
          <w:p w14:paraId="4F047C31">
            <w:p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未提供方案的不得分。</w:t>
            </w:r>
          </w:p>
        </w:tc>
      </w:tr>
      <w:tr w14:paraId="10AAE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0" w:hRule="atLeast"/>
          <w:jc w:val="center"/>
        </w:trPr>
        <w:tc>
          <w:tcPr>
            <w:tcW w:w="1286" w:type="dxa"/>
            <w:vMerge w:val="continue"/>
            <w:noWrap w:val="0"/>
            <w:vAlign w:val="center"/>
          </w:tcPr>
          <w:p w14:paraId="5466C8D7">
            <w:pPr>
              <w:pStyle w:val="21"/>
              <w:spacing w:line="360" w:lineRule="auto"/>
              <w:jc w:val="center"/>
              <w:rPr>
                <w:rFonts w:hint="eastAsia" w:ascii="宋体" w:hAnsi="宋体" w:cs="宋体"/>
                <w:color w:val="000000" w:themeColor="text1"/>
                <w:sz w:val="24"/>
                <w:lang w:val="en-US" w:eastAsia="zh-CN"/>
                <w14:textFill>
                  <w14:solidFill>
                    <w14:schemeClr w14:val="tx1"/>
                  </w14:solidFill>
                </w14:textFill>
              </w:rPr>
            </w:pPr>
          </w:p>
        </w:tc>
        <w:tc>
          <w:tcPr>
            <w:tcW w:w="1264" w:type="dxa"/>
            <w:noWrap w:val="0"/>
            <w:vAlign w:val="center"/>
          </w:tcPr>
          <w:p w14:paraId="52528FFF">
            <w:pPr>
              <w:jc w:val="center"/>
              <w:rPr>
                <w:rFonts w:hint="eastAsia" w:ascii="宋体" w:hAnsi="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秩序维护服务方案</w:t>
            </w:r>
          </w:p>
          <w:p w14:paraId="05704DD3">
            <w:pPr>
              <w:jc w:val="center"/>
              <w:rPr>
                <w:rFonts w:hint="eastAsia" w:ascii="新宋体" w:hAnsi="新宋体" w:eastAsia="新宋体" w:cs="新宋体"/>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11</w:t>
            </w:r>
            <w:r>
              <w:rPr>
                <w:rFonts w:hint="eastAsia" w:ascii="新宋体" w:hAnsi="新宋体" w:eastAsia="新宋体" w:cs="新宋体"/>
                <w:sz w:val="24"/>
                <w:szCs w:val="24"/>
              </w:rPr>
              <w:t>分）</w:t>
            </w:r>
          </w:p>
        </w:tc>
        <w:tc>
          <w:tcPr>
            <w:tcW w:w="6893" w:type="dxa"/>
            <w:noWrap w:val="0"/>
            <w:vAlign w:val="top"/>
          </w:tcPr>
          <w:p w14:paraId="165153D0">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zh-CN"/>
              </w:rPr>
              <w:t>根据</w:t>
            </w:r>
            <w:r>
              <w:rPr>
                <w:rFonts w:hint="eastAsia" w:ascii="新宋体" w:hAnsi="新宋体" w:eastAsia="新宋体" w:cs="新宋体"/>
                <w:sz w:val="24"/>
                <w:szCs w:val="24"/>
              </w:rPr>
              <w:t>供应商提供</w:t>
            </w:r>
            <w:r>
              <w:rPr>
                <w:rFonts w:hint="eastAsia" w:ascii="新宋体" w:hAnsi="新宋体" w:eastAsia="新宋体" w:cs="新宋体"/>
                <w:sz w:val="24"/>
                <w:szCs w:val="24"/>
                <w:lang w:val="en-US" w:eastAsia="zh-CN"/>
              </w:rPr>
              <w:t>的秩序维护服务方案进行综合</w:t>
            </w:r>
            <w:r>
              <w:rPr>
                <w:rFonts w:hint="eastAsia" w:ascii="新宋体" w:hAnsi="新宋体" w:eastAsia="新宋体" w:cs="新宋体"/>
                <w:sz w:val="24"/>
                <w:szCs w:val="24"/>
              </w:rPr>
              <w:t>评分</w:t>
            </w:r>
            <w:r>
              <w:rPr>
                <w:rFonts w:hint="eastAsia" w:ascii="新宋体" w:hAnsi="新宋体" w:eastAsia="新宋体" w:cs="新宋体"/>
                <w:sz w:val="24"/>
                <w:szCs w:val="24"/>
                <w:lang w:val="en-US" w:eastAsia="zh-CN"/>
              </w:rPr>
              <w:t>。</w:t>
            </w:r>
          </w:p>
          <w:p w14:paraId="4BBD55EE">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秩序维护服务方案完整，能完全满足项目实施要求的，得11分；</w:t>
            </w:r>
          </w:p>
          <w:p w14:paraId="05040ED8">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秩序维护服务方案较具体，能基本满足项目实施要求的，得8分；</w:t>
            </w:r>
          </w:p>
          <w:p w14:paraId="332C2A49">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秩序维护服务方案较简单，对项目实施要求响应一般的，得5分；</w:t>
            </w:r>
          </w:p>
          <w:p w14:paraId="648EEC83">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秩序维护服务方案较差、无针对性或可行性较差的，得2分；</w:t>
            </w:r>
          </w:p>
          <w:p w14:paraId="6A9AC161">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未提供方案的不得分。</w:t>
            </w:r>
          </w:p>
        </w:tc>
      </w:tr>
      <w:tr w14:paraId="307F4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0" w:hRule="atLeast"/>
          <w:jc w:val="center"/>
        </w:trPr>
        <w:tc>
          <w:tcPr>
            <w:tcW w:w="1286" w:type="dxa"/>
            <w:vMerge w:val="continue"/>
            <w:noWrap w:val="0"/>
            <w:vAlign w:val="center"/>
          </w:tcPr>
          <w:p w14:paraId="48E7CAF3">
            <w:pPr>
              <w:pStyle w:val="21"/>
              <w:spacing w:line="360" w:lineRule="auto"/>
              <w:jc w:val="center"/>
              <w:rPr>
                <w:rFonts w:hint="eastAsia" w:ascii="宋体" w:hAnsi="宋体" w:cs="宋体"/>
                <w:color w:val="000000" w:themeColor="text1"/>
                <w:sz w:val="24"/>
                <w:lang w:val="en-US" w:eastAsia="zh-CN"/>
                <w14:textFill>
                  <w14:solidFill>
                    <w14:schemeClr w14:val="tx1"/>
                  </w14:solidFill>
                </w14:textFill>
              </w:rPr>
            </w:pPr>
          </w:p>
        </w:tc>
        <w:tc>
          <w:tcPr>
            <w:tcW w:w="1264" w:type="dxa"/>
            <w:noWrap w:val="0"/>
            <w:vAlign w:val="center"/>
          </w:tcPr>
          <w:p w14:paraId="7FCE9598">
            <w:pPr>
              <w:jc w:val="center"/>
              <w:rPr>
                <w:rFonts w:hint="eastAsia" w:ascii="新宋体" w:hAnsi="新宋体" w:eastAsia="新宋体" w:cs="新宋体"/>
                <w:sz w:val="24"/>
                <w:szCs w:val="24"/>
              </w:rPr>
            </w:pPr>
            <w:r>
              <w:rPr>
                <w:rFonts w:hint="eastAsia" w:ascii="新宋体" w:hAnsi="新宋体" w:eastAsia="新宋体" w:cs="新宋体"/>
                <w:sz w:val="24"/>
                <w:szCs w:val="24"/>
              </w:rPr>
              <w:t>联勤、应急预案</w:t>
            </w:r>
          </w:p>
          <w:p w14:paraId="6754DBAA">
            <w:pPr>
              <w:jc w:val="center"/>
              <w:rPr>
                <w:rFonts w:hint="eastAsia" w:ascii="新宋体" w:hAnsi="新宋体" w:eastAsia="新宋体" w:cs="新宋体"/>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11</w:t>
            </w:r>
            <w:r>
              <w:rPr>
                <w:rFonts w:hint="eastAsia" w:ascii="新宋体" w:hAnsi="新宋体" w:eastAsia="新宋体" w:cs="新宋体"/>
                <w:sz w:val="24"/>
                <w:szCs w:val="24"/>
              </w:rPr>
              <w:t>分）</w:t>
            </w:r>
          </w:p>
        </w:tc>
        <w:tc>
          <w:tcPr>
            <w:tcW w:w="6893" w:type="dxa"/>
            <w:noWrap w:val="0"/>
            <w:vAlign w:val="top"/>
          </w:tcPr>
          <w:p w14:paraId="32701CEC">
            <w:pPr>
              <w:rPr>
                <w:rFonts w:hint="eastAsia" w:ascii="新宋体" w:hAnsi="新宋体" w:eastAsia="新宋体" w:cs="新宋体"/>
                <w:sz w:val="24"/>
                <w:szCs w:val="24"/>
              </w:rPr>
            </w:pPr>
            <w:r>
              <w:rPr>
                <w:rFonts w:hint="eastAsia" w:ascii="新宋体" w:hAnsi="新宋体" w:eastAsia="新宋体" w:cs="新宋体"/>
                <w:sz w:val="24"/>
                <w:szCs w:val="24"/>
                <w:lang w:val="zh-CN"/>
              </w:rPr>
              <w:t>根据</w:t>
            </w:r>
            <w:r>
              <w:rPr>
                <w:rFonts w:hint="eastAsia" w:ascii="新宋体" w:hAnsi="新宋体" w:eastAsia="新宋体" w:cs="新宋体"/>
                <w:sz w:val="24"/>
                <w:szCs w:val="24"/>
              </w:rPr>
              <w:t>供应商提供</w:t>
            </w:r>
            <w:r>
              <w:rPr>
                <w:rFonts w:hint="eastAsia" w:ascii="新宋体" w:hAnsi="新宋体" w:eastAsia="新宋体" w:cs="新宋体"/>
                <w:sz w:val="24"/>
                <w:szCs w:val="24"/>
                <w:lang w:val="en-US" w:eastAsia="zh-CN"/>
              </w:rPr>
              <w:t>的</w:t>
            </w:r>
            <w:r>
              <w:rPr>
                <w:rFonts w:hint="eastAsia" w:ascii="新宋体" w:hAnsi="新宋体" w:eastAsia="新宋体" w:cs="新宋体"/>
                <w:sz w:val="24"/>
                <w:szCs w:val="24"/>
              </w:rPr>
              <w:t>联勤、应急预案（方案应包含安全事故处理、联勤应急预案、信息反馈处理机制、意外伤害赔偿方案、风险规避方案等）进行综合评分。</w:t>
            </w:r>
          </w:p>
          <w:p w14:paraId="7ED9AF9A">
            <w:pPr>
              <w:rPr>
                <w:rFonts w:hint="eastAsia" w:ascii="新宋体" w:hAnsi="新宋体" w:eastAsia="新宋体" w:cs="新宋体"/>
                <w:sz w:val="24"/>
                <w:szCs w:val="24"/>
              </w:rPr>
            </w:pPr>
            <w:r>
              <w:rPr>
                <w:rFonts w:hint="eastAsia" w:ascii="新宋体" w:hAnsi="新宋体" w:eastAsia="新宋体" w:cs="新宋体"/>
                <w:sz w:val="24"/>
                <w:szCs w:val="24"/>
              </w:rPr>
              <w:t>方案严密、可行、描述详细，操作性强得</w:t>
            </w:r>
            <w:r>
              <w:rPr>
                <w:rFonts w:hint="eastAsia" w:ascii="新宋体" w:hAnsi="新宋体" w:eastAsia="新宋体" w:cs="新宋体"/>
                <w:sz w:val="24"/>
                <w:szCs w:val="24"/>
                <w:lang w:val="en-US" w:eastAsia="zh-CN"/>
              </w:rPr>
              <w:t>11</w:t>
            </w:r>
            <w:r>
              <w:rPr>
                <w:rFonts w:hint="eastAsia" w:ascii="新宋体" w:hAnsi="新宋体" w:eastAsia="新宋体" w:cs="新宋体"/>
                <w:sz w:val="24"/>
                <w:szCs w:val="24"/>
              </w:rPr>
              <w:t>分；</w:t>
            </w:r>
          </w:p>
          <w:p w14:paraId="60FD85D1">
            <w:pPr>
              <w:rPr>
                <w:rFonts w:hint="eastAsia" w:ascii="新宋体" w:hAnsi="新宋体" w:eastAsia="新宋体" w:cs="新宋体"/>
                <w:sz w:val="24"/>
                <w:szCs w:val="24"/>
              </w:rPr>
            </w:pPr>
            <w:r>
              <w:rPr>
                <w:rFonts w:hint="eastAsia" w:ascii="新宋体" w:hAnsi="新宋体" w:eastAsia="新宋体" w:cs="新宋体"/>
                <w:sz w:val="24"/>
                <w:szCs w:val="24"/>
              </w:rPr>
              <w:t>方案较合理、严密、描述较为详细，不存在实施难度的得</w:t>
            </w: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rPr>
              <w:t>分；</w:t>
            </w:r>
          </w:p>
          <w:p w14:paraId="19A4DC1E">
            <w:pPr>
              <w:rPr>
                <w:rFonts w:hint="eastAsia" w:ascii="新宋体" w:hAnsi="新宋体" w:eastAsia="新宋体" w:cs="新宋体"/>
                <w:sz w:val="24"/>
                <w:szCs w:val="24"/>
              </w:rPr>
            </w:pPr>
            <w:r>
              <w:rPr>
                <w:rFonts w:hint="eastAsia" w:ascii="新宋体" w:hAnsi="新宋体" w:eastAsia="新宋体" w:cs="新宋体"/>
                <w:sz w:val="24"/>
                <w:szCs w:val="24"/>
              </w:rPr>
              <w:t>方案基本响应需求，并没有完善的保证措施得</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分；</w:t>
            </w:r>
          </w:p>
          <w:p w14:paraId="2CABFF84">
            <w:pPr>
              <w:rPr>
                <w:rFonts w:hint="eastAsia" w:ascii="新宋体" w:hAnsi="新宋体" w:eastAsia="新宋体" w:cs="新宋体"/>
                <w:sz w:val="24"/>
                <w:szCs w:val="24"/>
              </w:rPr>
            </w:pPr>
            <w:r>
              <w:rPr>
                <w:rFonts w:hint="eastAsia" w:ascii="新宋体" w:hAnsi="新宋体" w:eastAsia="新宋体" w:cs="新宋体"/>
                <w:sz w:val="24"/>
                <w:szCs w:val="24"/>
              </w:rPr>
              <w:t>方案可行性较低，响应度低得</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分；</w:t>
            </w:r>
          </w:p>
          <w:p w14:paraId="4A559DDE">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未提供方案的不得分。</w:t>
            </w:r>
          </w:p>
        </w:tc>
      </w:tr>
      <w:tr w14:paraId="0A6C9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46" w:hRule="atLeast"/>
          <w:jc w:val="center"/>
        </w:trPr>
        <w:tc>
          <w:tcPr>
            <w:tcW w:w="1286" w:type="dxa"/>
            <w:vMerge w:val="continue"/>
            <w:noWrap w:val="0"/>
            <w:vAlign w:val="center"/>
          </w:tcPr>
          <w:p w14:paraId="3E70FEEC">
            <w:pPr>
              <w:pStyle w:val="21"/>
              <w:spacing w:line="360" w:lineRule="auto"/>
              <w:jc w:val="center"/>
              <w:rPr>
                <w:rFonts w:hint="eastAsia" w:ascii="宋体" w:hAnsi="宋体" w:cs="宋体"/>
                <w:color w:val="000000" w:themeColor="text1"/>
                <w:sz w:val="24"/>
                <w:lang w:val="en-US" w:eastAsia="zh-CN"/>
                <w14:textFill>
                  <w14:solidFill>
                    <w14:schemeClr w14:val="tx1"/>
                  </w14:solidFill>
                </w14:textFill>
              </w:rPr>
            </w:pPr>
          </w:p>
        </w:tc>
        <w:tc>
          <w:tcPr>
            <w:tcW w:w="1264" w:type="dxa"/>
            <w:noWrap w:val="0"/>
            <w:vAlign w:val="top"/>
          </w:tcPr>
          <w:p w14:paraId="3C8BF942">
            <w:pPr>
              <w:rPr>
                <w:rFonts w:hint="eastAsia"/>
              </w:rPr>
            </w:pPr>
          </w:p>
          <w:p w14:paraId="2AB17A74">
            <w:pPr>
              <w:jc w:val="center"/>
              <w:rPr>
                <w:rFonts w:hint="eastAsia" w:ascii="新宋体" w:hAnsi="新宋体" w:eastAsia="新宋体" w:cs="新宋体"/>
                <w:sz w:val="24"/>
                <w:szCs w:val="24"/>
              </w:rPr>
            </w:pPr>
          </w:p>
          <w:p w14:paraId="41D049AA">
            <w:pPr>
              <w:jc w:val="center"/>
              <w:rPr>
                <w:rFonts w:hint="eastAsia" w:ascii="新宋体" w:hAnsi="新宋体" w:eastAsia="新宋体" w:cs="新宋体"/>
                <w:sz w:val="24"/>
                <w:szCs w:val="24"/>
              </w:rPr>
            </w:pPr>
            <w:r>
              <w:rPr>
                <w:rFonts w:hint="eastAsia" w:ascii="新宋体" w:hAnsi="新宋体" w:eastAsia="新宋体" w:cs="新宋体"/>
                <w:sz w:val="24"/>
                <w:szCs w:val="24"/>
              </w:rPr>
              <w:t>提升巡逻</w:t>
            </w:r>
          </w:p>
          <w:p w14:paraId="4D398D31">
            <w:pPr>
              <w:jc w:val="center"/>
              <w:rPr>
                <w:rFonts w:hint="eastAsia" w:ascii="新宋体" w:hAnsi="新宋体" w:eastAsia="新宋体" w:cs="新宋体"/>
                <w:sz w:val="24"/>
                <w:szCs w:val="24"/>
              </w:rPr>
            </w:pPr>
            <w:r>
              <w:rPr>
                <w:rFonts w:hint="eastAsia" w:ascii="新宋体" w:hAnsi="新宋体" w:eastAsia="新宋体" w:cs="新宋体"/>
                <w:sz w:val="24"/>
                <w:szCs w:val="24"/>
              </w:rPr>
              <w:t>质态方案</w:t>
            </w:r>
          </w:p>
          <w:p w14:paraId="4A57CE94">
            <w:pPr>
              <w:jc w:val="center"/>
              <w:rPr>
                <w:rFonts w:hint="eastAsia" w:ascii="新宋体" w:hAnsi="新宋体" w:eastAsia="新宋体" w:cs="新宋体"/>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11</w:t>
            </w:r>
            <w:r>
              <w:rPr>
                <w:rFonts w:hint="eastAsia" w:ascii="新宋体" w:hAnsi="新宋体" w:eastAsia="新宋体" w:cs="新宋体"/>
                <w:sz w:val="24"/>
                <w:szCs w:val="24"/>
              </w:rPr>
              <w:t>分）</w:t>
            </w:r>
          </w:p>
        </w:tc>
        <w:tc>
          <w:tcPr>
            <w:tcW w:w="6893" w:type="dxa"/>
            <w:noWrap w:val="0"/>
            <w:vAlign w:val="top"/>
          </w:tcPr>
          <w:p w14:paraId="4A3D0FA4">
            <w:pPr>
              <w:rPr>
                <w:rFonts w:hint="eastAsia" w:ascii="新宋体" w:hAnsi="新宋体" w:eastAsia="新宋体" w:cs="新宋体"/>
                <w:sz w:val="24"/>
                <w:szCs w:val="24"/>
              </w:rPr>
            </w:pPr>
            <w:r>
              <w:rPr>
                <w:rFonts w:hint="eastAsia" w:ascii="新宋体" w:hAnsi="新宋体" w:eastAsia="新宋体" w:cs="新宋体"/>
                <w:sz w:val="24"/>
                <w:szCs w:val="24"/>
                <w:lang w:val="zh-CN"/>
              </w:rPr>
              <w:t>根据</w:t>
            </w:r>
            <w:r>
              <w:rPr>
                <w:rFonts w:hint="eastAsia" w:ascii="新宋体" w:hAnsi="新宋体" w:eastAsia="新宋体" w:cs="新宋体"/>
                <w:sz w:val="24"/>
                <w:szCs w:val="24"/>
              </w:rPr>
              <w:t>供应商提供提升巡逻质态方案进行综合评分。</w:t>
            </w:r>
          </w:p>
          <w:p w14:paraId="1CB17A8B">
            <w:pPr>
              <w:rPr>
                <w:rFonts w:hint="eastAsia" w:ascii="新宋体" w:hAnsi="新宋体" w:eastAsia="新宋体" w:cs="新宋体"/>
                <w:sz w:val="24"/>
                <w:szCs w:val="24"/>
              </w:rPr>
            </w:pPr>
            <w:r>
              <w:rPr>
                <w:rFonts w:hint="eastAsia" w:ascii="新宋体" w:hAnsi="新宋体" w:eastAsia="新宋体" w:cs="新宋体"/>
                <w:sz w:val="24"/>
                <w:szCs w:val="24"/>
              </w:rPr>
              <w:t>方案严密、可行、描述详细，操作性强得</w:t>
            </w:r>
            <w:r>
              <w:rPr>
                <w:rFonts w:hint="eastAsia" w:ascii="新宋体" w:hAnsi="新宋体" w:eastAsia="新宋体" w:cs="新宋体"/>
                <w:sz w:val="24"/>
                <w:szCs w:val="24"/>
                <w:lang w:val="en-US" w:eastAsia="zh-CN"/>
              </w:rPr>
              <w:t>11</w:t>
            </w:r>
            <w:r>
              <w:rPr>
                <w:rFonts w:hint="eastAsia" w:ascii="新宋体" w:hAnsi="新宋体" w:eastAsia="新宋体" w:cs="新宋体"/>
                <w:sz w:val="24"/>
                <w:szCs w:val="24"/>
              </w:rPr>
              <w:t>分；</w:t>
            </w:r>
          </w:p>
          <w:p w14:paraId="0C69D9F3">
            <w:pPr>
              <w:rPr>
                <w:rFonts w:hint="eastAsia" w:ascii="新宋体" w:hAnsi="新宋体" w:eastAsia="新宋体" w:cs="新宋体"/>
                <w:sz w:val="24"/>
                <w:szCs w:val="24"/>
              </w:rPr>
            </w:pPr>
            <w:r>
              <w:rPr>
                <w:rFonts w:hint="eastAsia" w:ascii="新宋体" w:hAnsi="新宋体" w:eastAsia="新宋体" w:cs="新宋体"/>
                <w:sz w:val="24"/>
                <w:szCs w:val="24"/>
              </w:rPr>
              <w:t>方案较合理、严密、描述较为详细，不存在实施难度的得</w:t>
            </w: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rPr>
              <w:t>分；</w:t>
            </w:r>
          </w:p>
          <w:p w14:paraId="0246A1C6">
            <w:pPr>
              <w:rPr>
                <w:rFonts w:hint="eastAsia" w:ascii="新宋体" w:hAnsi="新宋体" w:eastAsia="新宋体" w:cs="新宋体"/>
                <w:sz w:val="24"/>
                <w:szCs w:val="24"/>
              </w:rPr>
            </w:pPr>
            <w:r>
              <w:rPr>
                <w:rFonts w:hint="eastAsia" w:ascii="新宋体" w:hAnsi="新宋体" w:eastAsia="新宋体" w:cs="新宋体"/>
                <w:sz w:val="24"/>
                <w:szCs w:val="24"/>
              </w:rPr>
              <w:t>方案基本响应需求，并没有完善的保证措施得</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分；</w:t>
            </w:r>
          </w:p>
          <w:p w14:paraId="122EE887">
            <w:pPr>
              <w:rPr>
                <w:rFonts w:hint="eastAsia" w:ascii="新宋体" w:hAnsi="新宋体" w:eastAsia="新宋体" w:cs="新宋体"/>
                <w:sz w:val="24"/>
                <w:szCs w:val="24"/>
              </w:rPr>
            </w:pPr>
            <w:r>
              <w:rPr>
                <w:rFonts w:hint="eastAsia" w:ascii="新宋体" w:hAnsi="新宋体" w:eastAsia="新宋体" w:cs="新宋体"/>
                <w:sz w:val="24"/>
                <w:szCs w:val="24"/>
              </w:rPr>
              <w:t>方案可行性较低，响应度低得</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分；</w:t>
            </w:r>
          </w:p>
          <w:p w14:paraId="1840D882">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未提供方案的不得分。</w:t>
            </w:r>
          </w:p>
        </w:tc>
      </w:tr>
      <w:tr w14:paraId="26A24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0" w:hRule="atLeast"/>
          <w:jc w:val="center"/>
        </w:trPr>
        <w:tc>
          <w:tcPr>
            <w:tcW w:w="1286" w:type="dxa"/>
            <w:vMerge w:val="continue"/>
            <w:noWrap w:val="0"/>
            <w:vAlign w:val="center"/>
          </w:tcPr>
          <w:p w14:paraId="2CE6DB0F">
            <w:pPr>
              <w:pStyle w:val="21"/>
              <w:spacing w:line="360" w:lineRule="auto"/>
              <w:jc w:val="center"/>
              <w:rPr>
                <w:rFonts w:hint="eastAsia" w:ascii="宋体" w:hAnsi="宋体" w:cs="宋体"/>
                <w:color w:val="000000" w:themeColor="text1"/>
                <w:sz w:val="24"/>
                <w:lang w:val="en-US" w:eastAsia="zh-CN"/>
                <w14:textFill>
                  <w14:solidFill>
                    <w14:schemeClr w14:val="tx1"/>
                  </w14:solidFill>
                </w14:textFill>
              </w:rPr>
            </w:pPr>
          </w:p>
        </w:tc>
        <w:tc>
          <w:tcPr>
            <w:tcW w:w="1264" w:type="dxa"/>
            <w:noWrap w:val="0"/>
            <w:vAlign w:val="center"/>
          </w:tcPr>
          <w:p w14:paraId="543486D1">
            <w:pPr>
              <w:jc w:val="center"/>
              <w:rPr>
                <w:rFonts w:hint="eastAsia" w:ascii="新宋体" w:hAnsi="新宋体" w:eastAsia="新宋体" w:cs="新宋体"/>
                <w:sz w:val="24"/>
                <w:szCs w:val="24"/>
              </w:rPr>
            </w:pPr>
            <w:r>
              <w:rPr>
                <w:rFonts w:hint="eastAsia" w:ascii="新宋体" w:hAnsi="新宋体" w:eastAsia="新宋体" w:cs="新宋体"/>
                <w:sz w:val="24"/>
                <w:szCs w:val="24"/>
              </w:rPr>
              <w:t>日常考核方案</w:t>
            </w:r>
          </w:p>
          <w:p w14:paraId="34973A20">
            <w:pPr>
              <w:jc w:val="center"/>
              <w:rPr>
                <w:rFonts w:hint="eastAsia" w:ascii="新宋体" w:hAnsi="新宋体" w:eastAsia="新宋体" w:cs="新宋体"/>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11</w:t>
            </w:r>
            <w:r>
              <w:rPr>
                <w:rFonts w:hint="eastAsia" w:ascii="新宋体" w:hAnsi="新宋体" w:eastAsia="新宋体" w:cs="新宋体"/>
                <w:sz w:val="24"/>
                <w:szCs w:val="24"/>
              </w:rPr>
              <w:t>分）</w:t>
            </w:r>
          </w:p>
        </w:tc>
        <w:tc>
          <w:tcPr>
            <w:tcW w:w="6893" w:type="dxa"/>
            <w:noWrap w:val="0"/>
            <w:vAlign w:val="top"/>
          </w:tcPr>
          <w:p w14:paraId="30E07BC3">
            <w:pPr>
              <w:rPr>
                <w:rFonts w:hint="eastAsia" w:ascii="新宋体" w:hAnsi="新宋体" w:eastAsia="新宋体" w:cs="新宋体"/>
                <w:sz w:val="24"/>
                <w:szCs w:val="24"/>
              </w:rPr>
            </w:pPr>
            <w:r>
              <w:rPr>
                <w:rFonts w:hint="eastAsia" w:ascii="新宋体" w:hAnsi="新宋体" w:eastAsia="新宋体" w:cs="新宋体"/>
                <w:sz w:val="24"/>
                <w:szCs w:val="24"/>
                <w:lang w:val="zh-CN"/>
              </w:rPr>
              <w:t>根据</w:t>
            </w:r>
            <w:r>
              <w:rPr>
                <w:rFonts w:hint="eastAsia" w:ascii="新宋体" w:hAnsi="新宋体" w:eastAsia="新宋体" w:cs="新宋体"/>
                <w:sz w:val="24"/>
                <w:szCs w:val="24"/>
              </w:rPr>
              <w:t>供应商针提供</w:t>
            </w:r>
            <w:r>
              <w:rPr>
                <w:rFonts w:hint="eastAsia" w:ascii="新宋体" w:hAnsi="新宋体" w:eastAsia="新宋体" w:cs="新宋体"/>
                <w:sz w:val="24"/>
                <w:szCs w:val="24"/>
                <w:lang w:val="en-US" w:eastAsia="zh-CN"/>
              </w:rPr>
              <w:t>的</w:t>
            </w:r>
            <w:r>
              <w:rPr>
                <w:rFonts w:hint="eastAsia" w:ascii="新宋体" w:hAnsi="新宋体" w:eastAsia="新宋体" w:cs="新宋体"/>
                <w:sz w:val="24"/>
                <w:szCs w:val="24"/>
              </w:rPr>
              <w:t>日常考核方案（方案须包含：对项目经理，队员的考核方案，管理措施，监督机制）进行综合评分。</w:t>
            </w:r>
          </w:p>
          <w:p w14:paraId="0B71BCC3">
            <w:pPr>
              <w:rPr>
                <w:rFonts w:hint="eastAsia" w:ascii="新宋体" w:hAnsi="新宋体" w:eastAsia="新宋体" w:cs="新宋体"/>
                <w:sz w:val="24"/>
                <w:szCs w:val="24"/>
              </w:rPr>
            </w:pPr>
            <w:r>
              <w:rPr>
                <w:rFonts w:hint="eastAsia" w:ascii="新宋体" w:hAnsi="新宋体" w:eastAsia="新宋体" w:cs="新宋体"/>
                <w:sz w:val="24"/>
                <w:szCs w:val="24"/>
              </w:rPr>
              <w:t>考核方案严密、可行、描述详细，操作性强得</w:t>
            </w:r>
            <w:r>
              <w:rPr>
                <w:rFonts w:hint="eastAsia" w:ascii="新宋体" w:hAnsi="新宋体" w:eastAsia="新宋体" w:cs="新宋体"/>
                <w:sz w:val="24"/>
                <w:szCs w:val="24"/>
                <w:lang w:val="en-US" w:eastAsia="zh-CN"/>
              </w:rPr>
              <w:t>11</w:t>
            </w:r>
            <w:r>
              <w:rPr>
                <w:rFonts w:hint="eastAsia" w:ascii="新宋体" w:hAnsi="新宋体" w:eastAsia="新宋体" w:cs="新宋体"/>
                <w:sz w:val="24"/>
                <w:szCs w:val="24"/>
              </w:rPr>
              <w:t>分；</w:t>
            </w:r>
          </w:p>
          <w:p w14:paraId="535A6BD2">
            <w:pPr>
              <w:rPr>
                <w:rFonts w:hint="eastAsia" w:ascii="新宋体" w:hAnsi="新宋体" w:eastAsia="新宋体" w:cs="新宋体"/>
                <w:sz w:val="24"/>
                <w:szCs w:val="24"/>
              </w:rPr>
            </w:pPr>
            <w:r>
              <w:rPr>
                <w:rFonts w:hint="eastAsia" w:ascii="新宋体" w:hAnsi="新宋体" w:eastAsia="新宋体" w:cs="新宋体"/>
                <w:sz w:val="24"/>
                <w:szCs w:val="24"/>
              </w:rPr>
              <w:t>考核方案较合理、严密、描述较为详细，不存在实施难度的得</w:t>
            </w: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rPr>
              <w:t>分；</w:t>
            </w:r>
          </w:p>
          <w:p w14:paraId="1EC5827E">
            <w:pPr>
              <w:rPr>
                <w:rFonts w:hint="eastAsia" w:ascii="新宋体" w:hAnsi="新宋体" w:eastAsia="新宋体" w:cs="新宋体"/>
                <w:sz w:val="24"/>
                <w:szCs w:val="24"/>
              </w:rPr>
            </w:pPr>
            <w:r>
              <w:rPr>
                <w:rFonts w:hint="eastAsia" w:ascii="新宋体" w:hAnsi="新宋体" w:eastAsia="新宋体" w:cs="新宋体"/>
                <w:sz w:val="24"/>
                <w:szCs w:val="24"/>
              </w:rPr>
              <w:t>考核方案基本响应需求，并没有完善的保证措施得</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分；</w:t>
            </w:r>
          </w:p>
          <w:p w14:paraId="70D8FD37">
            <w:pPr>
              <w:rPr>
                <w:rFonts w:hint="eastAsia" w:ascii="新宋体" w:hAnsi="新宋体" w:eastAsia="新宋体" w:cs="新宋体"/>
                <w:sz w:val="24"/>
                <w:szCs w:val="24"/>
              </w:rPr>
            </w:pPr>
            <w:r>
              <w:rPr>
                <w:rFonts w:hint="eastAsia" w:ascii="新宋体" w:hAnsi="新宋体" w:eastAsia="新宋体" w:cs="新宋体"/>
                <w:sz w:val="24"/>
                <w:szCs w:val="24"/>
              </w:rPr>
              <w:t>考核方案可行性较低，响应度低得</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分；</w:t>
            </w:r>
          </w:p>
          <w:p w14:paraId="20C4ECF1">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未提供方案的不得分。</w:t>
            </w:r>
          </w:p>
        </w:tc>
      </w:tr>
    </w:tbl>
    <w:p w14:paraId="3F6CCE88">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说明：本项目采用综合评分法。</w:t>
      </w:r>
    </w:p>
    <w:p w14:paraId="62E226BE">
      <w:pPr>
        <w:numPr>
          <w:ilvl w:val="0"/>
          <w:numId w:val="2"/>
        </w:numPr>
        <w:jc w:val="center"/>
        <w:rPr>
          <w:rFonts w:ascii="宋体" w:hAnsi="宋体" w:cs="宋体"/>
          <w:b/>
          <w:bCs/>
          <w:color w:val="000000" w:themeColor="text1"/>
          <w:sz w:val="36"/>
          <w:szCs w:val="36"/>
          <w14:textFill>
            <w14:solidFill>
              <w14:schemeClr w14:val="tx1"/>
            </w14:solidFill>
          </w14:textFill>
        </w:rPr>
        <w:sectPr>
          <w:pgSz w:w="11906" w:h="16838"/>
          <w:pgMar w:top="1134" w:right="1797" w:bottom="1134" w:left="1797" w:header="851" w:footer="992" w:gutter="0"/>
          <w:cols w:space="1701" w:num="1"/>
          <w:titlePg/>
          <w:docGrid w:linePitch="360" w:charSpace="0"/>
        </w:sectPr>
      </w:pPr>
    </w:p>
    <w:p w14:paraId="402886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2、项目要求（采购需求）</w:t>
      </w:r>
    </w:p>
    <w:p w14:paraId="6EAA76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2" w:firstLineChars="200"/>
        <w:textAlignment w:val="auto"/>
        <w:rPr>
          <w:rStyle w:val="31"/>
          <w:rFonts w:hint="eastAsia" w:ascii="新宋体" w:hAnsi="新宋体" w:eastAsia="新宋体" w:cs="新宋体"/>
          <w:color w:val="auto"/>
          <w:sz w:val="24"/>
          <w:szCs w:val="24"/>
          <w:highlight w:val="none"/>
        </w:rPr>
      </w:pPr>
      <w:r>
        <w:rPr>
          <w:rStyle w:val="31"/>
          <w:rFonts w:hint="eastAsia" w:ascii="新宋体" w:hAnsi="新宋体" w:eastAsia="新宋体" w:cs="新宋体"/>
          <w:b/>
          <w:bCs/>
          <w:color w:val="auto"/>
          <w:sz w:val="24"/>
          <w:szCs w:val="24"/>
          <w:highlight w:val="none"/>
          <w:lang w:val="en-US"/>
        </w:rPr>
        <w:t>一、</w:t>
      </w:r>
      <w:r>
        <w:rPr>
          <w:rStyle w:val="31"/>
          <w:rFonts w:hint="eastAsia" w:ascii="新宋体" w:hAnsi="新宋体" w:eastAsia="新宋体" w:cs="新宋体"/>
          <w:b/>
          <w:bCs/>
          <w:color w:val="auto"/>
          <w:sz w:val="24"/>
          <w:szCs w:val="24"/>
          <w:highlight w:val="none"/>
        </w:rPr>
        <w:t>本项目不接受超过</w:t>
      </w:r>
      <w:r>
        <w:rPr>
          <w:rStyle w:val="31"/>
          <w:rFonts w:hint="eastAsia" w:ascii="新宋体" w:hAnsi="新宋体" w:eastAsia="新宋体" w:cs="新宋体"/>
          <w:b/>
          <w:bCs/>
          <w:color w:val="auto"/>
          <w:sz w:val="24"/>
          <w:szCs w:val="24"/>
          <w:highlight w:val="none"/>
          <w:lang w:val="en-US" w:eastAsia="zh-CN"/>
        </w:rPr>
        <w:t>采购包人民币66.20万元</w:t>
      </w:r>
      <w:r>
        <w:rPr>
          <w:rStyle w:val="31"/>
          <w:rFonts w:hint="eastAsia" w:ascii="新宋体" w:hAnsi="新宋体" w:eastAsia="新宋体" w:cs="新宋体"/>
          <w:b/>
          <w:bCs/>
          <w:color w:val="auto"/>
          <w:sz w:val="24"/>
          <w:szCs w:val="24"/>
          <w:highlight w:val="none"/>
          <w:lang w:val="en-US"/>
        </w:rPr>
        <w:t>人民币</w:t>
      </w:r>
      <w:r>
        <w:rPr>
          <w:rStyle w:val="31"/>
          <w:rFonts w:hint="eastAsia" w:ascii="新宋体" w:hAnsi="新宋体" w:eastAsia="新宋体" w:cs="新宋体"/>
          <w:bCs/>
          <w:color w:val="auto"/>
          <w:sz w:val="24"/>
          <w:szCs w:val="24"/>
          <w:highlight w:val="none"/>
        </w:rPr>
        <w:t>（采购项目预算金额）的投标报价。</w:t>
      </w:r>
      <w:r>
        <w:rPr>
          <w:rStyle w:val="31"/>
          <w:rFonts w:hint="eastAsia" w:ascii="新宋体" w:hAnsi="新宋体" w:eastAsia="新宋体" w:cs="新宋体"/>
          <w:bCs/>
          <w:color w:val="auto"/>
          <w:sz w:val="24"/>
          <w:szCs w:val="24"/>
          <w:highlight w:val="none"/>
          <w:lang w:val="en-US" w:eastAsia="zh-CN"/>
        </w:rPr>
        <w:t>注：报价包含但不限于人员的各项工资、福利，劳保，管理费和税费等全部费用，采购人不再支付报价以外的任何费用。</w:t>
      </w:r>
    </w:p>
    <w:p w14:paraId="51D2E67F">
      <w:pPr>
        <w:keepNext w:val="0"/>
        <w:keepLines w:val="0"/>
        <w:pageBreakBefore w:val="0"/>
        <w:kinsoku/>
        <w:wordWrap/>
        <w:overflowPunct/>
        <w:topLinePunct w:val="0"/>
        <w:autoSpaceDE/>
        <w:autoSpaceDN/>
        <w:bidi w:val="0"/>
        <w:spacing w:line="360" w:lineRule="auto"/>
        <w:ind w:left="0" w:firstLine="482" w:firstLineChars="200"/>
        <w:textAlignment w:val="auto"/>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rPr>
        <w:t>二、项目</w:t>
      </w:r>
      <w:r>
        <w:rPr>
          <w:rFonts w:hint="eastAsia" w:ascii="新宋体" w:hAnsi="新宋体" w:eastAsia="新宋体" w:cs="新宋体"/>
          <w:b/>
          <w:bCs/>
          <w:color w:val="auto"/>
          <w:sz w:val="24"/>
          <w:szCs w:val="24"/>
          <w:highlight w:val="none"/>
          <w:lang w:eastAsia="zh-CN"/>
        </w:rPr>
        <w:t>概况：</w:t>
      </w:r>
    </w:p>
    <w:p w14:paraId="144C4F56">
      <w:pPr>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firstLine="480" w:firstLineChars="200"/>
        <w:jc w:val="left"/>
        <w:textAlignment w:val="auto"/>
        <w:rPr>
          <w:rStyle w:val="31"/>
          <w:rFonts w:hint="eastAsia" w:ascii="新宋体" w:hAnsi="新宋体" w:eastAsia="新宋体" w:cs="新宋体"/>
          <w:b w:val="0"/>
          <w:i w:val="0"/>
          <w:caps w:val="0"/>
          <w:color w:val="auto"/>
          <w:spacing w:val="0"/>
          <w:sz w:val="24"/>
          <w:szCs w:val="24"/>
          <w:highlight w:val="none"/>
          <w:lang w:val="en-US" w:eastAsia="zh-CN" w:bidi="ar-SA"/>
        </w:rPr>
      </w:pPr>
      <w:r>
        <w:rPr>
          <w:rStyle w:val="31"/>
          <w:rFonts w:hint="eastAsia" w:ascii="新宋体" w:hAnsi="新宋体" w:eastAsia="新宋体" w:cs="新宋体"/>
          <w:b w:val="0"/>
          <w:i w:val="0"/>
          <w:caps w:val="0"/>
          <w:color w:val="auto"/>
          <w:spacing w:val="0"/>
          <w:sz w:val="24"/>
          <w:szCs w:val="24"/>
          <w:highlight w:val="none"/>
          <w:lang w:val="en-US" w:eastAsia="zh-CN" w:bidi="ar-SA"/>
        </w:rPr>
        <w:t>1、项目名称：汉城景区管理处2025年保安服务项目</w:t>
      </w:r>
    </w:p>
    <w:p w14:paraId="5ED0EDFB">
      <w:pPr>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firstLine="480" w:firstLineChars="200"/>
        <w:jc w:val="left"/>
        <w:textAlignment w:val="auto"/>
        <w:rPr>
          <w:rStyle w:val="31"/>
          <w:rFonts w:hint="eastAsia" w:ascii="新宋体" w:hAnsi="新宋体" w:eastAsia="新宋体" w:cs="新宋体"/>
          <w:b w:val="0"/>
          <w:i w:val="0"/>
          <w:caps w:val="0"/>
          <w:color w:val="auto"/>
          <w:spacing w:val="0"/>
          <w:sz w:val="24"/>
          <w:szCs w:val="24"/>
          <w:highlight w:val="none"/>
          <w:lang w:val="en-US" w:eastAsia="zh-CN" w:bidi="ar-SA"/>
        </w:rPr>
      </w:pPr>
      <w:r>
        <w:rPr>
          <w:rStyle w:val="31"/>
          <w:rFonts w:hint="eastAsia" w:ascii="新宋体" w:hAnsi="新宋体" w:eastAsia="新宋体" w:cs="新宋体"/>
          <w:b w:val="0"/>
          <w:i w:val="0"/>
          <w:caps w:val="0"/>
          <w:color w:val="auto"/>
          <w:spacing w:val="0"/>
          <w:sz w:val="24"/>
          <w:szCs w:val="24"/>
          <w:highlight w:val="none"/>
          <w:lang w:val="en-US" w:eastAsia="zh-CN" w:bidi="ar-SA"/>
        </w:rPr>
        <w:t>2、服务期限：</w:t>
      </w:r>
      <w:r>
        <w:rPr>
          <w:rFonts w:hint="eastAsia" w:ascii="新宋体" w:hAnsi="新宋体" w:eastAsia="新宋体" w:cs="新宋体"/>
          <w:color w:val="auto"/>
          <w:sz w:val="24"/>
          <w:szCs w:val="24"/>
          <w:lang w:val="en-US" w:eastAsia="zh-CN"/>
        </w:rPr>
        <w:t>2025年9月1日-2026年8月31日</w:t>
      </w:r>
      <w:r>
        <w:rPr>
          <w:rStyle w:val="31"/>
          <w:rFonts w:hint="eastAsia" w:ascii="新宋体" w:hAnsi="新宋体" w:eastAsia="新宋体" w:cs="新宋体"/>
          <w:b w:val="0"/>
          <w:i w:val="0"/>
          <w:caps w:val="0"/>
          <w:color w:val="auto"/>
          <w:spacing w:val="0"/>
          <w:sz w:val="24"/>
          <w:szCs w:val="24"/>
          <w:highlight w:val="none"/>
          <w:lang w:val="en-US" w:eastAsia="zh-CN" w:bidi="ar-SA"/>
        </w:rPr>
        <w:t>。</w:t>
      </w:r>
    </w:p>
    <w:p w14:paraId="7FA3A7F5">
      <w:pPr>
        <w:keepNext w:val="0"/>
        <w:keepLines w:val="0"/>
        <w:pageBreakBefore w:val="0"/>
        <w:widowControl/>
        <w:tabs>
          <w:tab w:val="left" w:pos="540"/>
        </w:tabs>
        <w:kinsoku/>
        <w:wordWrap/>
        <w:overflowPunct/>
        <w:topLinePunct w:val="0"/>
        <w:autoSpaceDE/>
        <w:autoSpaceDN/>
        <w:bidi w:val="0"/>
        <w:adjustRightInd w:val="0"/>
        <w:snapToGrid w:val="0"/>
        <w:spacing w:line="360" w:lineRule="auto"/>
        <w:ind w:left="0" w:firstLine="480" w:firstLineChars="200"/>
        <w:textAlignment w:val="auto"/>
        <w:rPr>
          <w:rFonts w:hint="eastAsia" w:ascii="新宋体" w:hAnsi="新宋体" w:eastAsia="新宋体" w:cs="新宋体"/>
          <w:color w:val="auto"/>
          <w:sz w:val="24"/>
          <w:szCs w:val="24"/>
          <w:lang w:val="en-US" w:eastAsia="zh-CN"/>
        </w:rPr>
      </w:pPr>
      <w:r>
        <w:rPr>
          <w:rStyle w:val="31"/>
          <w:rFonts w:hint="eastAsia" w:ascii="新宋体" w:hAnsi="新宋体" w:eastAsia="新宋体" w:cs="新宋体"/>
          <w:b w:val="0"/>
          <w:i w:val="0"/>
          <w:caps w:val="0"/>
          <w:color w:val="auto"/>
          <w:spacing w:val="0"/>
          <w:sz w:val="24"/>
          <w:szCs w:val="24"/>
          <w:highlight w:val="none"/>
          <w:lang w:val="en-US" w:eastAsia="zh-CN" w:bidi="ar-SA"/>
        </w:rPr>
        <w:t>3、</w:t>
      </w:r>
      <w:r>
        <w:rPr>
          <w:rFonts w:hint="eastAsia" w:ascii="新宋体" w:hAnsi="新宋体" w:eastAsia="新宋体" w:cs="新宋体"/>
          <w:color w:val="auto"/>
          <w:sz w:val="24"/>
          <w:szCs w:val="24"/>
          <w:lang w:val="en-US" w:eastAsia="zh-CN"/>
        </w:rPr>
        <w:t>服务地点：汉城景区、沛公园景区、千岛湿地景区、泗水亭公园、汉之源景区。</w:t>
      </w:r>
    </w:p>
    <w:p w14:paraId="314CE877">
      <w:pPr>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firstLine="480" w:firstLineChars="200"/>
        <w:jc w:val="left"/>
        <w:textAlignment w:val="auto"/>
        <w:rPr>
          <w:rStyle w:val="31"/>
          <w:rFonts w:hint="eastAsia" w:ascii="新宋体" w:hAnsi="新宋体" w:eastAsia="新宋体" w:cs="新宋体"/>
          <w:b w:val="0"/>
          <w:i w:val="0"/>
          <w:caps w:val="0"/>
          <w:color w:val="auto"/>
          <w:spacing w:val="0"/>
          <w:sz w:val="24"/>
          <w:szCs w:val="24"/>
          <w:highlight w:val="none"/>
          <w:lang w:val="en-US" w:eastAsia="zh-CN" w:bidi="ar-SA"/>
        </w:rPr>
      </w:pPr>
      <w:r>
        <w:rPr>
          <w:rStyle w:val="31"/>
          <w:rFonts w:hint="eastAsia" w:ascii="新宋体" w:hAnsi="新宋体" w:eastAsia="新宋体" w:cs="新宋体"/>
          <w:b w:val="0"/>
          <w:i w:val="0"/>
          <w:caps w:val="0"/>
          <w:color w:val="auto"/>
          <w:spacing w:val="0"/>
          <w:sz w:val="24"/>
          <w:szCs w:val="24"/>
          <w:highlight w:val="none"/>
          <w:lang w:val="en-US" w:eastAsia="zh-CN" w:bidi="ar-SA"/>
        </w:rPr>
        <w:t>4、</w:t>
      </w:r>
      <w:r>
        <w:rPr>
          <w:rFonts w:hint="eastAsia" w:ascii="新宋体" w:hAnsi="新宋体" w:eastAsia="新宋体" w:cs="新宋体"/>
          <w:color w:val="auto"/>
          <w:sz w:val="24"/>
          <w:szCs w:val="24"/>
        </w:rPr>
        <w:t>服务标准：应严格按照国家有关法律、法规、规章和标准规范实施。</w:t>
      </w:r>
    </w:p>
    <w:p w14:paraId="6B637B36">
      <w:pPr>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firstLine="482" w:firstLineChars="200"/>
        <w:jc w:val="left"/>
        <w:textAlignment w:val="auto"/>
        <w:rPr>
          <w:rStyle w:val="13"/>
          <w:rFonts w:hint="eastAsia" w:ascii="新宋体" w:hAnsi="新宋体" w:eastAsia="新宋体" w:cs="新宋体"/>
          <w:b/>
          <w:bCs/>
          <w:i w:val="0"/>
          <w:caps w:val="0"/>
          <w:color w:val="auto"/>
          <w:spacing w:val="0"/>
          <w:sz w:val="24"/>
          <w:szCs w:val="24"/>
          <w:highlight w:val="none"/>
          <w:lang w:val="en-US" w:eastAsia="zh-CN" w:bidi="ar-SA"/>
        </w:rPr>
      </w:pPr>
      <w:r>
        <w:rPr>
          <w:rStyle w:val="13"/>
          <w:rFonts w:hint="eastAsia" w:ascii="新宋体" w:hAnsi="新宋体" w:eastAsia="新宋体" w:cs="新宋体"/>
          <w:b/>
          <w:bCs/>
          <w:i w:val="0"/>
          <w:caps w:val="0"/>
          <w:color w:val="auto"/>
          <w:spacing w:val="0"/>
          <w:sz w:val="24"/>
          <w:szCs w:val="24"/>
          <w:highlight w:val="none"/>
          <w:lang w:val="en-US" w:eastAsia="zh-CN" w:bidi="ar-SA"/>
        </w:rPr>
        <w:t>三、服务内容</w:t>
      </w:r>
    </w:p>
    <w:p w14:paraId="4AFB4107">
      <w:pPr>
        <w:keepNext w:val="0"/>
        <w:keepLines w:val="0"/>
        <w:pageBreakBefore w:val="0"/>
        <w:widowControl/>
        <w:tabs>
          <w:tab w:val="left" w:pos="540"/>
        </w:tabs>
        <w:kinsoku/>
        <w:wordWrap/>
        <w:overflowPunct/>
        <w:topLinePunct w:val="0"/>
        <w:autoSpaceDE/>
        <w:autoSpaceDN/>
        <w:bidi w:val="0"/>
        <w:adjustRightInd w:val="0"/>
        <w:snapToGrid w:val="0"/>
        <w:spacing w:line="360" w:lineRule="auto"/>
        <w:ind w:left="0" w:firstLine="480" w:firstLineChars="200"/>
        <w:textAlignment w:val="auto"/>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在采购人的指导下，成交供应商负责景区的治安保卫、消防安全、车辆管理等工作；维护游客等人身财产的安全，确保经营活动正常运行。汉城景区、沛公园景区、千岛湿地景区、泗水亭景区、汉之源景区</w:t>
      </w:r>
      <w:bookmarkStart w:id="4" w:name="_GoBack"/>
      <w:bookmarkEnd w:id="4"/>
      <w:r>
        <w:rPr>
          <w:rFonts w:hint="eastAsia" w:ascii="新宋体" w:hAnsi="新宋体" w:eastAsia="新宋体" w:cs="新宋体"/>
          <w:color w:val="auto"/>
          <w:sz w:val="24"/>
          <w:szCs w:val="24"/>
          <w:lang w:val="en-US" w:eastAsia="zh-CN"/>
        </w:rPr>
        <w:t>。安全保卫，重点是景区的苗木、动物及公共配套设施的防盗、防火、防破坏，维护景区游客人身安全和秩序管理,包括但不限于以下内容:出入口管理、巡逻检查管理、消防控制室管理、停车场管理、临时施工管理、夜间故障及隐患保修、防火巡查、事故处理、采购人的其他安保相关事务。</w:t>
      </w:r>
    </w:p>
    <w:p w14:paraId="071EADF3">
      <w:pPr>
        <w:keepNext w:val="0"/>
        <w:keepLines w:val="0"/>
        <w:pageBreakBefore w:val="0"/>
        <w:widowControl/>
        <w:tabs>
          <w:tab w:val="left" w:pos="540"/>
        </w:tabs>
        <w:kinsoku/>
        <w:wordWrap/>
        <w:overflowPunct/>
        <w:topLinePunct w:val="0"/>
        <w:autoSpaceDE/>
        <w:autoSpaceDN/>
        <w:bidi w:val="0"/>
        <w:adjustRightInd w:val="0"/>
        <w:snapToGrid w:val="0"/>
        <w:spacing w:line="360" w:lineRule="auto"/>
        <w:ind w:left="0" w:firstLine="480" w:firstLineChars="200"/>
        <w:textAlignment w:val="auto"/>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1、岗位设置:保安岗位的定制需由采购人划定管理区域后由成交供应商根据实际情况完成并随响应文件一起送达采购人审核。采购人在实际运做中按照岗位需求有权随时增加或减少保安人员,双方给予书面确认，服务费用按照实际发生结算。</w:t>
      </w:r>
    </w:p>
    <w:p w14:paraId="2214B99A">
      <w:pPr>
        <w:keepNext w:val="0"/>
        <w:keepLines w:val="0"/>
        <w:pageBreakBefore w:val="0"/>
        <w:widowControl/>
        <w:tabs>
          <w:tab w:val="left" w:pos="540"/>
        </w:tabs>
        <w:kinsoku/>
        <w:wordWrap/>
        <w:overflowPunct/>
        <w:topLinePunct w:val="0"/>
        <w:autoSpaceDE/>
        <w:autoSpaceDN/>
        <w:bidi w:val="0"/>
        <w:adjustRightInd w:val="0"/>
        <w:snapToGrid w:val="0"/>
        <w:spacing w:line="360" w:lineRule="auto"/>
        <w:ind w:left="0" w:firstLine="480" w:firstLineChars="200"/>
        <w:textAlignment w:val="auto"/>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2、投标人根据各自特点制定针对本项目的服务方案(务施、处理突发事件应急措施)。</w:t>
      </w:r>
    </w:p>
    <w:p w14:paraId="473BAC84">
      <w:pPr>
        <w:keepNext w:val="0"/>
        <w:keepLines w:val="0"/>
        <w:pageBreakBefore w:val="0"/>
        <w:widowControl/>
        <w:tabs>
          <w:tab w:val="left" w:pos="540"/>
        </w:tabs>
        <w:kinsoku/>
        <w:wordWrap/>
        <w:overflowPunct/>
        <w:topLinePunct w:val="0"/>
        <w:autoSpaceDE/>
        <w:autoSpaceDN/>
        <w:bidi w:val="0"/>
        <w:adjustRightInd w:val="0"/>
        <w:snapToGrid w:val="0"/>
        <w:spacing w:line="360" w:lineRule="auto"/>
        <w:ind w:left="0" w:firstLine="480" w:firstLineChars="200"/>
        <w:textAlignment w:val="auto"/>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3、采购人将定期对成交供应商进行考核，各类事故发生率为0;设施、设备合格率达 100%;采购人满意率95%以上;员工岗前培训合格率100%等，按要求24小时良性运转。考核满意度低于90%,采购人有权终止合同。</w:t>
      </w:r>
    </w:p>
    <w:p w14:paraId="5613CD1C">
      <w:pPr>
        <w:keepNext w:val="0"/>
        <w:keepLines w:val="0"/>
        <w:pageBreakBefore w:val="0"/>
        <w:widowControl/>
        <w:tabs>
          <w:tab w:val="left" w:pos="540"/>
        </w:tabs>
        <w:kinsoku/>
        <w:wordWrap/>
        <w:overflowPunct/>
        <w:topLinePunct w:val="0"/>
        <w:autoSpaceDE/>
        <w:autoSpaceDN/>
        <w:bidi w:val="0"/>
        <w:adjustRightInd w:val="0"/>
        <w:snapToGrid w:val="0"/>
        <w:spacing w:line="360" w:lineRule="auto"/>
        <w:ind w:left="0" w:firstLine="480" w:firstLineChars="200"/>
        <w:textAlignment w:val="auto"/>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4、成交供应商对服务管理范围内因管理不善而造成的一切损失,负赔偿责任并承担因安全生产事故造成的后果。由成交供应商责任造成火灾事故，损失由成交供应商承担。</w:t>
      </w:r>
    </w:p>
    <w:p w14:paraId="52093E1A">
      <w:pPr>
        <w:keepNext w:val="0"/>
        <w:keepLines w:val="0"/>
        <w:pageBreakBefore w:val="0"/>
        <w:widowControl/>
        <w:tabs>
          <w:tab w:val="left" w:pos="540"/>
        </w:tabs>
        <w:kinsoku/>
        <w:wordWrap/>
        <w:overflowPunct/>
        <w:topLinePunct w:val="0"/>
        <w:autoSpaceDE/>
        <w:autoSpaceDN/>
        <w:bidi w:val="0"/>
        <w:adjustRightInd w:val="0"/>
        <w:snapToGrid w:val="0"/>
        <w:spacing w:line="360" w:lineRule="auto"/>
        <w:ind w:left="0" w:firstLine="480" w:firstLineChars="200"/>
        <w:textAlignment w:val="auto"/>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5、对于成交供应商的成交方案，采购单位有权要求成交方进行修改和调整以便达到实际采购需求，成交方应无条件全力配合。</w:t>
      </w:r>
    </w:p>
    <w:p w14:paraId="6ECFC944">
      <w:pPr>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firstLine="482" w:firstLineChars="200"/>
        <w:jc w:val="left"/>
        <w:textAlignment w:val="auto"/>
        <w:rPr>
          <w:rFonts w:hint="eastAsia" w:ascii="新宋体" w:hAnsi="新宋体" w:eastAsia="新宋体" w:cs="新宋体"/>
          <w:b w:val="0"/>
          <w:bCs w:val="0"/>
          <w:color w:val="auto"/>
          <w:sz w:val="24"/>
          <w:szCs w:val="24"/>
          <w:highlight w:val="none"/>
          <w:lang w:val="en-US" w:eastAsia="zh-CN"/>
        </w:rPr>
      </w:pPr>
      <w:r>
        <w:rPr>
          <w:rStyle w:val="13"/>
          <w:rFonts w:hint="eastAsia" w:ascii="新宋体" w:hAnsi="新宋体" w:eastAsia="新宋体" w:cs="新宋体"/>
          <w:b/>
          <w:bCs/>
          <w:i w:val="0"/>
          <w:caps w:val="0"/>
          <w:color w:val="auto"/>
          <w:spacing w:val="0"/>
          <w:sz w:val="24"/>
          <w:szCs w:val="24"/>
          <w:highlight w:val="none"/>
          <w:lang w:val="en-US" w:eastAsia="zh-CN" w:bidi="ar-SA"/>
        </w:rPr>
        <w:t>四、人员要求（本条为实质性响应指标，如有不满足或负偏离按无效响应处理）：</w:t>
      </w:r>
    </w:p>
    <w:p w14:paraId="36D13C21">
      <w:pPr>
        <w:keepNext w:val="0"/>
        <w:keepLines w:val="0"/>
        <w:pageBreakBefore w:val="0"/>
        <w:widowControl/>
        <w:tabs>
          <w:tab w:val="left" w:pos="540"/>
        </w:tabs>
        <w:kinsoku/>
        <w:wordWrap/>
        <w:overflowPunct/>
        <w:topLinePunct w:val="0"/>
        <w:autoSpaceDE/>
        <w:autoSpaceDN/>
        <w:bidi w:val="0"/>
        <w:adjustRightInd w:val="0"/>
        <w:snapToGrid w:val="0"/>
        <w:spacing w:line="360" w:lineRule="auto"/>
        <w:ind w:left="0" w:firstLine="480" w:firstLineChars="200"/>
        <w:textAlignment w:val="auto"/>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1、人员不少于32人(男性)，其中项目经理(项目负责人)1人，年龄18-60岁，身高170cm以上。</w:t>
      </w:r>
    </w:p>
    <w:p w14:paraId="4B0738E9">
      <w:pPr>
        <w:keepNext w:val="0"/>
        <w:keepLines w:val="0"/>
        <w:pageBreakBefore w:val="0"/>
        <w:widowControl/>
        <w:tabs>
          <w:tab w:val="left" w:pos="540"/>
        </w:tabs>
        <w:kinsoku/>
        <w:wordWrap/>
        <w:overflowPunct/>
        <w:topLinePunct w:val="0"/>
        <w:autoSpaceDE/>
        <w:autoSpaceDN/>
        <w:bidi w:val="0"/>
        <w:adjustRightInd w:val="0"/>
        <w:snapToGrid w:val="0"/>
        <w:spacing w:line="360" w:lineRule="auto"/>
        <w:ind w:left="0" w:firstLine="480" w:firstLineChars="200"/>
        <w:textAlignment w:val="auto"/>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2、具有初中以上的文化程度，保安员必须符合保安服务总公司的要求，培训达标后持证上岗，根据应聘岗位需要，需具备保安员证等;</w:t>
      </w:r>
    </w:p>
    <w:p w14:paraId="7499E38B">
      <w:pPr>
        <w:keepNext w:val="0"/>
        <w:keepLines w:val="0"/>
        <w:pageBreakBefore w:val="0"/>
        <w:widowControl/>
        <w:tabs>
          <w:tab w:val="left" w:pos="540"/>
        </w:tabs>
        <w:kinsoku/>
        <w:wordWrap/>
        <w:overflowPunct/>
        <w:topLinePunct w:val="0"/>
        <w:autoSpaceDE/>
        <w:autoSpaceDN/>
        <w:bidi w:val="0"/>
        <w:adjustRightInd w:val="0"/>
        <w:snapToGrid w:val="0"/>
        <w:spacing w:line="360" w:lineRule="auto"/>
        <w:ind w:left="0" w:firstLine="480" w:firstLineChars="200"/>
        <w:textAlignment w:val="auto"/>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3、智力正常、身体健康、五官端正;</w:t>
      </w:r>
    </w:p>
    <w:p w14:paraId="2A1EDCD9">
      <w:pPr>
        <w:keepNext w:val="0"/>
        <w:keepLines w:val="0"/>
        <w:pageBreakBefore w:val="0"/>
        <w:widowControl/>
        <w:tabs>
          <w:tab w:val="left" w:pos="540"/>
        </w:tabs>
        <w:kinsoku/>
        <w:wordWrap/>
        <w:overflowPunct/>
        <w:topLinePunct w:val="0"/>
        <w:autoSpaceDE/>
        <w:autoSpaceDN/>
        <w:bidi w:val="0"/>
        <w:adjustRightInd w:val="0"/>
        <w:snapToGrid w:val="0"/>
        <w:spacing w:line="360" w:lineRule="auto"/>
        <w:ind w:left="0" w:firstLine="480" w:firstLineChars="200"/>
        <w:textAlignment w:val="auto"/>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4、政治历史清楚、品行端正、思想作风正派、无违法犯罪的经历。</w:t>
      </w:r>
    </w:p>
    <w:p w14:paraId="4E9C6F9D">
      <w:pPr>
        <w:keepNext w:val="0"/>
        <w:keepLines w:val="0"/>
        <w:pageBreakBefore w:val="0"/>
        <w:widowControl/>
        <w:tabs>
          <w:tab w:val="left" w:pos="540"/>
        </w:tabs>
        <w:kinsoku/>
        <w:wordWrap/>
        <w:overflowPunct/>
        <w:topLinePunct w:val="0"/>
        <w:autoSpaceDE/>
        <w:autoSpaceDN/>
        <w:bidi w:val="0"/>
        <w:adjustRightInd w:val="0"/>
        <w:snapToGrid w:val="0"/>
        <w:spacing w:line="360" w:lineRule="auto"/>
        <w:ind w:left="0" w:firstLine="480" w:firstLineChars="200"/>
        <w:textAlignment w:val="auto"/>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5、遵纪守法观念强，能严格执行国家法律法规，自觉遵守各项规章制度。</w:t>
      </w:r>
    </w:p>
    <w:p w14:paraId="229ADEA0">
      <w:pPr>
        <w:pStyle w:val="22"/>
        <w:keepNext w:val="0"/>
        <w:keepLines w:val="0"/>
        <w:pageBreakBefore w:val="0"/>
        <w:kinsoku/>
        <w:wordWrap/>
        <w:overflowPunct/>
        <w:topLinePunct w:val="0"/>
        <w:autoSpaceDE/>
        <w:autoSpaceDN/>
        <w:bidi w:val="0"/>
        <w:spacing w:line="360" w:lineRule="auto"/>
        <w:ind w:left="0" w:firstLine="482" w:firstLineChars="200"/>
        <w:textAlignment w:val="auto"/>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四、服务要求</w:t>
      </w:r>
    </w:p>
    <w:p w14:paraId="06F4AED1">
      <w:pPr>
        <w:keepNext w:val="0"/>
        <w:keepLines w:val="0"/>
        <w:pageBreakBefore w:val="0"/>
        <w:widowControl/>
        <w:tabs>
          <w:tab w:val="left" w:pos="540"/>
        </w:tabs>
        <w:kinsoku/>
        <w:wordWrap/>
        <w:overflowPunct/>
        <w:topLinePunct w:val="0"/>
        <w:autoSpaceDE/>
        <w:autoSpaceDN/>
        <w:bidi w:val="0"/>
        <w:adjustRightInd w:val="0"/>
        <w:snapToGrid w:val="0"/>
        <w:spacing w:line="360" w:lineRule="auto"/>
        <w:ind w:left="0" w:firstLine="480" w:firstLineChars="200"/>
        <w:textAlignment w:val="auto"/>
        <w:rPr>
          <w:rFonts w:hint="eastAsia" w:ascii="新宋体" w:hAnsi="新宋体" w:eastAsia="新宋体" w:cs="新宋体"/>
          <w:color w:val="auto"/>
          <w:sz w:val="24"/>
          <w:szCs w:val="24"/>
          <w:lang w:val="en-US" w:eastAsia="zh-CN"/>
        </w:rPr>
      </w:pPr>
      <w:bookmarkStart w:id="0" w:name="_Toc29363"/>
      <w:bookmarkEnd w:id="0"/>
      <w:bookmarkStart w:id="1" w:name="_Toc6257"/>
      <w:bookmarkEnd w:id="1"/>
      <w:r>
        <w:rPr>
          <w:rFonts w:hint="eastAsia" w:ascii="新宋体" w:hAnsi="新宋体" w:eastAsia="新宋体" w:cs="新宋体"/>
          <w:color w:val="auto"/>
          <w:sz w:val="24"/>
          <w:szCs w:val="24"/>
          <w:lang w:val="en-US" w:eastAsia="zh-CN"/>
        </w:rPr>
        <w:t>1、要求安保公司配备的安保队员24小时在岗，配备对讲机、防护设备等。安保公司配备的安保队员必须是已婚男性，无违法犯罪记录，经过专业的培训，提供统一的安保服装。</w:t>
      </w:r>
    </w:p>
    <w:p w14:paraId="0388805A">
      <w:pPr>
        <w:keepNext w:val="0"/>
        <w:keepLines w:val="0"/>
        <w:pageBreakBefore w:val="0"/>
        <w:widowControl/>
        <w:tabs>
          <w:tab w:val="left" w:pos="540"/>
        </w:tabs>
        <w:kinsoku/>
        <w:wordWrap/>
        <w:overflowPunct/>
        <w:topLinePunct w:val="0"/>
        <w:autoSpaceDE/>
        <w:autoSpaceDN/>
        <w:bidi w:val="0"/>
        <w:adjustRightInd w:val="0"/>
        <w:snapToGrid w:val="0"/>
        <w:spacing w:line="360" w:lineRule="auto"/>
        <w:ind w:left="0" w:firstLine="480" w:firstLineChars="200"/>
        <w:textAlignment w:val="auto"/>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2、安保公司配备的安保队员要有高度的责任心，认真值勤，积极守护，对发生的治安刑事案件、灾后事故，应采取积极措施，保护好现场、维持好秩序，使损失减少到最低限度，并及时报告当地公安机关，积极协助处理。</w:t>
      </w:r>
    </w:p>
    <w:p w14:paraId="61C58925">
      <w:pPr>
        <w:keepNext w:val="0"/>
        <w:keepLines w:val="0"/>
        <w:pageBreakBefore w:val="0"/>
        <w:widowControl/>
        <w:tabs>
          <w:tab w:val="left" w:pos="540"/>
        </w:tabs>
        <w:kinsoku/>
        <w:wordWrap/>
        <w:overflowPunct/>
        <w:topLinePunct w:val="0"/>
        <w:autoSpaceDE/>
        <w:autoSpaceDN/>
        <w:bidi w:val="0"/>
        <w:adjustRightInd w:val="0"/>
        <w:snapToGrid w:val="0"/>
        <w:spacing w:line="360" w:lineRule="auto"/>
        <w:ind w:left="0" w:firstLine="480" w:firstLineChars="200"/>
        <w:textAlignment w:val="auto"/>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3、安保公司负责对配备的安保队员教育管理，提高队员素质，适应景区的业务需要，并对安保队员的执勤情况进行监督检查。</w:t>
      </w:r>
    </w:p>
    <w:p w14:paraId="52119D4E">
      <w:pPr>
        <w:keepNext w:val="0"/>
        <w:keepLines w:val="0"/>
        <w:pageBreakBefore w:val="0"/>
        <w:widowControl/>
        <w:tabs>
          <w:tab w:val="left" w:pos="540"/>
        </w:tabs>
        <w:kinsoku/>
        <w:wordWrap/>
        <w:overflowPunct/>
        <w:topLinePunct w:val="0"/>
        <w:autoSpaceDE/>
        <w:autoSpaceDN/>
        <w:bidi w:val="0"/>
        <w:adjustRightInd w:val="0"/>
        <w:snapToGrid w:val="0"/>
        <w:spacing w:line="360" w:lineRule="auto"/>
        <w:ind w:left="0" w:firstLine="480" w:firstLineChars="200"/>
        <w:textAlignment w:val="auto"/>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4、安保公司对景区提出的不称职安保队员应及时查处，并在3天内及时更换。安保公司配备的安保队员因事、因病或其他原因缺勤的，由安保公司负责调配补充。</w:t>
      </w:r>
    </w:p>
    <w:p w14:paraId="56D4E12D">
      <w:pPr>
        <w:keepNext w:val="0"/>
        <w:keepLines w:val="0"/>
        <w:pageBreakBefore w:val="0"/>
        <w:widowControl/>
        <w:tabs>
          <w:tab w:val="left" w:pos="540"/>
        </w:tabs>
        <w:kinsoku/>
        <w:wordWrap/>
        <w:overflowPunct/>
        <w:topLinePunct w:val="0"/>
        <w:autoSpaceDE/>
        <w:autoSpaceDN/>
        <w:bidi w:val="0"/>
        <w:adjustRightInd w:val="0"/>
        <w:snapToGrid w:val="0"/>
        <w:spacing w:line="360" w:lineRule="auto"/>
        <w:ind w:left="0" w:firstLine="480" w:firstLineChars="200"/>
        <w:textAlignment w:val="auto"/>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5、安保公司配备的安保队员必须服从景区领导，接受景区的监督与管理，严格遵守景区的有关规章制度。</w:t>
      </w:r>
    </w:p>
    <w:p w14:paraId="7465ABC5">
      <w:pPr>
        <w:keepNext w:val="0"/>
        <w:keepLines w:val="0"/>
        <w:pageBreakBefore w:val="0"/>
        <w:widowControl/>
        <w:tabs>
          <w:tab w:val="left" w:pos="540"/>
        </w:tabs>
        <w:kinsoku/>
        <w:wordWrap/>
        <w:overflowPunct/>
        <w:topLinePunct w:val="0"/>
        <w:autoSpaceDE/>
        <w:autoSpaceDN/>
        <w:bidi w:val="0"/>
        <w:adjustRightInd w:val="0"/>
        <w:snapToGrid w:val="0"/>
        <w:spacing w:line="360" w:lineRule="auto"/>
        <w:ind w:left="0" w:firstLine="480" w:firstLineChars="200"/>
        <w:textAlignment w:val="auto"/>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6、安保公司配备的安保队员必须不折不扣的完成景区所交办的一切安保任务，认真落实治安防范措施。发现执勤区域内的消防治安隐患，及时报告景区和公安机关主管部门，并协助予以处理。</w:t>
      </w:r>
    </w:p>
    <w:p w14:paraId="18BF380D">
      <w:pPr>
        <w:keepNext w:val="0"/>
        <w:keepLines w:val="0"/>
        <w:pageBreakBefore w:val="0"/>
        <w:widowControl/>
        <w:tabs>
          <w:tab w:val="left" w:pos="540"/>
        </w:tabs>
        <w:kinsoku/>
        <w:wordWrap/>
        <w:overflowPunct/>
        <w:topLinePunct w:val="0"/>
        <w:autoSpaceDE/>
        <w:autoSpaceDN/>
        <w:bidi w:val="0"/>
        <w:adjustRightInd w:val="0"/>
        <w:snapToGrid w:val="0"/>
        <w:spacing w:line="360" w:lineRule="auto"/>
        <w:ind w:left="0" w:firstLine="480" w:firstLineChars="200"/>
        <w:textAlignment w:val="auto"/>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7、安保公司配备的安保队员在服务期内出现了因其工作职业缺失造成的责任事故由服务方承担，并赔偿损失。</w:t>
      </w:r>
    </w:p>
    <w:p w14:paraId="1FA1BF4E">
      <w:pPr>
        <w:pStyle w:val="22"/>
        <w:keepNext w:val="0"/>
        <w:keepLines w:val="0"/>
        <w:pageBreakBefore w:val="0"/>
        <w:kinsoku/>
        <w:wordWrap/>
        <w:overflowPunct/>
        <w:topLinePunct w:val="0"/>
        <w:autoSpaceDE/>
        <w:autoSpaceDN/>
        <w:bidi w:val="0"/>
        <w:spacing w:line="360" w:lineRule="auto"/>
        <w:ind w:left="0" w:firstLine="482" w:firstLineChars="200"/>
        <w:textAlignment w:val="auto"/>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五、其他要求：详见磋商文件附件6《合同草案条款》。</w:t>
      </w:r>
    </w:p>
    <w:p w14:paraId="40D79E40">
      <w:pPr>
        <w:keepNext w:val="0"/>
        <w:keepLines w:val="0"/>
        <w:pageBreakBefore w:val="0"/>
        <w:kinsoku/>
        <w:wordWrap/>
        <w:overflowPunct/>
        <w:topLinePunct w:val="0"/>
        <w:autoSpaceDE/>
        <w:autoSpaceDN/>
        <w:bidi w:val="0"/>
        <w:spacing w:line="360" w:lineRule="auto"/>
        <w:ind w:left="0" w:right="0" w:firstLine="480" w:firstLineChars="200"/>
        <w:jc w:val="both"/>
        <w:textAlignment w:val="auto"/>
        <w:outlineLvl w:val="9"/>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rPr>
        <w:br w:type="page" w:clear="all"/>
      </w:r>
    </w:p>
    <w:p w14:paraId="76F5E544">
      <w:pPr>
        <w:pageBreakBefore/>
        <w:spacing w:line="0" w:lineRule="atLeast"/>
        <w:jc w:val="center"/>
        <w:rPr>
          <w:rFonts w:ascii="宋体" w:hAnsi="宋体" w:cs="宋体"/>
          <w:b/>
          <w:bCs/>
          <w:color w:val="000000" w:themeColor="text1"/>
          <w:sz w:val="36"/>
          <w14:textFill>
            <w14:solidFill>
              <w14:schemeClr w14:val="tx1"/>
            </w14:solidFill>
          </w14:textFill>
        </w:rPr>
      </w:pPr>
      <w:r>
        <w:rPr>
          <w:rFonts w:hint="eastAsia" w:ascii="宋体" w:hAnsi="宋体" w:cs="宋体"/>
          <w:b/>
          <w:color w:val="000000" w:themeColor="text1"/>
          <w:sz w:val="36"/>
          <w14:textFill>
            <w14:solidFill>
              <w14:schemeClr w14:val="tx1"/>
            </w14:solidFill>
          </w14:textFill>
        </w:rPr>
        <w:t>3、磋商</w:t>
      </w:r>
      <w:r>
        <w:rPr>
          <w:rFonts w:hint="eastAsia" w:ascii="宋体" w:hAnsi="宋体" w:cs="宋体"/>
          <w:b/>
          <w:bCs/>
          <w:color w:val="000000" w:themeColor="text1"/>
          <w:sz w:val="36"/>
          <w14:textFill>
            <w14:solidFill>
              <w14:schemeClr w14:val="tx1"/>
            </w14:solidFill>
          </w14:textFill>
        </w:rPr>
        <w:t>报价表</w:t>
      </w:r>
    </w:p>
    <w:p w14:paraId="053178AC">
      <w:pPr>
        <w:spacing w:line="52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本次为首次报价</w:t>
      </w:r>
    </w:p>
    <w:p w14:paraId="4B70025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项目编号：</w:t>
      </w:r>
    </w:p>
    <w:p w14:paraId="464D6DF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项目名称：</w:t>
      </w:r>
    </w:p>
    <w:p w14:paraId="3A3D8762">
      <w:pPr>
        <w:spacing w:line="520" w:lineRule="exact"/>
        <w:jc w:val="righ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货币单位：人民币元</w:t>
      </w:r>
    </w:p>
    <w:tbl>
      <w:tblPr>
        <w:tblStyle w:val="11"/>
        <w:tblW w:w="8978" w:type="dxa"/>
        <w:jc w:val="center"/>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fixed"/>
        <w:tblCellMar>
          <w:top w:w="0" w:type="dxa"/>
          <w:left w:w="108" w:type="dxa"/>
          <w:bottom w:w="0" w:type="dxa"/>
          <w:right w:w="108" w:type="dxa"/>
        </w:tblCellMar>
      </w:tblPr>
      <w:tblGrid>
        <w:gridCol w:w="3601"/>
        <w:gridCol w:w="1980"/>
        <w:gridCol w:w="3397"/>
      </w:tblGrid>
      <w:tr w14:paraId="2EB09CD3">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PrEx>
        <w:trPr>
          <w:cantSplit/>
          <w:trHeight w:val="1063" w:hRule="atLeast"/>
          <w:jc w:val="center"/>
        </w:trPr>
        <w:tc>
          <w:tcPr>
            <w:tcW w:w="3601" w:type="dxa"/>
            <w:noWrap w:val="0"/>
            <w:vAlign w:val="center"/>
          </w:tcPr>
          <w:p w14:paraId="086CD2A7">
            <w:pPr>
              <w:spacing w:line="52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项目名称</w:t>
            </w:r>
          </w:p>
        </w:tc>
        <w:tc>
          <w:tcPr>
            <w:tcW w:w="1980" w:type="dxa"/>
            <w:noWrap w:val="0"/>
            <w:vAlign w:val="center"/>
          </w:tcPr>
          <w:p w14:paraId="6B4CD7F8">
            <w:pPr>
              <w:spacing w:line="52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项目内容</w:t>
            </w:r>
          </w:p>
        </w:tc>
        <w:tc>
          <w:tcPr>
            <w:tcW w:w="3397" w:type="dxa"/>
            <w:noWrap w:val="0"/>
            <w:vAlign w:val="center"/>
          </w:tcPr>
          <w:p w14:paraId="1855F9BA">
            <w:pPr>
              <w:spacing w:line="52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总价（小写）</w:t>
            </w:r>
          </w:p>
        </w:tc>
      </w:tr>
      <w:tr w14:paraId="746B1587">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265" w:hRule="atLeast"/>
          <w:jc w:val="center"/>
        </w:trPr>
        <w:tc>
          <w:tcPr>
            <w:tcW w:w="3601" w:type="dxa"/>
            <w:noWrap w:val="0"/>
            <w:vAlign w:val="center"/>
          </w:tcPr>
          <w:p w14:paraId="3289AAC0">
            <w:pPr>
              <w:spacing w:line="5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eastAsia="zh-CN"/>
                <w14:textFill>
                  <w14:solidFill>
                    <w14:schemeClr w14:val="tx1"/>
                  </w14:solidFill>
                </w14:textFill>
              </w:rPr>
              <w:t>汉城景区管理处2025年保安服务项目</w:t>
            </w:r>
          </w:p>
        </w:tc>
        <w:tc>
          <w:tcPr>
            <w:tcW w:w="1980" w:type="dxa"/>
            <w:noWrap w:val="0"/>
            <w:vAlign w:val="center"/>
          </w:tcPr>
          <w:p w14:paraId="65BD8BF3">
            <w:pPr>
              <w:spacing w:line="5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详见</w:t>
            </w:r>
            <w:r>
              <w:rPr>
                <w:rFonts w:hint="eastAsia" w:ascii="宋体" w:hAnsi="宋体" w:cs="宋体"/>
                <w:bCs/>
                <w:color w:val="000000" w:themeColor="text1"/>
                <w:sz w:val="24"/>
                <w14:textFill>
                  <w14:solidFill>
                    <w14:schemeClr w14:val="tx1"/>
                  </w14:solidFill>
                </w14:textFill>
              </w:rPr>
              <w:t>响应文件</w:t>
            </w:r>
          </w:p>
        </w:tc>
        <w:tc>
          <w:tcPr>
            <w:tcW w:w="3397" w:type="dxa"/>
            <w:noWrap w:val="0"/>
            <w:vAlign w:val="center"/>
          </w:tcPr>
          <w:p w14:paraId="410CFDDD">
            <w:pPr>
              <w:spacing w:line="520" w:lineRule="exact"/>
              <w:jc w:val="center"/>
              <w:rPr>
                <w:rFonts w:ascii="宋体" w:hAnsi="宋体" w:cs="宋体"/>
                <w:color w:val="000000" w:themeColor="text1"/>
                <w:sz w:val="24"/>
                <w14:textFill>
                  <w14:solidFill>
                    <w14:schemeClr w14:val="tx1"/>
                  </w14:solidFill>
                </w14:textFill>
              </w:rPr>
            </w:pPr>
          </w:p>
        </w:tc>
      </w:tr>
      <w:tr w14:paraId="4E70318D">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335" w:hRule="atLeast"/>
          <w:jc w:val="center"/>
        </w:trPr>
        <w:tc>
          <w:tcPr>
            <w:tcW w:w="3601" w:type="dxa"/>
            <w:noWrap w:val="0"/>
            <w:vAlign w:val="center"/>
          </w:tcPr>
          <w:p w14:paraId="616B040B">
            <w:pPr>
              <w:spacing w:line="5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总价（大写）：</w:t>
            </w:r>
          </w:p>
        </w:tc>
        <w:tc>
          <w:tcPr>
            <w:tcW w:w="5377" w:type="dxa"/>
            <w:gridSpan w:val="2"/>
            <w:noWrap w:val="0"/>
            <w:vAlign w:val="center"/>
          </w:tcPr>
          <w:p w14:paraId="0F72A483">
            <w:pPr>
              <w:spacing w:line="520" w:lineRule="exact"/>
              <w:jc w:val="center"/>
              <w:rPr>
                <w:rFonts w:ascii="宋体" w:hAnsi="宋体" w:cs="宋体"/>
                <w:color w:val="000000" w:themeColor="text1"/>
                <w:sz w:val="24"/>
                <w14:textFill>
                  <w14:solidFill>
                    <w14:schemeClr w14:val="tx1"/>
                  </w14:solidFill>
                </w14:textFill>
              </w:rPr>
            </w:pPr>
          </w:p>
        </w:tc>
      </w:tr>
    </w:tbl>
    <w:p w14:paraId="478A3497">
      <w:pPr>
        <w:spacing w:line="520" w:lineRule="exac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供应商承诺：本报价（总价）为供应商本企业提供的服务。</w:t>
      </w:r>
    </w:p>
    <w:p w14:paraId="4A83F2DD">
      <w:pPr>
        <w:spacing w:line="52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报价说明：</w:t>
      </w:r>
    </w:p>
    <w:p w14:paraId="10B5F977">
      <w:pPr>
        <w:spacing w:line="52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1、报价应包括全部内容，以及为完成上述内容所需的全部费用。</w:t>
      </w:r>
    </w:p>
    <w:p w14:paraId="2198A996">
      <w:pPr>
        <w:spacing w:line="52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2、报价以总价为准，大小写不一致以大写为准；</w:t>
      </w:r>
    </w:p>
    <w:p w14:paraId="656B5F4C">
      <w:pPr>
        <w:spacing w:line="52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3、偏离说明：详见《偏离表》；</w:t>
      </w:r>
    </w:p>
    <w:p w14:paraId="4D6BAE25">
      <w:pPr>
        <w:pStyle w:val="40"/>
        <w:rPr>
          <w:color w:val="000000" w:themeColor="text1"/>
          <w14:textFill>
            <w14:solidFill>
              <w14:schemeClr w14:val="tx1"/>
            </w14:solidFill>
          </w14:textFill>
        </w:rPr>
      </w:pPr>
    </w:p>
    <w:p w14:paraId="7289A98D">
      <w:pPr>
        <w:spacing w:line="520" w:lineRule="exact"/>
        <w:ind w:firstLine="480"/>
        <w:rPr>
          <w:rFonts w:ascii="宋体" w:hAnsi="宋体" w:cs="宋体"/>
          <w:color w:val="000000" w:themeColor="text1"/>
          <w:sz w:val="24"/>
          <w14:textFill>
            <w14:solidFill>
              <w14:schemeClr w14:val="tx1"/>
            </w14:solidFill>
          </w14:textFill>
        </w:rPr>
      </w:pPr>
    </w:p>
    <w:p w14:paraId="0B562136">
      <w:pPr>
        <w:spacing w:line="520" w:lineRule="exact"/>
        <w:ind w:right="29"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供应商（电子签章）：</w:t>
      </w:r>
    </w:p>
    <w:p w14:paraId="446D3E33">
      <w:pPr>
        <w:spacing w:line="520" w:lineRule="exact"/>
        <w:ind w:right="29" w:firstLine="480"/>
        <w:rPr>
          <w:rFonts w:ascii="宋体" w:hAnsi="宋体" w:cs="宋体"/>
          <w:color w:val="000000" w:themeColor="text1"/>
          <w:sz w:val="24"/>
          <w14:textFill>
            <w14:solidFill>
              <w14:schemeClr w14:val="tx1"/>
            </w14:solidFill>
          </w14:textFill>
        </w:rPr>
      </w:pPr>
    </w:p>
    <w:p w14:paraId="2800E3D5">
      <w:pPr>
        <w:spacing w:line="520" w:lineRule="exact"/>
        <w:ind w:right="29" w:firstLine="480"/>
        <w:rPr>
          <w:rFonts w:ascii="宋体" w:hAnsi="宋体" w:cs="宋体"/>
          <w:color w:val="000000" w:themeColor="text1"/>
          <w:sz w:val="24"/>
          <w14:textFill>
            <w14:solidFill>
              <w14:schemeClr w14:val="tx1"/>
            </w14:solidFill>
          </w14:textFill>
        </w:rPr>
        <w:sectPr>
          <w:pgSz w:w="11906" w:h="16838"/>
          <w:pgMar w:top="1134" w:right="1797" w:bottom="1134" w:left="1797" w:header="851" w:footer="992" w:gutter="0"/>
          <w:cols w:space="1701" w:num="1"/>
          <w:titlePg/>
          <w:docGrid w:linePitch="360" w:charSpace="0"/>
        </w:sectPr>
      </w:pPr>
      <w:r>
        <w:rPr>
          <w:rFonts w:hint="eastAsia" w:ascii="宋体" w:hAnsi="宋体" w:cs="宋体"/>
          <w:color w:val="000000" w:themeColor="text1"/>
          <w:sz w:val="24"/>
          <w14:textFill>
            <w14:solidFill>
              <w14:schemeClr w14:val="tx1"/>
            </w14:solidFill>
          </w14:textFill>
        </w:rPr>
        <w:t>日期：   年  月  日</w:t>
      </w:r>
    </w:p>
    <w:p w14:paraId="644C73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bCs/>
          <w:color w:val="000000" w:themeColor="text1"/>
          <w:sz w:val="36"/>
          <w14:textFill>
            <w14:solidFill>
              <w14:schemeClr w14:val="tx1"/>
            </w14:solidFill>
          </w14:textFill>
        </w:rPr>
      </w:pPr>
      <w:r>
        <w:rPr>
          <w:rFonts w:hint="eastAsia" w:ascii="宋体" w:hAnsi="宋体" w:cs="宋体"/>
          <w:b/>
          <w:bCs/>
          <w:color w:val="000000" w:themeColor="text1"/>
          <w:sz w:val="36"/>
          <w14:textFill>
            <w14:solidFill>
              <w14:schemeClr w14:val="tx1"/>
            </w14:solidFill>
          </w14:textFill>
        </w:rPr>
        <w:t>4、分项价格表</w:t>
      </w:r>
    </w:p>
    <w:p w14:paraId="60C8CC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本次为首次报价</w:t>
      </w:r>
    </w:p>
    <w:p w14:paraId="6ACD7B1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项目编号：</w:t>
      </w:r>
    </w:p>
    <w:p w14:paraId="35C912E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项目名称：</w:t>
      </w:r>
    </w:p>
    <w:p w14:paraId="53EE96F6">
      <w:pPr>
        <w:rPr>
          <w:rFonts w:ascii="宋体" w:hAnsi="宋体" w:cs="宋体"/>
          <w:color w:val="000000" w:themeColor="text1"/>
          <w14:textFill>
            <w14:solidFill>
              <w14:schemeClr w14:val="tx1"/>
            </w14:solidFill>
          </w14:textFill>
        </w:rPr>
      </w:pPr>
    </w:p>
    <w:p w14:paraId="7E785DF6">
      <w:pPr>
        <w:jc w:val="center"/>
        <w:rPr>
          <w:rFonts w:ascii="宋体" w:hAnsi="宋体" w:cs="宋体"/>
          <w:color w:val="000000" w:themeColor="text1"/>
          <w:sz w:val="24"/>
          <w14:textFill>
            <w14:solidFill>
              <w14:schemeClr w14:val="tx1"/>
            </w14:solidFill>
          </w14:textFill>
        </w:rPr>
      </w:pPr>
    </w:p>
    <w:p w14:paraId="363794B1">
      <w:pPr>
        <w:pStyle w:val="21"/>
        <w:rPr>
          <w:color w:val="000000" w:themeColor="text1"/>
          <w14:textFill>
            <w14:solidFill>
              <w14:schemeClr w14:val="tx1"/>
            </w14:solidFill>
          </w14:textFill>
        </w:rPr>
      </w:pPr>
    </w:p>
    <w:p w14:paraId="68484B7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格式自制</w:t>
      </w:r>
    </w:p>
    <w:p w14:paraId="448E0281">
      <w:pPr>
        <w:rPr>
          <w:rFonts w:ascii="宋体" w:hAnsi="宋体" w:cs="宋体"/>
          <w:color w:val="000000" w:themeColor="text1"/>
          <w:sz w:val="24"/>
          <w14:textFill>
            <w14:solidFill>
              <w14:schemeClr w14:val="tx1"/>
            </w14:solidFill>
          </w14:textFill>
        </w:rPr>
      </w:pPr>
    </w:p>
    <w:p w14:paraId="4A2A9CB7">
      <w:pPr>
        <w:rPr>
          <w:rFonts w:ascii="宋体" w:hAnsi="宋体" w:cs="宋体"/>
          <w:color w:val="000000" w:themeColor="text1"/>
          <w:sz w:val="24"/>
          <w14:textFill>
            <w14:solidFill>
              <w14:schemeClr w14:val="tx1"/>
            </w14:solidFill>
          </w14:textFill>
        </w:rPr>
      </w:pPr>
    </w:p>
    <w:p w14:paraId="66F019DD">
      <w:pPr>
        <w:rPr>
          <w:rFonts w:ascii="宋体" w:hAnsi="宋体" w:cs="宋体"/>
          <w:color w:val="000000" w:themeColor="text1"/>
          <w:sz w:val="24"/>
          <w14:textFill>
            <w14:solidFill>
              <w14:schemeClr w14:val="tx1"/>
            </w14:solidFill>
          </w14:textFill>
        </w:rPr>
      </w:pPr>
    </w:p>
    <w:p w14:paraId="59D215AD">
      <w:pPr>
        <w:ind w:right="2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供应商（电子签章）：</w:t>
      </w:r>
    </w:p>
    <w:p w14:paraId="11A98013">
      <w:pPr>
        <w:ind w:right="29"/>
        <w:rPr>
          <w:rFonts w:ascii="宋体" w:hAnsi="宋体" w:cs="宋体"/>
          <w:color w:val="000000" w:themeColor="text1"/>
          <w:sz w:val="24"/>
          <w14:textFill>
            <w14:solidFill>
              <w14:schemeClr w14:val="tx1"/>
            </w14:solidFill>
          </w14:textFill>
        </w:rPr>
      </w:pPr>
    </w:p>
    <w:p w14:paraId="7592D05E">
      <w:pPr>
        <w:ind w:right="2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2664EA31">
      <w:pPr>
        <w:rPr>
          <w:rFonts w:ascii="宋体" w:hAnsi="宋体" w:cs="宋体"/>
          <w:color w:val="000000" w:themeColor="text1"/>
          <w:sz w:val="28"/>
          <w:szCs w:val="28"/>
          <w:u w:val="single"/>
          <w14:textFill>
            <w14:solidFill>
              <w14:schemeClr w14:val="tx1"/>
            </w14:solidFill>
          </w14:textFill>
        </w:rPr>
      </w:pPr>
    </w:p>
    <w:p w14:paraId="0DA55ACE">
      <w:pPr>
        <w:rPr>
          <w:rFonts w:ascii="宋体" w:hAnsi="宋体" w:cs="宋体"/>
          <w:color w:val="000000" w:themeColor="text1"/>
          <w14:textFill>
            <w14:solidFill>
              <w14:schemeClr w14:val="tx1"/>
            </w14:solidFill>
          </w14:textFill>
        </w:rPr>
      </w:pPr>
    </w:p>
    <w:p w14:paraId="50C25ED3">
      <w:pPr>
        <w:rPr>
          <w:rFonts w:ascii="宋体" w:hAnsi="宋体" w:cs="宋体"/>
          <w:color w:val="000000" w:themeColor="text1"/>
          <w:sz w:val="24"/>
          <w14:textFill>
            <w14:solidFill>
              <w14:schemeClr w14:val="tx1"/>
            </w14:solidFill>
          </w14:textFill>
        </w:rPr>
      </w:pPr>
    </w:p>
    <w:p w14:paraId="4CFA0454">
      <w:pPr>
        <w:rPr>
          <w:rFonts w:ascii="宋体" w:hAnsi="宋体" w:cs="宋体"/>
          <w:color w:val="000000" w:themeColor="text1"/>
          <w:sz w:val="24"/>
          <w14:textFill>
            <w14:solidFill>
              <w14:schemeClr w14:val="tx1"/>
            </w14:solidFill>
          </w14:textFill>
        </w:rPr>
      </w:pPr>
    </w:p>
    <w:p w14:paraId="0669792C">
      <w:pPr>
        <w:rPr>
          <w:rFonts w:ascii="宋体" w:hAnsi="宋体" w:cs="宋体"/>
          <w:color w:val="000000" w:themeColor="text1"/>
          <w:sz w:val="24"/>
          <w14:textFill>
            <w14:solidFill>
              <w14:schemeClr w14:val="tx1"/>
            </w14:solidFill>
          </w14:textFill>
        </w:rPr>
      </w:pPr>
    </w:p>
    <w:p w14:paraId="5AEEA09B">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注：供应商对以上数据的真实性负责。</w:t>
      </w:r>
    </w:p>
    <w:p w14:paraId="5CBE000B">
      <w:pPr>
        <w:rPr>
          <w:rFonts w:ascii="宋体" w:hAnsi="宋体" w:cs="宋体"/>
          <w:b/>
          <w:i/>
          <w:color w:val="000000" w:themeColor="text1"/>
          <w:sz w:val="24"/>
          <w:u w:val="single"/>
          <w14:textFill>
            <w14:solidFill>
              <w14:schemeClr w14:val="tx1"/>
            </w14:solidFill>
          </w14:textFill>
        </w:rPr>
      </w:pPr>
      <w:r>
        <w:rPr>
          <w:rFonts w:hint="eastAsia" w:ascii="宋体" w:hAnsi="宋体" w:cs="宋体"/>
          <w:b/>
          <w:i/>
          <w:color w:val="000000" w:themeColor="text1"/>
          <w:sz w:val="24"/>
          <w:u w:val="single"/>
          <w14:textFill>
            <w14:solidFill>
              <w14:schemeClr w14:val="tx1"/>
            </w14:solidFill>
          </w14:textFill>
        </w:rPr>
        <w:t>采购人或采购代理机构有权将以上内容进行公示。</w:t>
      </w:r>
    </w:p>
    <w:p w14:paraId="0D91EA38">
      <w:pPr>
        <w:jc w:val="center"/>
        <w:rPr>
          <w:rFonts w:ascii="宋体" w:hAnsi="宋体" w:cs="宋体"/>
          <w:b/>
          <w:bCs/>
          <w:color w:val="000000" w:themeColor="text1"/>
          <w:sz w:val="36"/>
          <w14:textFill>
            <w14:solidFill>
              <w14:schemeClr w14:val="tx1"/>
            </w14:solidFill>
          </w14:textFill>
        </w:rPr>
        <w:sectPr>
          <w:pgSz w:w="11906" w:h="16838"/>
          <w:pgMar w:top="1134" w:right="1797" w:bottom="1134" w:left="1797" w:header="851" w:footer="992" w:gutter="0"/>
          <w:cols w:space="1701" w:num="1"/>
          <w:titlePg/>
          <w:docGrid w:linePitch="360" w:charSpace="0"/>
        </w:sectPr>
      </w:pPr>
    </w:p>
    <w:p w14:paraId="5A7E573C">
      <w:pPr>
        <w:jc w:val="center"/>
        <w:rPr>
          <w:rFonts w:ascii="宋体" w:hAnsi="宋体" w:cs="宋体"/>
          <w:b/>
          <w:bCs/>
          <w:color w:val="000000" w:themeColor="text1"/>
          <w:sz w:val="36"/>
          <w14:textFill>
            <w14:solidFill>
              <w14:schemeClr w14:val="tx1"/>
            </w14:solidFill>
          </w14:textFill>
        </w:rPr>
      </w:pPr>
      <w:r>
        <w:rPr>
          <w:rFonts w:hint="eastAsia" w:ascii="宋体" w:hAnsi="宋体" w:cs="宋体"/>
          <w:b/>
          <w:bCs/>
          <w:color w:val="000000" w:themeColor="text1"/>
          <w:sz w:val="36"/>
          <w14:textFill>
            <w14:solidFill>
              <w14:schemeClr w14:val="tx1"/>
            </w14:solidFill>
          </w14:textFill>
        </w:rPr>
        <w:t>5、偏离表</w:t>
      </w:r>
    </w:p>
    <w:p w14:paraId="1D6CF27B">
      <w:pPr>
        <w:spacing w:line="52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项目编号：</w:t>
      </w:r>
    </w:p>
    <w:p w14:paraId="2293B83F">
      <w:pPr>
        <w:spacing w:line="52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bl>
      <w:tblPr>
        <w:tblStyle w:val="11"/>
        <w:tblW w:w="95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7"/>
        <w:gridCol w:w="1350"/>
        <w:gridCol w:w="2446"/>
        <w:gridCol w:w="1575"/>
        <w:gridCol w:w="1351"/>
        <w:gridCol w:w="2123"/>
      </w:tblGrid>
      <w:tr w14:paraId="11A8B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727" w:type="dxa"/>
            <w:noWrap w:val="0"/>
            <w:vAlign w:val="center"/>
          </w:tcPr>
          <w:p w14:paraId="74C8B32E">
            <w:pPr>
              <w:jc w:val="center"/>
              <w:rPr>
                <w:rFonts w:ascii="宋体" w:hAnsi="宋体" w:cs="宋体"/>
                <w:caps/>
                <w:color w:val="000000" w:themeColor="text1"/>
                <w:sz w:val="24"/>
                <w14:textFill>
                  <w14:solidFill>
                    <w14:schemeClr w14:val="tx1"/>
                  </w14:solidFill>
                </w14:textFill>
              </w:rPr>
            </w:pPr>
            <w:r>
              <w:rPr>
                <w:rFonts w:hint="eastAsia" w:ascii="宋体" w:hAnsi="宋体" w:cs="宋体"/>
                <w:caps/>
                <w:color w:val="000000" w:themeColor="text1"/>
                <w:sz w:val="24"/>
                <w14:textFill>
                  <w14:solidFill>
                    <w14:schemeClr w14:val="tx1"/>
                  </w14:solidFill>
                </w14:textFill>
              </w:rPr>
              <w:t>序号</w:t>
            </w:r>
          </w:p>
        </w:tc>
        <w:tc>
          <w:tcPr>
            <w:tcW w:w="1350" w:type="dxa"/>
            <w:noWrap w:val="0"/>
            <w:vAlign w:val="center"/>
          </w:tcPr>
          <w:p w14:paraId="3C8F61A5">
            <w:pPr>
              <w:jc w:val="center"/>
              <w:rPr>
                <w:rFonts w:ascii="宋体" w:hAnsi="宋体" w:cs="宋体"/>
                <w:caps/>
                <w:color w:val="000000" w:themeColor="text1"/>
                <w:sz w:val="24"/>
                <w14:textFill>
                  <w14:solidFill>
                    <w14:schemeClr w14:val="tx1"/>
                  </w14:solidFill>
                </w14:textFill>
              </w:rPr>
            </w:pPr>
            <w:r>
              <w:rPr>
                <w:rFonts w:hint="eastAsia" w:ascii="宋体" w:hAnsi="宋体" w:cs="宋体"/>
                <w:caps/>
                <w:color w:val="000000" w:themeColor="text1"/>
                <w:sz w:val="24"/>
                <w14:textFill>
                  <w14:solidFill>
                    <w14:schemeClr w14:val="tx1"/>
                  </w14:solidFill>
                </w14:textFill>
              </w:rPr>
              <w:t>偏离内容</w:t>
            </w:r>
          </w:p>
        </w:tc>
        <w:tc>
          <w:tcPr>
            <w:tcW w:w="2446" w:type="dxa"/>
            <w:noWrap w:val="0"/>
            <w:vAlign w:val="center"/>
          </w:tcPr>
          <w:p w14:paraId="77D31C2F">
            <w:pPr>
              <w:jc w:val="center"/>
              <w:rPr>
                <w:rFonts w:ascii="宋体" w:hAnsi="宋体" w:cs="宋体"/>
                <w:cap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竞争性磋商文件（含竞争性磋商文件的澄清或者修改）的要求</w:t>
            </w:r>
          </w:p>
        </w:tc>
        <w:tc>
          <w:tcPr>
            <w:tcW w:w="1575" w:type="dxa"/>
            <w:noWrap w:val="0"/>
            <w:vAlign w:val="center"/>
          </w:tcPr>
          <w:p w14:paraId="563940A6">
            <w:pPr>
              <w:jc w:val="center"/>
              <w:rPr>
                <w:rFonts w:ascii="宋体" w:hAnsi="宋体" w:cs="宋体"/>
                <w:cap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首次响应文件中的内容</w:t>
            </w:r>
          </w:p>
        </w:tc>
        <w:tc>
          <w:tcPr>
            <w:tcW w:w="1351" w:type="dxa"/>
            <w:noWrap w:val="0"/>
            <w:vAlign w:val="center"/>
          </w:tcPr>
          <w:p w14:paraId="5D8A6CF8">
            <w:pPr>
              <w:jc w:val="center"/>
              <w:rPr>
                <w:rFonts w:ascii="宋体" w:hAnsi="宋体" w:cs="宋体"/>
                <w:caps/>
                <w:color w:val="000000" w:themeColor="text1"/>
                <w:sz w:val="24"/>
                <w14:textFill>
                  <w14:solidFill>
                    <w14:schemeClr w14:val="tx1"/>
                  </w14:solidFill>
                </w14:textFill>
              </w:rPr>
            </w:pPr>
            <w:r>
              <w:rPr>
                <w:rFonts w:hint="eastAsia" w:ascii="宋体" w:hAnsi="宋体" w:cs="宋体"/>
                <w:caps/>
                <w:color w:val="000000" w:themeColor="text1"/>
                <w:sz w:val="24"/>
                <w14:textFill>
                  <w14:solidFill>
                    <w14:schemeClr w14:val="tx1"/>
                  </w14:solidFill>
                </w14:textFill>
              </w:rPr>
              <w:t>（正/负/无）偏离</w:t>
            </w:r>
          </w:p>
        </w:tc>
        <w:tc>
          <w:tcPr>
            <w:tcW w:w="2123" w:type="dxa"/>
            <w:noWrap w:val="0"/>
            <w:vAlign w:val="center"/>
          </w:tcPr>
          <w:p w14:paraId="2750ED4A">
            <w:pPr>
              <w:jc w:val="center"/>
              <w:rPr>
                <w:rFonts w:ascii="宋体" w:hAnsi="宋体" w:cs="宋体"/>
                <w:caps/>
                <w:color w:val="000000" w:themeColor="text1"/>
                <w:sz w:val="24"/>
                <w14:textFill>
                  <w14:solidFill>
                    <w14:schemeClr w14:val="tx1"/>
                  </w14:solidFill>
                </w14:textFill>
              </w:rPr>
            </w:pPr>
            <w:r>
              <w:rPr>
                <w:rFonts w:hint="eastAsia" w:ascii="宋体" w:hAnsi="宋体" w:cs="宋体"/>
                <w:caps/>
                <w:color w:val="000000" w:themeColor="text1"/>
                <w:sz w:val="24"/>
                <w14:textFill>
                  <w14:solidFill>
                    <w14:schemeClr w14:val="tx1"/>
                  </w14:solidFill>
                </w14:textFill>
              </w:rPr>
              <w:t>说明</w:t>
            </w:r>
          </w:p>
        </w:tc>
      </w:tr>
      <w:tr w14:paraId="4E126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27" w:type="dxa"/>
            <w:noWrap w:val="0"/>
            <w:vAlign w:val="center"/>
          </w:tcPr>
          <w:p w14:paraId="52E45739">
            <w:pPr>
              <w:jc w:val="center"/>
              <w:rPr>
                <w:rFonts w:ascii="宋体" w:hAnsi="宋体" w:cs="宋体"/>
                <w:caps/>
                <w:color w:val="000000" w:themeColor="text1"/>
                <w:sz w:val="24"/>
                <w14:textFill>
                  <w14:solidFill>
                    <w14:schemeClr w14:val="tx1"/>
                  </w14:solidFill>
                </w14:textFill>
              </w:rPr>
            </w:pPr>
          </w:p>
        </w:tc>
        <w:tc>
          <w:tcPr>
            <w:tcW w:w="1350" w:type="dxa"/>
            <w:noWrap w:val="0"/>
            <w:vAlign w:val="center"/>
          </w:tcPr>
          <w:p w14:paraId="1E739C44">
            <w:pPr>
              <w:jc w:val="center"/>
              <w:rPr>
                <w:rFonts w:ascii="宋体" w:hAnsi="宋体" w:cs="宋体"/>
                <w:caps/>
                <w:color w:val="000000" w:themeColor="text1"/>
                <w:sz w:val="24"/>
                <w14:textFill>
                  <w14:solidFill>
                    <w14:schemeClr w14:val="tx1"/>
                  </w14:solidFill>
                </w14:textFill>
              </w:rPr>
            </w:pPr>
          </w:p>
        </w:tc>
        <w:tc>
          <w:tcPr>
            <w:tcW w:w="2446" w:type="dxa"/>
            <w:noWrap w:val="0"/>
            <w:vAlign w:val="center"/>
          </w:tcPr>
          <w:p w14:paraId="2CF36564">
            <w:pPr>
              <w:jc w:val="center"/>
              <w:rPr>
                <w:rFonts w:ascii="宋体" w:hAnsi="宋体" w:cs="宋体"/>
                <w:caps/>
                <w:color w:val="000000" w:themeColor="text1"/>
                <w:sz w:val="24"/>
                <w14:textFill>
                  <w14:solidFill>
                    <w14:schemeClr w14:val="tx1"/>
                  </w14:solidFill>
                </w14:textFill>
              </w:rPr>
            </w:pPr>
          </w:p>
        </w:tc>
        <w:tc>
          <w:tcPr>
            <w:tcW w:w="1575" w:type="dxa"/>
            <w:noWrap w:val="0"/>
            <w:vAlign w:val="center"/>
          </w:tcPr>
          <w:p w14:paraId="43442BBC">
            <w:pPr>
              <w:jc w:val="center"/>
              <w:rPr>
                <w:rFonts w:ascii="宋体" w:hAnsi="宋体" w:cs="宋体"/>
                <w:caps/>
                <w:color w:val="000000" w:themeColor="text1"/>
                <w:sz w:val="24"/>
                <w14:textFill>
                  <w14:solidFill>
                    <w14:schemeClr w14:val="tx1"/>
                  </w14:solidFill>
                </w14:textFill>
              </w:rPr>
            </w:pPr>
          </w:p>
        </w:tc>
        <w:tc>
          <w:tcPr>
            <w:tcW w:w="1351" w:type="dxa"/>
            <w:noWrap w:val="0"/>
            <w:vAlign w:val="center"/>
          </w:tcPr>
          <w:p w14:paraId="190D53A6">
            <w:pPr>
              <w:jc w:val="center"/>
              <w:rPr>
                <w:rFonts w:ascii="宋体" w:hAnsi="宋体" w:cs="宋体"/>
                <w:caps/>
                <w:color w:val="000000" w:themeColor="text1"/>
                <w:sz w:val="24"/>
                <w14:textFill>
                  <w14:solidFill>
                    <w14:schemeClr w14:val="tx1"/>
                  </w14:solidFill>
                </w14:textFill>
              </w:rPr>
            </w:pPr>
          </w:p>
        </w:tc>
        <w:tc>
          <w:tcPr>
            <w:tcW w:w="2123" w:type="dxa"/>
            <w:noWrap w:val="0"/>
            <w:vAlign w:val="center"/>
          </w:tcPr>
          <w:p w14:paraId="365A532C">
            <w:pPr>
              <w:jc w:val="center"/>
              <w:rPr>
                <w:rFonts w:ascii="宋体" w:hAnsi="宋体" w:cs="宋体"/>
                <w:caps/>
                <w:color w:val="000000" w:themeColor="text1"/>
                <w:sz w:val="24"/>
                <w14:textFill>
                  <w14:solidFill>
                    <w14:schemeClr w14:val="tx1"/>
                  </w14:solidFill>
                </w14:textFill>
              </w:rPr>
            </w:pPr>
          </w:p>
        </w:tc>
      </w:tr>
      <w:tr w14:paraId="3DC72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27" w:type="dxa"/>
            <w:noWrap w:val="0"/>
            <w:vAlign w:val="center"/>
          </w:tcPr>
          <w:p w14:paraId="176C7FF5">
            <w:pPr>
              <w:jc w:val="center"/>
              <w:rPr>
                <w:rFonts w:ascii="宋体" w:hAnsi="宋体" w:cs="宋体"/>
                <w:color w:val="000000" w:themeColor="text1"/>
                <w:sz w:val="24"/>
                <w14:textFill>
                  <w14:solidFill>
                    <w14:schemeClr w14:val="tx1"/>
                  </w14:solidFill>
                </w14:textFill>
              </w:rPr>
            </w:pPr>
          </w:p>
        </w:tc>
        <w:tc>
          <w:tcPr>
            <w:tcW w:w="1350" w:type="dxa"/>
            <w:noWrap w:val="0"/>
            <w:vAlign w:val="center"/>
          </w:tcPr>
          <w:p w14:paraId="46606573">
            <w:pPr>
              <w:jc w:val="center"/>
              <w:rPr>
                <w:rFonts w:ascii="宋体" w:hAnsi="宋体" w:cs="宋体"/>
                <w:color w:val="000000" w:themeColor="text1"/>
                <w:sz w:val="24"/>
                <w14:textFill>
                  <w14:solidFill>
                    <w14:schemeClr w14:val="tx1"/>
                  </w14:solidFill>
                </w14:textFill>
              </w:rPr>
            </w:pPr>
          </w:p>
        </w:tc>
        <w:tc>
          <w:tcPr>
            <w:tcW w:w="2446" w:type="dxa"/>
            <w:noWrap w:val="0"/>
            <w:vAlign w:val="center"/>
          </w:tcPr>
          <w:p w14:paraId="5245A327">
            <w:pPr>
              <w:jc w:val="center"/>
              <w:rPr>
                <w:rFonts w:ascii="宋体" w:hAnsi="宋体" w:cs="宋体"/>
                <w:color w:val="000000" w:themeColor="text1"/>
                <w:sz w:val="24"/>
                <w14:textFill>
                  <w14:solidFill>
                    <w14:schemeClr w14:val="tx1"/>
                  </w14:solidFill>
                </w14:textFill>
              </w:rPr>
            </w:pPr>
          </w:p>
        </w:tc>
        <w:tc>
          <w:tcPr>
            <w:tcW w:w="1575" w:type="dxa"/>
            <w:noWrap w:val="0"/>
            <w:vAlign w:val="center"/>
          </w:tcPr>
          <w:p w14:paraId="1C9C8C7E">
            <w:pPr>
              <w:jc w:val="center"/>
              <w:rPr>
                <w:rFonts w:ascii="宋体" w:hAnsi="宋体" w:cs="宋体"/>
                <w:color w:val="000000" w:themeColor="text1"/>
                <w:sz w:val="24"/>
                <w14:textFill>
                  <w14:solidFill>
                    <w14:schemeClr w14:val="tx1"/>
                  </w14:solidFill>
                </w14:textFill>
              </w:rPr>
            </w:pPr>
          </w:p>
        </w:tc>
        <w:tc>
          <w:tcPr>
            <w:tcW w:w="1351" w:type="dxa"/>
            <w:noWrap w:val="0"/>
            <w:vAlign w:val="center"/>
          </w:tcPr>
          <w:p w14:paraId="151A58AE">
            <w:pPr>
              <w:jc w:val="center"/>
              <w:rPr>
                <w:rFonts w:ascii="宋体" w:hAnsi="宋体" w:cs="宋体"/>
                <w:color w:val="000000" w:themeColor="text1"/>
                <w:sz w:val="24"/>
                <w14:textFill>
                  <w14:solidFill>
                    <w14:schemeClr w14:val="tx1"/>
                  </w14:solidFill>
                </w14:textFill>
              </w:rPr>
            </w:pPr>
          </w:p>
        </w:tc>
        <w:tc>
          <w:tcPr>
            <w:tcW w:w="2123" w:type="dxa"/>
            <w:noWrap w:val="0"/>
            <w:vAlign w:val="center"/>
          </w:tcPr>
          <w:p w14:paraId="137051BC">
            <w:pPr>
              <w:jc w:val="center"/>
              <w:rPr>
                <w:rFonts w:ascii="宋体" w:hAnsi="宋体" w:cs="宋体"/>
                <w:color w:val="000000" w:themeColor="text1"/>
                <w:sz w:val="24"/>
                <w14:textFill>
                  <w14:solidFill>
                    <w14:schemeClr w14:val="tx1"/>
                  </w14:solidFill>
                </w14:textFill>
              </w:rPr>
            </w:pPr>
          </w:p>
        </w:tc>
      </w:tr>
      <w:tr w14:paraId="3A690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27" w:type="dxa"/>
            <w:noWrap w:val="0"/>
            <w:vAlign w:val="center"/>
          </w:tcPr>
          <w:p w14:paraId="481F7B0F">
            <w:pPr>
              <w:jc w:val="center"/>
              <w:rPr>
                <w:rFonts w:ascii="宋体" w:hAnsi="宋体" w:cs="宋体"/>
                <w:color w:val="000000" w:themeColor="text1"/>
                <w:sz w:val="24"/>
                <w14:textFill>
                  <w14:solidFill>
                    <w14:schemeClr w14:val="tx1"/>
                  </w14:solidFill>
                </w14:textFill>
              </w:rPr>
            </w:pPr>
          </w:p>
        </w:tc>
        <w:tc>
          <w:tcPr>
            <w:tcW w:w="1350" w:type="dxa"/>
            <w:noWrap w:val="0"/>
            <w:vAlign w:val="center"/>
          </w:tcPr>
          <w:p w14:paraId="249CEE9D">
            <w:pPr>
              <w:jc w:val="center"/>
              <w:rPr>
                <w:rFonts w:ascii="宋体" w:hAnsi="宋体" w:cs="宋体"/>
                <w:color w:val="000000" w:themeColor="text1"/>
                <w:sz w:val="24"/>
                <w14:textFill>
                  <w14:solidFill>
                    <w14:schemeClr w14:val="tx1"/>
                  </w14:solidFill>
                </w14:textFill>
              </w:rPr>
            </w:pPr>
          </w:p>
        </w:tc>
        <w:tc>
          <w:tcPr>
            <w:tcW w:w="2446" w:type="dxa"/>
            <w:noWrap w:val="0"/>
            <w:vAlign w:val="center"/>
          </w:tcPr>
          <w:p w14:paraId="26626709">
            <w:pPr>
              <w:jc w:val="center"/>
              <w:rPr>
                <w:rFonts w:ascii="宋体" w:hAnsi="宋体" w:cs="宋体"/>
                <w:color w:val="000000" w:themeColor="text1"/>
                <w:sz w:val="24"/>
                <w14:textFill>
                  <w14:solidFill>
                    <w14:schemeClr w14:val="tx1"/>
                  </w14:solidFill>
                </w14:textFill>
              </w:rPr>
            </w:pPr>
          </w:p>
        </w:tc>
        <w:tc>
          <w:tcPr>
            <w:tcW w:w="1575" w:type="dxa"/>
            <w:noWrap w:val="0"/>
            <w:vAlign w:val="center"/>
          </w:tcPr>
          <w:p w14:paraId="5DC2443D">
            <w:pPr>
              <w:jc w:val="center"/>
              <w:rPr>
                <w:rFonts w:ascii="宋体" w:hAnsi="宋体" w:cs="宋体"/>
                <w:color w:val="000000" w:themeColor="text1"/>
                <w:sz w:val="24"/>
                <w14:textFill>
                  <w14:solidFill>
                    <w14:schemeClr w14:val="tx1"/>
                  </w14:solidFill>
                </w14:textFill>
              </w:rPr>
            </w:pPr>
          </w:p>
        </w:tc>
        <w:tc>
          <w:tcPr>
            <w:tcW w:w="1351" w:type="dxa"/>
            <w:noWrap w:val="0"/>
            <w:vAlign w:val="center"/>
          </w:tcPr>
          <w:p w14:paraId="2BC80B83">
            <w:pPr>
              <w:jc w:val="center"/>
              <w:rPr>
                <w:rFonts w:ascii="宋体" w:hAnsi="宋体" w:cs="宋体"/>
                <w:color w:val="000000" w:themeColor="text1"/>
                <w:sz w:val="24"/>
                <w14:textFill>
                  <w14:solidFill>
                    <w14:schemeClr w14:val="tx1"/>
                  </w14:solidFill>
                </w14:textFill>
              </w:rPr>
            </w:pPr>
          </w:p>
        </w:tc>
        <w:tc>
          <w:tcPr>
            <w:tcW w:w="2123" w:type="dxa"/>
            <w:noWrap w:val="0"/>
            <w:vAlign w:val="center"/>
          </w:tcPr>
          <w:p w14:paraId="4E24C58D">
            <w:pPr>
              <w:jc w:val="center"/>
              <w:rPr>
                <w:rFonts w:ascii="宋体" w:hAnsi="宋体" w:cs="宋体"/>
                <w:color w:val="000000" w:themeColor="text1"/>
                <w:sz w:val="24"/>
                <w14:textFill>
                  <w14:solidFill>
                    <w14:schemeClr w14:val="tx1"/>
                  </w14:solidFill>
                </w14:textFill>
              </w:rPr>
            </w:pPr>
          </w:p>
        </w:tc>
      </w:tr>
      <w:tr w14:paraId="26A8C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27" w:type="dxa"/>
            <w:noWrap w:val="0"/>
            <w:vAlign w:val="center"/>
          </w:tcPr>
          <w:p w14:paraId="0B8AABFC">
            <w:pPr>
              <w:jc w:val="center"/>
              <w:rPr>
                <w:rFonts w:ascii="宋体" w:hAnsi="宋体" w:cs="宋体"/>
                <w:color w:val="000000" w:themeColor="text1"/>
                <w:sz w:val="24"/>
                <w14:textFill>
                  <w14:solidFill>
                    <w14:schemeClr w14:val="tx1"/>
                  </w14:solidFill>
                </w14:textFill>
              </w:rPr>
            </w:pPr>
          </w:p>
        </w:tc>
        <w:tc>
          <w:tcPr>
            <w:tcW w:w="1350" w:type="dxa"/>
            <w:noWrap w:val="0"/>
            <w:vAlign w:val="center"/>
          </w:tcPr>
          <w:p w14:paraId="2946068E">
            <w:pPr>
              <w:jc w:val="center"/>
              <w:rPr>
                <w:rFonts w:ascii="宋体" w:hAnsi="宋体" w:cs="宋体"/>
                <w:color w:val="000000" w:themeColor="text1"/>
                <w:sz w:val="24"/>
                <w14:textFill>
                  <w14:solidFill>
                    <w14:schemeClr w14:val="tx1"/>
                  </w14:solidFill>
                </w14:textFill>
              </w:rPr>
            </w:pPr>
          </w:p>
        </w:tc>
        <w:tc>
          <w:tcPr>
            <w:tcW w:w="2446" w:type="dxa"/>
            <w:noWrap w:val="0"/>
            <w:vAlign w:val="center"/>
          </w:tcPr>
          <w:p w14:paraId="10F87E5B">
            <w:pPr>
              <w:jc w:val="center"/>
              <w:rPr>
                <w:rFonts w:ascii="宋体" w:hAnsi="宋体" w:cs="宋体"/>
                <w:color w:val="000000" w:themeColor="text1"/>
                <w:sz w:val="24"/>
                <w14:textFill>
                  <w14:solidFill>
                    <w14:schemeClr w14:val="tx1"/>
                  </w14:solidFill>
                </w14:textFill>
              </w:rPr>
            </w:pPr>
          </w:p>
        </w:tc>
        <w:tc>
          <w:tcPr>
            <w:tcW w:w="1575" w:type="dxa"/>
            <w:noWrap w:val="0"/>
            <w:vAlign w:val="center"/>
          </w:tcPr>
          <w:p w14:paraId="2CFB6278">
            <w:pPr>
              <w:jc w:val="center"/>
              <w:rPr>
                <w:rFonts w:ascii="宋体" w:hAnsi="宋体" w:cs="宋体"/>
                <w:color w:val="000000" w:themeColor="text1"/>
                <w:sz w:val="24"/>
                <w14:textFill>
                  <w14:solidFill>
                    <w14:schemeClr w14:val="tx1"/>
                  </w14:solidFill>
                </w14:textFill>
              </w:rPr>
            </w:pPr>
          </w:p>
        </w:tc>
        <w:tc>
          <w:tcPr>
            <w:tcW w:w="1351" w:type="dxa"/>
            <w:noWrap w:val="0"/>
            <w:vAlign w:val="center"/>
          </w:tcPr>
          <w:p w14:paraId="1B155E7D">
            <w:pPr>
              <w:jc w:val="center"/>
              <w:rPr>
                <w:rFonts w:ascii="宋体" w:hAnsi="宋体" w:cs="宋体"/>
                <w:color w:val="000000" w:themeColor="text1"/>
                <w:sz w:val="24"/>
                <w14:textFill>
                  <w14:solidFill>
                    <w14:schemeClr w14:val="tx1"/>
                  </w14:solidFill>
                </w14:textFill>
              </w:rPr>
            </w:pPr>
          </w:p>
        </w:tc>
        <w:tc>
          <w:tcPr>
            <w:tcW w:w="2123" w:type="dxa"/>
            <w:noWrap w:val="0"/>
            <w:vAlign w:val="center"/>
          </w:tcPr>
          <w:p w14:paraId="5062623B">
            <w:pPr>
              <w:jc w:val="center"/>
              <w:rPr>
                <w:rFonts w:ascii="宋体" w:hAnsi="宋体" w:cs="宋体"/>
                <w:color w:val="000000" w:themeColor="text1"/>
                <w:sz w:val="24"/>
                <w14:textFill>
                  <w14:solidFill>
                    <w14:schemeClr w14:val="tx1"/>
                  </w14:solidFill>
                </w14:textFill>
              </w:rPr>
            </w:pPr>
          </w:p>
        </w:tc>
      </w:tr>
      <w:tr w14:paraId="05C9E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27" w:type="dxa"/>
            <w:noWrap w:val="0"/>
            <w:vAlign w:val="center"/>
          </w:tcPr>
          <w:p w14:paraId="140D1EFD">
            <w:pPr>
              <w:jc w:val="center"/>
              <w:rPr>
                <w:rFonts w:ascii="宋体" w:hAnsi="宋体" w:cs="宋体"/>
                <w:color w:val="000000" w:themeColor="text1"/>
                <w:sz w:val="24"/>
                <w14:textFill>
                  <w14:solidFill>
                    <w14:schemeClr w14:val="tx1"/>
                  </w14:solidFill>
                </w14:textFill>
              </w:rPr>
            </w:pPr>
          </w:p>
        </w:tc>
        <w:tc>
          <w:tcPr>
            <w:tcW w:w="1350" w:type="dxa"/>
            <w:noWrap w:val="0"/>
            <w:vAlign w:val="center"/>
          </w:tcPr>
          <w:p w14:paraId="70D30C12">
            <w:pPr>
              <w:jc w:val="center"/>
              <w:rPr>
                <w:rFonts w:ascii="宋体" w:hAnsi="宋体" w:cs="宋体"/>
                <w:color w:val="000000" w:themeColor="text1"/>
                <w:sz w:val="24"/>
                <w14:textFill>
                  <w14:solidFill>
                    <w14:schemeClr w14:val="tx1"/>
                  </w14:solidFill>
                </w14:textFill>
              </w:rPr>
            </w:pPr>
          </w:p>
        </w:tc>
        <w:tc>
          <w:tcPr>
            <w:tcW w:w="2446" w:type="dxa"/>
            <w:noWrap w:val="0"/>
            <w:vAlign w:val="center"/>
          </w:tcPr>
          <w:p w14:paraId="161EDBAA">
            <w:pPr>
              <w:jc w:val="center"/>
              <w:rPr>
                <w:rFonts w:ascii="宋体" w:hAnsi="宋体" w:cs="宋体"/>
                <w:color w:val="000000" w:themeColor="text1"/>
                <w:sz w:val="24"/>
                <w14:textFill>
                  <w14:solidFill>
                    <w14:schemeClr w14:val="tx1"/>
                  </w14:solidFill>
                </w14:textFill>
              </w:rPr>
            </w:pPr>
          </w:p>
        </w:tc>
        <w:tc>
          <w:tcPr>
            <w:tcW w:w="1575" w:type="dxa"/>
            <w:noWrap w:val="0"/>
            <w:vAlign w:val="center"/>
          </w:tcPr>
          <w:p w14:paraId="66819B8C">
            <w:pPr>
              <w:jc w:val="center"/>
              <w:rPr>
                <w:rFonts w:ascii="宋体" w:hAnsi="宋体" w:cs="宋体"/>
                <w:color w:val="000000" w:themeColor="text1"/>
                <w:sz w:val="24"/>
                <w14:textFill>
                  <w14:solidFill>
                    <w14:schemeClr w14:val="tx1"/>
                  </w14:solidFill>
                </w14:textFill>
              </w:rPr>
            </w:pPr>
          </w:p>
        </w:tc>
        <w:tc>
          <w:tcPr>
            <w:tcW w:w="1351" w:type="dxa"/>
            <w:noWrap w:val="0"/>
            <w:vAlign w:val="center"/>
          </w:tcPr>
          <w:p w14:paraId="5AF11316">
            <w:pPr>
              <w:jc w:val="center"/>
              <w:rPr>
                <w:rFonts w:ascii="宋体" w:hAnsi="宋体" w:cs="宋体"/>
                <w:color w:val="000000" w:themeColor="text1"/>
                <w:sz w:val="24"/>
                <w14:textFill>
                  <w14:solidFill>
                    <w14:schemeClr w14:val="tx1"/>
                  </w14:solidFill>
                </w14:textFill>
              </w:rPr>
            </w:pPr>
          </w:p>
        </w:tc>
        <w:tc>
          <w:tcPr>
            <w:tcW w:w="2123" w:type="dxa"/>
            <w:noWrap w:val="0"/>
            <w:vAlign w:val="center"/>
          </w:tcPr>
          <w:p w14:paraId="263257BF">
            <w:pPr>
              <w:jc w:val="center"/>
              <w:rPr>
                <w:rFonts w:ascii="宋体" w:hAnsi="宋体" w:cs="宋体"/>
                <w:color w:val="000000" w:themeColor="text1"/>
                <w:sz w:val="24"/>
                <w14:textFill>
                  <w14:solidFill>
                    <w14:schemeClr w14:val="tx1"/>
                  </w14:solidFill>
                </w14:textFill>
              </w:rPr>
            </w:pPr>
          </w:p>
        </w:tc>
      </w:tr>
      <w:tr w14:paraId="700A5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27" w:type="dxa"/>
            <w:noWrap w:val="0"/>
            <w:vAlign w:val="center"/>
          </w:tcPr>
          <w:p w14:paraId="2ACFEEA0">
            <w:pPr>
              <w:jc w:val="center"/>
              <w:rPr>
                <w:rFonts w:ascii="宋体" w:hAnsi="宋体" w:cs="宋体"/>
                <w:color w:val="000000" w:themeColor="text1"/>
                <w:sz w:val="24"/>
                <w14:textFill>
                  <w14:solidFill>
                    <w14:schemeClr w14:val="tx1"/>
                  </w14:solidFill>
                </w14:textFill>
              </w:rPr>
            </w:pPr>
          </w:p>
        </w:tc>
        <w:tc>
          <w:tcPr>
            <w:tcW w:w="1350" w:type="dxa"/>
            <w:noWrap w:val="0"/>
            <w:vAlign w:val="center"/>
          </w:tcPr>
          <w:p w14:paraId="4C8BFF24">
            <w:pPr>
              <w:jc w:val="center"/>
              <w:rPr>
                <w:rFonts w:ascii="宋体" w:hAnsi="宋体" w:cs="宋体"/>
                <w:color w:val="000000" w:themeColor="text1"/>
                <w:sz w:val="24"/>
                <w14:textFill>
                  <w14:solidFill>
                    <w14:schemeClr w14:val="tx1"/>
                  </w14:solidFill>
                </w14:textFill>
              </w:rPr>
            </w:pPr>
          </w:p>
        </w:tc>
        <w:tc>
          <w:tcPr>
            <w:tcW w:w="2446" w:type="dxa"/>
            <w:noWrap w:val="0"/>
            <w:vAlign w:val="center"/>
          </w:tcPr>
          <w:p w14:paraId="17276514">
            <w:pPr>
              <w:jc w:val="center"/>
              <w:rPr>
                <w:rFonts w:ascii="宋体" w:hAnsi="宋体" w:cs="宋体"/>
                <w:color w:val="000000" w:themeColor="text1"/>
                <w:sz w:val="24"/>
                <w14:textFill>
                  <w14:solidFill>
                    <w14:schemeClr w14:val="tx1"/>
                  </w14:solidFill>
                </w14:textFill>
              </w:rPr>
            </w:pPr>
          </w:p>
        </w:tc>
        <w:tc>
          <w:tcPr>
            <w:tcW w:w="1575" w:type="dxa"/>
            <w:noWrap w:val="0"/>
            <w:vAlign w:val="center"/>
          </w:tcPr>
          <w:p w14:paraId="7531400F">
            <w:pPr>
              <w:jc w:val="center"/>
              <w:rPr>
                <w:rFonts w:ascii="宋体" w:hAnsi="宋体" w:cs="宋体"/>
                <w:color w:val="000000" w:themeColor="text1"/>
                <w:sz w:val="24"/>
                <w14:textFill>
                  <w14:solidFill>
                    <w14:schemeClr w14:val="tx1"/>
                  </w14:solidFill>
                </w14:textFill>
              </w:rPr>
            </w:pPr>
          </w:p>
        </w:tc>
        <w:tc>
          <w:tcPr>
            <w:tcW w:w="1351" w:type="dxa"/>
            <w:noWrap w:val="0"/>
            <w:vAlign w:val="center"/>
          </w:tcPr>
          <w:p w14:paraId="43DC93CB">
            <w:pPr>
              <w:jc w:val="center"/>
              <w:rPr>
                <w:rFonts w:ascii="宋体" w:hAnsi="宋体" w:cs="宋体"/>
                <w:color w:val="000000" w:themeColor="text1"/>
                <w:sz w:val="24"/>
                <w14:textFill>
                  <w14:solidFill>
                    <w14:schemeClr w14:val="tx1"/>
                  </w14:solidFill>
                </w14:textFill>
              </w:rPr>
            </w:pPr>
          </w:p>
        </w:tc>
        <w:tc>
          <w:tcPr>
            <w:tcW w:w="2123" w:type="dxa"/>
            <w:noWrap w:val="0"/>
            <w:vAlign w:val="center"/>
          </w:tcPr>
          <w:p w14:paraId="20B75926">
            <w:pPr>
              <w:jc w:val="center"/>
              <w:rPr>
                <w:rFonts w:ascii="宋体" w:hAnsi="宋体" w:cs="宋体"/>
                <w:color w:val="000000" w:themeColor="text1"/>
                <w:sz w:val="24"/>
                <w14:textFill>
                  <w14:solidFill>
                    <w14:schemeClr w14:val="tx1"/>
                  </w14:solidFill>
                </w14:textFill>
              </w:rPr>
            </w:pPr>
          </w:p>
        </w:tc>
      </w:tr>
      <w:tr w14:paraId="028AB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27" w:type="dxa"/>
            <w:noWrap w:val="0"/>
            <w:vAlign w:val="center"/>
          </w:tcPr>
          <w:p w14:paraId="455CB75E">
            <w:pPr>
              <w:jc w:val="center"/>
              <w:rPr>
                <w:rFonts w:ascii="宋体" w:hAnsi="宋体" w:cs="宋体"/>
                <w:color w:val="000000" w:themeColor="text1"/>
                <w:sz w:val="24"/>
                <w14:textFill>
                  <w14:solidFill>
                    <w14:schemeClr w14:val="tx1"/>
                  </w14:solidFill>
                </w14:textFill>
              </w:rPr>
            </w:pPr>
          </w:p>
        </w:tc>
        <w:tc>
          <w:tcPr>
            <w:tcW w:w="1350" w:type="dxa"/>
            <w:noWrap w:val="0"/>
            <w:vAlign w:val="center"/>
          </w:tcPr>
          <w:p w14:paraId="75B9929D">
            <w:pPr>
              <w:jc w:val="center"/>
              <w:rPr>
                <w:rFonts w:ascii="宋体" w:hAnsi="宋体" w:cs="宋体"/>
                <w:color w:val="000000" w:themeColor="text1"/>
                <w:sz w:val="24"/>
                <w14:textFill>
                  <w14:solidFill>
                    <w14:schemeClr w14:val="tx1"/>
                  </w14:solidFill>
                </w14:textFill>
              </w:rPr>
            </w:pPr>
          </w:p>
        </w:tc>
        <w:tc>
          <w:tcPr>
            <w:tcW w:w="2446" w:type="dxa"/>
            <w:noWrap w:val="0"/>
            <w:vAlign w:val="center"/>
          </w:tcPr>
          <w:p w14:paraId="2BA351F4">
            <w:pPr>
              <w:jc w:val="center"/>
              <w:rPr>
                <w:rFonts w:ascii="宋体" w:hAnsi="宋体" w:cs="宋体"/>
                <w:color w:val="000000" w:themeColor="text1"/>
                <w:sz w:val="24"/>
                <w14:textFill>
                  <w14:solidFill>
                    <w14:schemeClr w14:val="tx1"/>
                  </w14:solidFill>
                </w14:textFill>
              </w:rPr>
            </w:pPr>
          </w:p>
        </w:tc>
        <w:tc>
          <w:tcPr>
            <w:tcW w:w="1575" w:type="dxa"/>
            <w:noWrap w:val="0"/>
            <w:vAlign w:val="center"/>
          </w:tcPr>
          <w:p w14:paraId="28AE8548">
            <w:pPr>
              <w:jc w:val="center"/>
              <w:rPr>
                <w:rFonts w:ascii="宋体" w:hAnsi="宋体" w:cs="宋体"/>
                <w:color w:val="000000" w:themeColor="text1"/>
                <w:sz w:val="24"/>
                <w14:textFill>
                  <w14:solidFill>
                    <w14:schemeClr w14:val="tx1"/>
                  </w14:solidFill>
                </w14:textFill>
              </w:rPr>
            </w:pPr>
          </w:p>
        </w:tc>
        <w:tc>
          <w:tcPr>
            <w:tcW w:w="1351" w:type="dxa"/>
            <w:noWrap w:val="0"/>
            <w:vAlign w:val="center"/>
          </w:tcPr>
          <w:p w14:paraId="1A96ABBF">
            <w:pPr>
              <w:jc w:val="center"/>
              <w:rPr>
                <w:rFonts w:ascii="宋体" w:hAnsi="宋体" w:cs="宋体"/>
                <w:color w:val="000000" w:themeColor="text1"/>
                <w:sz w:val="24"/>
                <w14:textFill>
                  <w14:solidFill>
                    <w14:schemeClr w14:val="tx1"/>
                  </w14:solidFill>
                </w14:textFill>
              </w:rPr>
            </w:pPr>
          </w:p>
        </w:tc>
        <w:tc>
          <w:tcPr>
            <w:tcW w:w="2123" w:type="dxa"/>
            <w:noWrap w:val="0"/>
            <w:vAlign w:val="center"/>
          </w:tcPr>
          <w:p w14:paraId="42EA4C2C">
            <w:pPr>
              <w:jc w:val="center"/>
              <w:rPr>
                <w:rFonts w:ascii="宋体" w:hAnsi="宋体" w:cs="宋体"/>
                <w:color w:val="000000" w:themeColor="text1"/>
                <w:sz w:val="24"/>
                <w14:textFill>
                  <w14:solidFill>
                    <w14:schemeClr w14:val="tx1"/>
                  </w14:solidFill>
                </w14:textFill>
              </w:rPr>
            </w:pPr>
          </w:p>
        </w:tc>
      </w:tr>
      <w:tr w14:paraId="1A367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27" w:type="dxa"/>
            <w:noWrap w:val="0"/>
            <w:vAlign w:val="center"/>
          </w:tcPr>
          <w:p w14:paraId="34C3D850">
            <w:pPr>
              <w:jc w:val="center"/>
              <w:rPr>
                <w:rFonts w:ascii="宋体" w:hAnsi="宋体" w:cs="宋体"/>
                <w:color w:val="000000" w:themeColor="text1"/>
                <w:sz w:val="24"/>
                <w14:textFill>
                  <w14:solidFill>
                    <w14:schemeClr w14:val="tx1"/>
                  </w14:solidFill>
                </w14:textFill>
              </w:rPr>
            </w:pPr>
          </w:p>
        </w:tc>
        <w:tc>
          <w:tcPr>
            <w:tcW w:w="1350" w:type="dxa"/>
            <w:noWrap w:val="0"/>
            <w:vAlign w:val="center"/>
          </w:tcPr>
          <w:p w14:paraId="0CA9293C">
            <w:pPr>
              <w:jc w:val="center"/>
              <w:rPr>
                <w:rFonts w:ascii="宋体" w:hAnsi="宋体" w:cs="宋体"/>
                <w:color w:val="000000" w:themeColor="text1"/>
                <w:sz w:val="24"/>
                <w14:textFill>
                  <w14:solidFill>
                    <w14:schemeClr w14:val="tx1"/>
                  </w14:solidFill>
                </w14:textFill>
              </w:rPr>
            </w:pPr>
          </w:p>
        </w:tc>
        <w:tc>
          <w:tcPr>
            <w:tcW w:w="2446" w:type="dxa"/>
            <w:noWrap w:val="0"/>
            <w:vAlign w:val="center"/>
          </w:tcPr>
          <w:p w14:paraId="3CF9EEBB">
            <w:pPr>
              <w:jc w:val="center"/>
              <w:rPr>
                <w:rFonts w:ascii="宋体" w:hAnsi="宋体" w:cs="宋体"/>
                <w:color w:val="000000" w:themeColor="text1"/>
                <w:sz w:val="24"/>
                <w14:textFill>
                  <w14:solidFill>
                    <w14:schemeClr w14:val="tx1"/>
                  </w14:solidFill>
                </w14:textFill>
              </w:rPr>
            </w:pPr>
          </w:p>
        </w:tc>
        <w:tc>
          <w:tcPr>
            <w:tcW w:w="1575" w:type="dxa"/>
            <w:noWrap w:val="0"/>
            <w:vAlign w:val="center"/>
          </w:tcPr>
          <w:p w14:paraId="0C94A9F9">
            <w:pPr>
              <w:jc w:val="center"/>
              <w:rPr>
                <w:rFonts w:ascii="宋体" w:hAnsi="宋体" w:cs="宋体"/>
                <w:color w:val="000000" w:themeColor="text1"/>
                <w:sz w:val="24"/>
                <w14:textFill>
                  <w14:solidFill>
                    <w14:schemeClr w14:val="tx1"/>
                  </w14:solidFill>
                </w14:textFill>
              </w:rPr>
            </w:pPr>
          </w:p>
        </w:tc>
        <w:tc>
          <w:tcPr>
            <w:tcW w:w="1351" w:type="dxa"/>
            <w:noWrap w:val="0"/>
            <w:vAlign w:val="center"/>
          </w:tcPr>
          <w:p w14:paraId="76817125">
            <w:pPr>
              <w:jc w:val="center"/>
              <w:rPr>
                <w:rFonts w:ascii="宋体" w:hAnsi="宋体" w:cs="宋体"/>
                <w:color w:val="000000" w:themeColor="text1"/>
                <w:sz w:val="24"/>
                <w14:textFill>
                  <w14:solidFill>
                    <w14:schemeClr w14:val="tx1"/>
                  </w14:solidFill>
                </w14:textFill>
              </w:rPr>
            </w:pPr>
          </w:p>
        </w:tc>
        <w:tc>
          <w:tcPr>
            <w:tcW w:w="2123" w:type="dxa"/>
            <w:noWrap w:val="0"/>
            <w:vAlign w:val="center"/>
          </w:tcPr>
          <w:p w14:paraId="6C9D38E7">
            <w:pPr>
              <w:jc w:val="center"/>
              <w:rPr>
                <w:rFonts w:ascii="宋体" w:hAnsi="宋体" w:cs="宋体"/>
                <w:color w:val="000000" w:themeColor="text1"/>
                <w:sz w:val="24"/>
                <w14:textFill>
                  <w14:solidFill>
                    <w14:schemeClr w14:val="tx1"/>
                  </w14:solidFill>
                </w14:textFill>
              </w:rPr>
            </w:pPr>
          </w:p>
        </w:tc>
      </w:tr>
      <w:tr w14:paraId="0A1D1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27" w:type="dxa"/>
            <w:noWrap w:val="0"/>
            <w:vAlign w:val="center"/>
          </w:tcPr>
          <w:p w14:paraId="4F15014D">
            <w:pPr>
              <w:jc w:val="center"/>
              <w:rPr>
                <w:rFonts w:ascii="宋体" w:hAnsi="宋体" w:cs="宋体"/>
                <w:color w:val="000000" w:themeColor="text1"/>
                <w:sz w:val="24"/>
                <w14:textFill>
                  <w14:solidFill>
                    <w14:schemeClr w14:val="tx1"/>
                  </w14:solidFill>
                </w14:textFill>
              </w:rPr>
            </w:pPr>
          </w:p>
        </w:tc>
        <w:tc>
          <w:tcPr>
            <w:tcW w:w="1350" w:type="dxa"/>
            <w:noWrap w:val="0"/>
            <w:vAlign w:val="center"/>
          </w:tcPr>
          <w:p w14:paraId="4BD2F40F">
            <w:pPr>
              <w:jc w:val="center"/>
              <w:rPr>
                <w:rFonts w:ascii="宋体" w:hAnsi="宋体" w:cs="宋体"/>
                <w:color w:val="000000" w:themeColor="text1"/>
                <w:sz w:val="24"/>
                <w14:textFill>
                  <w14:solidFill>
                    <w14:schemeClr w14:val="tx1"/>
                  </w14:solidFill>
                </w14:textFill>
              </w:rPr>
            </w:pPr>
          </w:p>
        </w:tc>
        <w:tc>
          <w:tcPr>
            <w:tcW w:w="2446" w:type="dxa"/>
            <w:noWrap w:val="0"/>
            <w:vAlign w:val="center"/>
          </w:tcPr>
          <w:p w14:paraId="3FA4C7F4">
            <w:pPr>
              <w:jc w:val="center"/>
              <w:rPr>
                <w:rFonts w:ascii="宋体" w:hAnsi="宋体" w:cs="宋体"/>
                <w:color w:val="000000" w:themeColor="text1"/>
                <w:sz w:val="24"/>
                <w14:textFill>
                  <w14:solidFill>
                    <w14:schemeClr w14:val="tx1"/>
                  </w14:solidFill>
                </w14:textFill>
              </w:rPr>
            </w:pPr>
          </w:p>
        </w:tc>
        <w:tc>
          <w:tcPr>
            <w:tcW w:w="1575" w:type="dxa"/>
            <w:noWrap w:val="0"/>
            <w:vAlign w:val="center"/>
          </w:tcPr>
          <w:p w14:paraId="19C6EDB2">
            <w:pPr>
              <w:jc w:val="center"/>
              <w:rPr>
                <w:rFonts w:ascii="宋体" w:hAnsi="宋体" w:cs="宋体"/>
                <w:color w:val="000000" w:themeColor="text1"/>
                <w:sz w:val="24"/>
                <w14:textFill>
                  <w14:solidFill>
                    <w14:schemeClr w14:val="tx1"/>
                  </w14:solidFill>
                </w14:textFill>
              </w:rPr>
            </w:pPr>
          </w:p>
        </w:tc>
        <w:tc>
          <w:tcPr>
            <w:tcW w:w="1351" w:type="dxa"/>
            <w:noWrap w:val="0"/>
            <w:vAlign w:val="center"/>
          </w:tcPr>
          <w:p w14:paraId="485FB002">
            <w:pPr>
              <w:jc w:val="center"/>
              <w:rPr>
                <w:rFonts w:ascii="宋体" w:hAnsi="宋体" w:cs="宋体"/>
                <w:color w:val="000000" w:themeColor="text1"/>
                <w:sz w:val="24"/>
                <w14:textFill>
                  <w14:solidFill>
                    <w14:schemeClr w14:val="tx1"/>
                  </w14:solidFill>
                </w14:textFill>
              </w:rPr>
            </w:pPr>
          </w:p>
        </w:tc>
        <w:tc>
          <w:tcPr>
            <w:tcW w:w="2123" w:type="dxa"/>
            <w:noWrap w:val="0"/>
            <w:vAlign w:val="center"/>
          </w:tcPr>
          <w:p w14:paraId="7BBD963D">
            <w:pPr>
              <w:jc w:val="center"/>
              <w:rPr>
                <w:rFonts w:ascii="宋体" w:hAnsi="宋体" w:cs="宋体"/>
                <w:color w:val="000000" w:themeColor="text1"/>
                <w:sz w:val="24"/>
                <w14:textFill>
                  <w14:solidFill>
                    <w14:schemeClr w14:val="tx1"/>
                  </w14:solidFill>
                </w14:textFill>
              </w:rPr>
            </w:pPr>
          </w:p>
        </w:tc>
      </w:tr>
    </w:tbl>
    <w:p w14:paraId="29467E51">
      <w:pPr>
        <w:spacing w:line="52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注：供应商的首次响应文件中的内容与竞争性磋商文件（含竞争性磋商文件的澄清或者修改，下同）的要求不同时，逐条列在偏离表中，否则将认为供应商接受竞争性磋商文件的要求。</w:t>
      </w:r>
    </w:p>
    <w:p w14:paraId="378B9EBF">
      <w:pPr>
        <w:spacing w:line="520" w:lineRule="exact"/>
        <w:rPr>
          <w:rFonts w:ascii="宋体" w:hAnsi="宋体" w:cs="宋体"/>
          <w:color w:val="000000" w:themeColor="text1"/>
          <w:sz w:val="30"/>
          <w:szCs w:val="30"/>
          <w14:textFill>
            <w14:solidFill>
              <w14:schemeClr w14:val="tx1"/>
            </w14:solidFill>
          </w14:textFill>
        </w:rPr>
      </w:pPr>
    </w:p>
    <w:p w14:paraId="4BF2773A">
      <w:pPr>
        <w:spacing w:line="520" w:lineRule="exact"/>
        <w:ind w:right="2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供应商（电子签章）：</w:t>
      </w:r>
    </w:p>
    <w:p w14:paraId="0D6D1EB1">
      <w:pPr>
        <w:spacing w:line="520" w:lineRule="exact"/>
        <w:ind w:right="2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14:paraId="779583E7">
      <w:pPr>
        <w:rPr>
          <w:rFonts w:ascii="宋体" w:hAnsi="宋体" w:cs="宋体"/>
          <w:color w:val="000000" w:themeColor="text1"/>
          <w:sz w:val="24"/>
          <w14:textFill>
            <w14:solidFill>
              <w14:schemeClr w14:val="tx1"/>
            </w14:solidFill>
          </w14:textFill>
        </w:rPr>
      </w:pPr>
    </w:p>
    <w:p w14:paraId="05EAE7F8">
      <w:pPr>
        <w:spacing w:line="360" w:lineRule="auto"/>
        <w:rPr>
          <w:rFonts w:ascii="宋体" w:hAnsi="宋体" w:cs="宋体"/>
          <w:color w:val="000000" w:themeColor="text1"/>
          <w:sz w:val="24"/>
          <w14:textFill>
            <w14:solidFill>
              <w14:schemeClr w14:val="tx1"/>
            </w14:solidFill>
          </w14:textFill>
        </w:rPr>
      </w:pPr>
    </w:p>
    <w:p w14:paraId="1AF6173A">
      <w:pPr>
        <w:spacing w:line="360" w:lineRule="exact"/>
        <w:jc w:val="center"/>
        <w:rPr>
          <w:rFonts w:ascii="宋体" w:hAnsi="宋体" w:cs="宋体"/>
          <w:b/>
          <w:color w:val="000000" w:themeColor="text1"/>
          <w:sz w:val="36"/>
          <w14:textFill>
            <w14:solidFill>
              <w14:schemeClr w14:val="tx1"/>
            </w14:solidFill>
          </w14:textFill>
        </w:rPr>
      </w:pPr>
      <w:r>
        <w:rPr>
          <w:rFonts w:hint="eastAsia" w:ascii="宋体" w:hAnsi="宋体" w:cs="宋体"/>
          <w:b/>
          <w:color w:val="000000" w:themeColor="text1"/>
          <w:sz w:val="36"/>
          <w14:textFill>
            <w14:solidFill>
              <w14:schemeClr w14:val="tx1"/>
            </w14:solidFill>
          </w14:textFill>
        </w:rPr>
        <w:br w:type="page" w:clear="all"/>
      </w:r>
    </w:p>
    <w:p w14:paraId="1D5B2878">
      <w:pPr>
        <w:contextualSpacing/>
        <w:jc w:val="center"/>
        <w:rPr>
          <w:rFonts w:ascii="宋体" w:hAnsi="宋体" w:cs="宋体"/>
          <w:b/>
          <w:color w:val="000000" w:themeColor="text1"/>
          <w:sz w:val="36"/>
          <w14:textFill>
            <w14:solidFill>
              <w14:schemeClr w14:val="tx1"/>
            </w14:solidFill>
          </w14:textFill>
        </w:rPr>
      </w:pPr>
      <w:r>
        <w:rPr>
          <w:rFonts w:hint="eastAsia" w:ascii="宋体" w:hAnsi="宋体" w:cs="宋体"/>
          <w:b/>
          <w:color w:val="000000" w:themeColor="text1"/>
          <w:sz w:val="36"/>
          <w14:textFill>
            <w14:solidFill>
              <w14:schemeClr w14:val="tx1"/>
            </w14:solidFill>
          </w14:textFill>
        </w:rPr>
        <w:t>6、合同条款</w:t>
      </w:r>
    </w:p>
    <w:p w14:paraId="7F48AA48">
      <w:pPr>
        <w:pStyle w:val="41"/>
        <w:spacing w:after="312" w:line="520" w:lineRule="exact"/>
        <w:jc w:val="center"/>
        <w:rPr>
          <w:rFonts w:hAnsi="宋体" w:cs="宋体"/>
          <w:b/>
          <w:color w:val="000000" w:themeColor="text1"/>
          <w:sz w:val="32"/>
          <w:szCs w:val="32"/>
          <w14:textFill>
            <w14:solidFill>
              <w14:schemeClr w14:val="tx1"/>
            </w14:solidFill>
          </w14:textFill>
        </w:rPr>
      </w:pPr>
    </w:p>
    <w:p w14:paraId="56DEB331">
      <w:pPr>
        <w:pStyle w:val="42"/>
        <w:spacing w:line="360" w:lineRule="auto"/>
        <w:ind w:firstLine="442"/>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lang w:eastAsia="zh-CN"/>
          <w14:textFill>
            <w14:solidFill>
              <w14:schemeClr w14:val="tx1"/>
            </w14:solidFill>
          </w14:textFill>
        </w:rPr>
        <w:t>汉城景区管理处2025年保安服务项目</w:t>
      </w:r>
      <w:r>
        <w:rPr>
          <w:rFonts w:hint="eastAsia" w:ascii="宋体" w:hAnsi="宋体" w:cs="宋体"/>
          <w:b/>
          <w:color w:val="000000" w:themeColor="text1"/>
          <w:sz w:val="44"/>
          <w:szCs w:val="44"/>
          <w:lang w:val="en-US" w:eastAsia="zh-CN"/>
          <w14:textFill>
            <w14:solidFill>
              <w14:schemeClr w14:val="tx1"/>
            </w14:solidFill>
          </w14:textFill>
        </w:rPr>
        <w:t>项目</w:t>
      </w:r>
      <w:r>
        <w:rPr>
          <w:rFonts w:hint="eastAsia" w:ascii="宋体" w:hAnsi="宋体" w:cs="宋体"/>
          <w:b/>
          <w:color w:val="000000" w:themeColor="text1"/>
          <w:sz w:val="44"/>
          <w:szCs w:val="44"/>
          <w14:textFill>
            <w14:solidFill>
              <w14:schemeClr w14:val="tx1"/>
            </w14:solidFill>
          </w14:textFill>
        </w:rPr>
        <w:t>合同</w:t>
      </w:r>
    </w:p>
    <w:p w14:paraId="2350F975">
      <w:pPr>
        <w:pStyle w:val="42"/>
        <w:ind w:firstLine="321"/>
        <w:rPr>
          <w:rFonts w:ascii="宋体" w:hAnsi="宋体" w:cs="宋体"/>
          <w:b/>
          <w:color w:val="000000" w:themeColor="text1"/>
          <w:sz w:val="32"/>
          <w:szCs w:val="32"/>
          <w14:textFill>
            <w14:solidFill>
              <w14:schemeClr w14:val="tx1"/>
            </w14:solidFill>
          </w14:textFill>
        </w:rPr>
      </w:pPr>
    </w:p>
    <w:p w14:paraId="0C1517D2">
      <w:pPr>
        <w:pStyle w:val="42"/>
        <w:spacing w:line="360" w:lineRule="auto"/>
        <w:rPr>
          <w:rFonts w:hint="eastAsia" w:ascii="宋体" w:hAnsi="宋体" w:cs="宋体"/>
          <w:b/>
          <w:color w:val="000000" w:themeColor="text1"/>
          <w:sz w:val="30"/>
          <w:szCs w:val="30"/>
          <w14:textFill>
            <w14:solidFill>
              <w14:schemeClr w14:val="tx1"/>
            </w14:solidFill>
          </w14:textFill>
        </w:rPr>
      </w:pPr>
    </w:p>
    <w:p w14:paraId="69BB983A">
      <w:pPr>
        <w:pStyle w:val="42"/>
        <w:spacing w:line="360" w:lineRule="auto"/>
        <w:ind w:firstLine="562"/>
        <w:rPr>
          <w:rFonts w:hint="eastAsia" w:ascii="宋体" w:hAnsi="宋体" w:eastAsia="宋体" w:cs="宋体"/>
          <w:b/>
          <w:color w:val="000000" w:themeColor="text1"/>
          <w:sz w:val="30"/>
          <w:szCs w:val="30"/>
          <w:lang w:eastAsia="zh-CN"/>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项目编号：</w:t>
      </w:r>
      <w:r>
        <w:rPr>
          <w:rFonts w:hint="eastAsia" w:ascii="宋体" w:hAnsi="宋体" w:cs="宋体"/>
          <w:b/>
          <w:color w:val="000000" w:themeColor="text1"/>
          <w:sz w:val="30"/>
          <w:szCs w:val="30"/>
          <w:lang w:eastAsia="zh-CN"/>
          <w14:textFill>
            <w14:solidFill>
              <w14:schemeClr w14:val="tx1"/>
            </w14:solidFill>
          </w14:textFill>
        </w:rPr>
        <w:t>JSZC-320322-SHGC-C2025-0002</w:t>
      </w:r>
    </w:p>
    <w:p w14:paraId="3759BDAA">
      <w:pPr>
        <w:pStyle w:val="42"/>
        <w:spacing w:line="360" w:lineRule="auto"/>
        <w:ind w:firstLine="904"/>
        <w:rPr>
          <w:rFonts w:ascii="宋体" w:hAnsi="宋体" w:cs="宋体"/>
          <w:b/>
          <w:color w:val="000000" w:themeColor="text1"/>
          <w:sz w:val="30"/>
          <w:szCs w:val="30"/>
          <w14:textFill>
            <w14:solidFill>
              <w14:schemeClr w14:val="tx1"/>
            </w14:solidFill>
          </w14:textFill>
        </w:rPr>
      </w:pPr>
    </w:p>
    <w:p w14:paraId="3713FD17">
      <w:pPr>
        <w:pStyle w:val="42"/>
        <w:spacing w:line="360" w:lineRule="auto"/>
        <w:ind w:left="2102" w:hanging="1506"/>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项目名称：</w:t>
      </w:r>
      <w:r>
        <w:rPr>
          <w:rFonts w:hint="eastAsia" w:ascii="宋体" w:hAnsi="宋体" w:cs="宋体"/>
          <w:b/>
          <w:color w:val="000000" w:themeColor="text1"/>
          <w:sz w:val="30"/>
          <w:szCs w:val="30"/>
          <w:lang w:eastAsia="zh-CN"/>
          <w14:textFill>
            <w14:solidFill>
              <w14:schemeClr w14:val="tx1"/>
            </w14:solidFill>
          </w14:textFill>
        </w:rPr>
        <w:t>汉城景区管理处2025年保安服务项目</w:t>
      </w:r>
    </w:p>
    <w:p w14:paraId="69EDD760">
      <w:pPr>
        <w:pStyle w:val="42"/>
        <w:spacing w:line="360" w:lineRule="auto"/>
        <w:rPr>
          <w:rFonts w:ascii="宋体" w:hAnsi="宋体" w:cs="宋体"/>
          <w:b/>
          <w:color w:val="000000" w:themeColor="text1"/>
          <w:sz w:val="30"/>
          <w:szCs w:val="30"/>
          <w14:textFill>
            <w14:solidFill>
              <w14:schemeClr w14:val="tx1"/>
            </w14:solidFill>
          </w14:textFill>
        </w:rPr>
      </w:pPr>
    </w:p>
    <w:p w14:paraId="1FAA090C">
      <w:pPr>
        <w:pStyle w:val="42"/>
        <w:spacing w:line="360" w:lineRule="auto"/>
        <w:ind w:firstLine="562"/>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甲   方</w:t>
      </w:r>
      <w:r>
        <w:rPr>
          <w:rFonts w:hint="eastAsia" w:ascii="宋体" w:hAnsi="宋体" w:cs="宋体"/>
          <w:b/>
          <w:color w:val="000000" w:themeColor="text1"/>
          <w:sz w:val="30"/>
          <w:szCs w:val="30"/>
          <w14:textFill>
            <w14:solidFill>
              <w14:schemeClr w14:val="tx1"/>
            </w14:solidFill>
          </w14:textFill>
        </w:rPr>
        <w:t>：</w:t>
      </w:r>
      <w:r>
        <w:rPr>
          <w:rFonts w:hint="eastAsia" w:ascii="宋体" w:hAnsi="宋体" w:cs="宋体"/>
          <w:b/>
          <w:color w:val="000000" w:themeColor="text1"/>
          <w:sz w:val="30"/>
          <w:szCs w:val="30"/>
          <w:lang w:eastAsia="zh-CN"/>
          <w14:textFill>
            <w14:solidFill>
              <w14:schemeClr w14:val="tx1"/>
            </w14:solidFill>
          </w14:textFill>
        </w:rPr>
        <w:t>沛县汉城景区管理处</w:t>
      </w:r>
    </w:p>
    <w:p w14:paraId="02386CC7">
      <w:pPr>
        <w:pStyle w:val="42"/>
        <w:spacing w:line="360" w:lineRule="auto"/>
        <w:rPr>
          <w:rFonts w:ascii="宋体" w:hAnsi="宋体" w:cs="宋体"/>
          <w:b/>
          <w:color w:val="000000" w:themeColor="text1"/>
          <w:sz w:val="30"/>
          <w:szCs w:val="30"/>
          <w14:textFill>
            <w14:solidFill>
              <w14:schemeClr w14:val="tx1"/>
            </w14:solidFill>
          </w14:textFill>
        </w:rPr>
      </w:pPr>
    </w:p>
    <w:p w14:paraId="6B55B940">
      <w:pPr>
        <w:pStyle w:val="42"/>
        <w:spacing w:line="360" w:lineRule="auto"/>
        <w:ind w:firstLine="562"/>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乙   方：</w:t>
      </w:r>
    </w:p>
    <w:p w14:paraId="69891D1D">
      <w:pPr>
        <w:pStyle w:val="42"/>
        <w:spacing w:line="360" w:lineRule="auto"/>
        <w:rPr>
          <w:rFonts w:ascii="宋体" w:hAnsi="宋体" w:cs="宋体"/>
          <w:b/>
          <w:color w:val="000000" w:themeColor="text1"/>
          <w:sz w:val="30"/>
          <w:szCs w:val="30"/>
          <w14:textFill>
            <w14:solidFill>
              <w14:schemeClr w14:val="tx1"/>
            </w14:solidFill>
          </w14:textFill>
        </w:rPr>
      </w:pPr>
    </w:p>
    <w:p w14:paraId="0E8CF7F3">
      <w:pPr>
        <w:pStyle w:val="42"/>
        <w:spacing w:line="360" w:lineRule="auto"/>
        <w:ind w:firstLine="562"/>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 xml:space="preserve">签订时间：  年  月  日 </w:t>
      </w:r>
    </w:p>
    <w:p w14:paraId="4481DC80">
      <w:pPr>
        <w:pStyle w:val="42"/>
        <w:ind w:firstLine="643"/>
        <w:rPr>
          <w:rFonts w:ascii="宋体" w:hAnsi="宋体" w:cs="宋体"/>
          <w:b/>
          <w:color w:val="000000" w:themeColor="text1"/>
          <w:sz w:val="32"/>
          <w:szCs w:val="32"/>
          <w14:textFill>
            <w14:solidFill>
              <w14:schemeClr w14:val="tx1"/>
            </w14:solidFill>
          </w14:textFill>
        </w:rPr>
      </w:pPr>
    </w:p>
    <w:p w14:paraId="54B3401E">
      <w:pPr>
        <w:pStyle w:val="42"/>
        <w:ind w:firstLine="562"/>
        <w:rPr>
          <w:rFonts w:hint="eastAsia" w:ascii="宋体" w:hAnsi="宋体" w:cs="宋体"/>
          <w:b/>
          <w:color w:val="000000" w:themeColor="text1"/>
          <w:sz w:val="28"/>
          <w:szCs w:val="28"/>
          <w14:textFill>
            <w14:solidFill>
              <w14:schemeClr w14:val="tx1"/>
            </w14:solidFill>
          </w14:textFill>
        </w:rPr>
      </w:pPr>
    </w:p>
    <w:p w14:paraId="0D6211E0">
      <w:pPr>
        <w:pStyle w:val="42"/>
        <w:ind w:firstLine="562"/>
        <w:rPr>
          <w:rFonts w:hint="eastAsia" w:ascii="宋体" w:hAnsi="宋体" w:cs="宋体"/>
          <w:b/>
          <w:color w:val="000000" w:themeColor="text1"/>
          <w:sz w:val="28"/>
          <w:szCs w:val="28"/>
          <w14:textFill>
            <w14:solidFill>
              <w14:schemeClr w14:val="tx1"/>
            </w14:solidFill>
          </w14:textFill>
        </w:rPr>
      </w:pPr>
    </w:p>
    <w:p w14:paraId="3AA8BFB7">
      <w:pPr>
        <w:pStyle w:val="42"/>
        <w:ind w:firstLine="562"/>
        <w:rPr>
          <w:rFonts w:hint="eastAsia" w:ascii="宋体" w:hAnsi="宋体" w:cs="宋体"/>
          <w:b/>
          <w:color w:val="000000" w:themeColor="text1"/>
          <w:sz w:val="28"/>
          <w:szCs w:val="28"/>
          <w14:textFill>
            <w14:solidFill>
              <w14:schemeClr w14:val="tx1"/>
            </w14:solidFill>
          </w14:textFill>
        </w:rPr>
      </w:pPr>
    </w:p>
    <w:p w14:paraId="5C7CB314">
      <w:pPr>
        <w:pStyle w:val="42"/>
        <w:ind w:firstLine="562"/>
        <w:rPr>
          <w:rFonts w:hint="eastAsia" w:ascii="宋体" w:hAnsi="宋体" w:cs="宋体"/>
          <w:bCs/>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友情提醒：</w:t>
      </w:r>
      <w:r>
        <w:rPr>
          <w:rFonts w:hint="eastAsia" w:ascii="宋体" w:hAnsi="宋体" w:cs="宋体"/>
          <w:bCs/>
          <w:color w:val="000000" w:themeColor="text1"/>
          <w:sz w:val="28"/>
          <w:szCs w:val="28"/>
          <w14:textFill>
            <w14:solidFill>
              <w14:schemeClr w14:val="tx1"/>
            </w14:solidFill>
          </w14:textFill>
        </w:rPr>
        <w:t>采购人与成交供应商应当在成交通知书发出之日起三十日内，按照采购文件确定的事项签订政府采购合同。</w:t>
      </w:r>
    </w:p>
    <w:p w14:paraId="727D2233">
      <w:pPr>
        <w:pStyle w:val="42"/>
        <w:ind w:firstLine="560"/>
        <w:rPr>
          <w:rFonts w:hint="eastAsia" w:ascii="宋体" w:hAnsi="宋体" w:cs="宋体"/>
          <w:bCs/>
          <w:color w:val="000000" w:themeColor="text1"/>
          <w:sz w:val="28"/>
          <w:szCs w:val="28"/>
          <w14:textFill>
            <w14:solidFill>
              <w14:schemeClr w14:val="tx1"/>
            </w14:solidFill>
          </w14:textFill>
        </w:rPr>
        <w:sectPr>
          <w:footerReference r:id="rId9" w:type="first"/>
          <w:headerReference r:id="rId7" w:type="default"/>
          <w:footerReference r:id="rId8" w:type="default"/>
          <w:pgSz w:w="11906" w:h="16838"/>
          <w:pgMar w:top="1134" w:right="1797" w:bottom="1134" w:left="1797" w:header="851" w:footer="992" w:gutter="0"/>
          <w:cols w:space="1701" w:num="1"/>
          <w:docGrid w:linePitch="360" w:charSpace="0"/>
        </w:sectPr>
      </w:pPr>
      <w:r>
        <w:rPr>
          <w:rFonts w:hint="eastAsia" w:ascii="宋体" w:hAnsi="宋体" w:cs="宋体"/>
          <w:bCs/>
          <w:color w:val="000000" w:themeColor="text1"/>
          <w:sz w:val="28"/>
          <w:szCs w:val="28"/>
          <w14:textFill>
            <w14:solidFill>
              <w14:schemeClr w14:val="tx1"/>
            </w14:solidFill>
          </w14:textFill>
        </w:rPr>
        <w:t>采购人应当自政府采购合同签订之日起2个工作日内，将政府采购合同在省级以上人民政府财政部门指定的媒体上公告，但政府采购合同中涉及国家秘密、商业秘密的内容除外。</w:t>
      </w:r>
    </w:p>
    <w:p w14:paraId="403FCB5B">
      <w:pPr>
        <w:spacing w:line="520" w:lineRule="exact"/>
        <w:jc w:val="center"/>
        <w:rPr>
          <w:rFonts w:hint="eastAsia" w:ascii="宋体" w:hAnsi="宋体" w:eastAsia="宋体" w:cs="宋体"/>
          <w:b/>
          <w:sz w:val="52"/>
          <w:szCs w:val="52"/>
        </w:rPr>
      </w:pPr>
      <w:r>
        <w:rPr>
          <w:rFonts w:hint="eastAsia" w:ascii="宋体" w:hAnsi="宋体" w:eastAsia="宋体" w:cs="宋体"/>
          <w:b/>
          <w:sz w:val="52"/>
          <w:szCs w:val="52"/>
        </w:rPr>
        <w:t>保 安 服 务 合 同</w:t>
      </w:r>
    </w:p>
    <w:p w14:paraId="458AF9B7">
      <w:pPr>
        <w:spacing w:line="520" w:lineRule="exact"/>
        <w:jc w:val="center"/>
        <w:rPr>
          <w:rFonts w:hint="eastAsia" w:ascii="宋体" w:hAnsi="宋体" w:eastAsia="宋体" w:cs="宋体"/>
          <w:b/>
          <w:sz w:val="52"/>
          <w:szCs w:val="52"/>
        </w:rPr>
      </w:pPr>
    </w:p>
    <w:p w14:paraId="2CCEDEA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甲方（采购人）：                                 单位地址：</w:t>
      </w:r>
    </w:p>
    <w:p w14:paraId="06F53FF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乙方（供应商）：                                 单位地址：</w:t>
      </w:r>
    </w:p>
    <w:p w14:paraId="41026F9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签订日期：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签订地点：</w:t>
      </w:r>
    </w:p>
    <w:p w14:paraId="71D849DA">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宋体" w:hAnsi="宋体" w:cs="宋体"/>
          <w:sz w:val="24"/>
        </w:rPr>
      </w:pPr>
      <w:r>
        <w:rPr>
          <w:rFonts w:hint="eastAsia" w:ascii="宋体" w:hAnsi="宋体"/>
          <w:color w:val="auto"/>
          <w:sz w:val="24"/>
          <w:highlight w:val="none"/>
        </w:rPr>
        <w:t>经甲乙双方友好协商，乙方为甲方提供安保服务，乙方同意负责甲方的安全保卫工作，包括治安、保卫、防火、防盗等。经双方自愿、平等协商，达成如下协议：</w:t>
      </w:r>
      <w:r>
        <w:rPr>
          <w:rFonts w:hint="eastAsia" w:ascii="宋体" w:hAnsi="宋体" w:eastAsia="宋体" w:cs="宋体"/>
          <w:color w:val="auto"/>
          <w:sz w:val="24"/>
          <w:highlight w:val="none"/>
        </w:rPr>
        <w:t>现依照招标文件、乙方的响应文件及相关文件的内容，签订本合同书。</w:t>
      </w:r>
    </w:p>
    <w:p w14:paraId="13AEED83">
      <w:pPr>
        <w:keepNext w:val="0"/>
        <w:keepLines w:val="0"/>
        <w:pageBreakBefore w:val="0"/>
        <w:widowControl w:val="0"/>
        <w:numPr>
          <w:ilvl w:val="0"/>
          <w:numId w:val="3"/>
        </w:numPr>
        <w:tabs>
          <w:tab w:val="left" w:pos="567"/>
        </w:tabs>
        <w:kinsoku/>
        <w:wordWrap/>
        <w:overflowPunct/>
        <w:topLinePunct w:val="0"/>
        <w:autoSpaceDE/>
        <w:autoSpaceDN/>
        <w:bidi w:val="0"/>
        <w:adjustRightInd/>
        <w:snapToGrid/>
        <w:spacing w:line="400" w:lineRule="exact"/>
        <w:ind w:left="0" w:leftChars="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合同价格</w:t>
      </w:r>
    </w:p>
    <w:p w14:paraId="3D0B112D">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合同价格</w:t>
      </w:r>
      <w:r>
        <w:rPr>
          <w:rFonts w:hint="eastAsia" w:ascii="宋体" w:hAnsi="宋体" w:eastAsia="宋体" w:cs="宋体"/>
          <w:color w:val="auto"/>
          <w:sz w:val="24"/>
          <w:szCs w:val="24"/>
          <w:highlight w:val="none"/>
          <w:lang w:eastAsia="zh-CN"/>
        </w:rPr>
        <w:t>：</w:t>
      </w:r>
      <w:r>
        <w:rPr>
          <w:rFonts w:hint="eastAsia" w:ascii="宋体" w:hAnsi="宋体" w:cs="宋体"/>
          <w:sz w:val="24"/>
          <w:lang w:val="en-US" w:eastAsia="zh-CN"/>
        </w:rPr>
        <w:t xml:space="preserve">确定每名安保人员工资为 </w:t>
      </w:r>
      <w:r>
        <w:rPr>
          <w:rFonts w:hint="eastAsia" w:ascii="宋体" w:hAnsi="宋体" w:cs="宋体"/>
          <w:sz w:val="24"/>
          <w:u w:val="single"/>
          <w:lang w:val="en-US" w:eastAsia="zh-CN"/>
        </w:rPr>
        <w:t xml:space="preserve">      </w:t>
      </w:r>
      <w:r>
        <w:rPr>
          <w:rFonts w:hint="eastAsia" w:ascii="宋体" w:hAnsi="宋体" w:cs="宋体"/>
          <w:sz w:val="24"/>
          <w:lang w:val="en-US" w:eastAsia="zh-CN"/>
        </w:rPr>
        <w:t>元/月，</w:t>
      </w:r>
      <w:r>
        <w:rPr>
          <w:rFonts w:hint="eastAsia" w:ascii="宋体" w:hAnsi="宋体" w:eastAsia="宋体" w:cs="宋体"/>
          <w:color w:val="auto"/>
          <w:sz w:val="24"/>
          <w:szCs w:val="24"/>
          <w:highlight w:val="none"/>
          <w:u w:val="single"/>
        </w:rPr>
        <w:t xml:space="preserve">     </w:t>
      </w:r>
      <w:r>
        <w:rPr>
          <w:rFonts w:hint="eastAsia" w:ascii="宋体" w:hAnsi="宋体" w:cs="宋体"/>
          <w:sz w:val="24"/>
          <w:lang w:val="en-US" w:eastAsia="zh-CN"/>
        </w:rPr>
        <w:t>年</w:t>
      </w:r>
      <w:r>
        <w:rPr>
          <w:rFonts w:hint="eastAsia" w:ascii="宋体" w:hAnsi="宋体" w:eastAsia="宋体" w:cs="宋体"/>
          <w:color w:val="auto"/>
          <w:sz w:val="24"/>
          <w:szCs w:val="24"/>
          <w:highlight w:val="none"/>
          <w:u w:val="single"/>
        </w:rPr>
        <w:t xml:space="preserve">     </w:t>
      </w:r>
      <w:r>
        <w:rPr>
          <w:rFonts w:hint="eastAsia" w:ascii="宋体" w:hAnsi="宋体" w:cs="宋体"/>
          <w:sz w:val="24"/>
          <w:lang w:val="en-US" w:eastAsia="zh-CN"/>
        </w:rPr>
        <w:t xml:space="preserve">月---- </w:t>
      </w:r>
      <w:r>
        <w:rPr>
          <w:rFonts w:hint="eastAsia" w:ascii="宋体" w:hAnsi="宋体" w:eastAsia="宋体" w:cs="宋体"/>
          <w:color w:val="auto"/>
          <w:sz w:val="24"/>
          <w:szCs w:val="24"/>
          <w:highlight w:val="none"/>
          <w:u w:val="single"/>
        </w:rPr>
        <w:t xml:space="preserve">     </w:t>
      </w:r>
      <w:r>
        <w:rPr>
          <w:rFonts w:hint="eastAsia" w:ascii="宋体" w:hAnsi="宋体" w:cs="宋体"/>
          <w:sz w:val="24"/>
          <w:lang w:val="en-US" w:eastAsia="zh-CN"/>
        </w:rPr>
        <w:t>年</w:t>
      </w:r>
      <w:r>
        <w:rPr>
          <w:rFonts w:hint="eastAsia" w:ascii="宋体" w:hAnsi="宋体" w:eastAsia="宋体" w:cs="宋体"/>
          <w:color w:val="auto"/>
          <w:sz w:val="24"/>
          <w:szCs w:val="24"/>
          <w:highlight w:val="none"/>
          <w:u w:val="single"/>
        </w:rPr>
        <w:t xml:space="preserve">     </w:t>
      </w:r>
      <w:r>
        <w:rPr>
          <w:rFonts w:hint="eastAsia" w:ascii="宋体" w:hAnsi="宋体" w:cs="宋体"/>
          <w:sz w:val="24"/>
          <w:lang w:val="en-US" w:eastAsia="zh-CN"/>
        </w:rPr>
        <w:t>月，共</w:t>
      </w:r>
      <w:r>
        <w:rPr>
          <w:rFonts w:hint="eastAsia" w:ascii="宋体" w:hAnsi="宋体" w:eastAsia="宋体" w:cs="宋体"/>
          <w:color w:val="auto"/>
          <w:sz w:val="24"/>
          <w:szCs w:val="24"/>
          <w:highlight w:val="none"/>
          <w:u w:val="single"/>
        </w:rPr>
        <w:t xml:space="preserve">     </w:t>
      </w:r>
      <w:r>
        <w:rPr>
          <w:rFonts w:hint="eastAsia" w:ascii="宋体" w:hAnsi="宋体" w:cs="宋体"/>
          <w:sz w:val="24"/>
          <w:lang w:val="en-US" w:eastAsia="zh-CN"/>
        </w:rPr>
        <w:t>个月，</w:t>
      </w:r>
      <w:r>
        <w:rPr>
          <w:rFonts w:hint="eastAsia" w:ascii="宋体" w:hAnsi="宋体" w:cs="宋体"/>
          <w:b w:val="0"/>
          <w:bCs w:val="0"/>
          <w:sz w:val="24"/>
          <w:u w:val="none"/>
          <w:lang w:val="en-US" w:eastAsia="zh-CN"/>
        </w:rPr>
        <w:t>合计</w:t>
      </w:r>
      <w:r>
        <w:rPr>
          <w:rFonts w:hint="eastAsia" w:ascii="宋体" w:hAnsi="宋体" w:eastAsia="宋体" w:cs="宋体"/>
          <w:color w:val="auto"/>
          <w:sz w:val="24"/>
          <w:szCs w:val="24"/>
          <w:highlight w:val="none"/>
        </w:rPr>
        <w:t>（大写）人民币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）。合同价格包括在承包期内安保服务需要的人工、管理、通讯、服装、胸卡、设备、器材、应急服务、保险、劳保、利润、税金、政策性文件规定及合同包含的所有风险、责任等各项应有费用。</w:t>
      </w:r>
    </w:p>
    <w:p w14:paraId="7502C69B">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00" w:lineRule="exact"/>
        <w:ind w:left="0" w:leftChars="0" w:firstLine="480" w:firstLineChars="200"/>
        <w:textAlignment w:val="auto"/>
        <w:rPr>
          <w:rFonts w:ascii="宋体" w:hAnsi="宋体" w:cs="宋体"/>
          <w:sz w:val="24"/>
        </w:rPr>
      </w:pPr>
      <w:r>
        <w:rPr>
          <w:rFonts w:hint="eastAsia" w:ascii="宋体" w:hAnsi="宋体" w:cs="宋体"/>
          <w:sz w:val="24"/>
          <w:lang w:val="en-US" w:eastAsia="zh-CN"/>
        </w:rPr>
        <w:t>1.2服务人员数量：乙方提供  32 名男性安保人员为甲方提供安保服务，年龄要在18-60岁，并持有保安员证。</w:t>
      </w:r>
    </w:p>
    <w:p w14:paraId="006CF37C">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根据现行税法对甲方征收的与本合同有关的一切税费均由甲方承担；根据现行税法对乙方征收的与本合同有关的一切税费均由乙方承担。</w:t>
      </w:r>
    </w:p>
    <w:p w14:paraId="1506835C">
      <w:pPr>
        <w:keepNext w:val="0"/>
        <w:keepLines w:val="0"/>
        <w:pageBreakBefore w:val="0"/>
        <w:widowControl w:val="0"/>
        <w:numPr>
          <w:ilvl w:val="0"/>
          <w:numId w:val="3"/>
        </w:numPr>
        <w:tabs>
          <w:tab w:val="left" w:pos="567"/>
        </w:tabs>
        <w:kinsoku/>
        <w:wordWrap/>
        <w:overflowPunct/>
        <w:topLinePunct w:val="0"/>
        <w:autoSpaceDE/>
        <w:autoSpaceDN/>
        <w:bidi w:val="0"/>
        <w:adjustRightInd/>
        <w:snapToGrid/>
        <w:spacing w:line="400" w:lineRule="exact"/>
        <w:ind w:left="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服务范围</w:t>
      </w:r>
    </w:p>
    <w:p w14:paraId="1B6403CB">
      <w:pPr>
        <w:keepNext w:val="0"/>
        <w:keepLines w:val="0"/>
        <w:pageBreakBefore w:val="0"/>
        <w:widowControl w:val="0"/>
        <w:numPr>
          <w:ilvl w:val="1"/>
          <w:numId w:val="3"/>
        </w:numPr>
        <w:tabs>
          <w:tab w:val="left" w:pos="567"/>
        </w:tabs>
        <w:kinsoku/>
        <w:wordWrap/>
        <w:overflowPunct/>
        <w:topLinePunct w:val="0"/>
        <w:autoSpaceDE/>
        <w:autoSpaceDN/>
        <w:bidi w:val="0"/>
        <w:adjustRightInd/>
        <w:snapToGrid/>
        <w:spacing w:line="40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本合同项下的服务指：</w:t>
      </w:r>
      <w:r>
        <w:rPr>
          <w:rFonts w:hint="eastAsia" w:ascii="宋体" w:hAnsi="宋体" w:eastAsia="宋体" w:cs="宋体"/>
          <w:color w:val="auto"/>
          <w:sz w:val="24"/>
          <w:szCs w:val="24"/>
          <w:highlight w:val="none"/>
          <w:u w:val="single"/>
        </w:rPr>
        <w:t>安保服务</w:t>
      </w:r>
      <w:r>
        <w:rPr>
          <w:rFonts w:hint="eastAsia" w:ascii="宋体" w:hAnsi="宋体" w:eastAsia="宋体" w:cs="宋体"/>
          <w:color w:val="auto"/>
          <w:sz w:val="24"/>
          <w:szCs w:val="24"/>
          <w:highlight w:val="none"/>
        </w:rPr>
        <w:t>。</w:t>
      </w:r>
    </w:p>
    <w:p w14:paraId="4C5578CD">
      <w:pPr>
        <w:keepNext w:val="0"/>
        <w:keepLines w:val="0"/>
        <w:pageBreakBefore w:val="0"/>
        <w:widowControl w:val="0"/>
        <w:numPr>
          <w:ilvl w:val="1"/>
          <w:numId w:val="3"/>
        </w:numPr>
        <w:tabs>
          <w:tab w:val="left" w:pos="567"/>
        </w:tabs>
        <w:kinsoku/>
        <w:wordWrap/>
        <w:overflowPunct/>
        <w:topLinePunct w:val="0"/>
        <w:autoSpaceDE/>
        <w:autoSpaceDN/>
        <w:bidi w:val="0"/>
        <w:adjustRightInd/>
        <w:snapToGrid/>
        <w:spacing w:line="40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服务内容：（详见采购文件）。</w:t>
      </w:r>
    </w:p>
    <w:p w14:paraId="47E8A307">
      <w:pPr>
        <w:keepNext w:val="0"/>
        <w:keepLines w:val="0"/>
        <w:pageBreakBefore w:val="0"/>
        <w:widowControl w:val="0"/>
        <w:numPr>
          <w:ilvl w:val="1"/>
          <w:numId w:val="3"/>
        </w:numPr>
        <w:tabs>
          <w:tab w:val="left" w:pos="567"/>
        </w:tabs>
        <w:kinsoku/>
        <w:wordWrap/>
        <w:overflowPunct/>
        <w:topLinePunct w:val="0"/>
        <w:autoSpaceDE/>
        <w:autoSpaceDN/>
        <w:bidi w:val="0"/>
        <w:adjustRightInd/>
        <w:snapToGrid/>
        <w:spacing w:line="40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服务期限：（详见采购文件）。</w:t>
      </w:r>
    </w:p>
    <w:p w14:paraId="40C6B232">
      <w:pPr>
        <w:keepNext w:val="0"/>
        <w:keepLines w:val="0"/>
        <w:pageBreakBefore w:val="0"/>
        <w:widowControl w:val="0"/>
        <w:numPr>
          <w:ilvl w:val="0"/>
          <w:numId w:val="3"/>
        </w:numPr>
        <w:tabs>
          <w:tab w:val="left" w:pos="540"/>
        </w:tabs>
        <w:kinsoku/>
        <w:wordWrap/>
        <w:overflowPunct/>
        <w:topLinePunct w:val="0"/>
        <w:autoSpaceDE/>
        <w:autoSpaceDN/>
        <w:bidi w:val="0"/>
        <w:adjustRightInd/>
        <w:snapToGrid/>
        <w:spacing w:line="400" w:lineRule="exact"/>
        <w:ind w:left="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质量保证要求</w:t>
      </w:r>
    </w:p>
    <w:p w14:paraId="5183E88E">
      <w:pPr>
        <w:keepNext w:val="0"/>
        <w:keepLines w:val="0"/>
        <w:pageBreakBefore w:val="0"/>
        <w:widowControl w:val="0"/>
        <w:numPr>
          <w:ilvl w:val="1"/>
          <w:numId w:val="3"/>
        </w:numPr>
        <w:tabs>
          <w:tab w:val="left" w:pos="567"/>
        </w:tabs>
        <w:kinsoku/>
        <w:wordWrap/>
        <w:overflowPunct/>
        <w:topLinePunct w:val="0"/>
        <w:autoSpaceDE/>
        <w:autoSpaceDN/>
        <w:bidi w:val="0"/>
        <w:adjustRightInd/>
        <w:snapToGrid/>
        <w:spacing w:line="400" w:lineRule="exact"/>
        <w:ind w:left="0" w:right="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乙方应在项目实施前，详细分析在本次项目实施过程中可能存在的风险，并采取必要的风险控制措施。乙方在项目实施工作中对甲方造成的负面影响，其后果都须由乙方承担。</w:t>
      </w:r>
    </w:p>
    <w:p w14:paraId="675B6295">
      <w:pPr>
        <w:keepNext w:val="0"/>
        <w:keepLines w:val="0"/>
        <w:pageBreakBefore w:val="0"/>
        <w:widowControl w:val="0"/>
        <w:numPr>
          <w:ilvl w:val="0"/>
          <w:numId w:val="3"/>
        </w:numPr>
        <w:tabs>
          <w:tab w:val="left" w:pos="540"/>
        </w:tabs>
        <w:kinsoku/>
        <w:wordWrap/>
        <w:overflowPunct/>
        <w:topLinePunct w:val="0"/>
        <w:autoSpaceDE/>
        <w:autoSpaceDN/>
        <w:bidi w:val="0"/>
        <w:adjustRightInd/>
        <w:snapToGrid/>
        <w:spacing w:line="400" w:lineRule="exact"/>
        <w:ind w:left="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甲、乙双方的义务</w:t>
      </w:r>
    </w:p>
    <w:p w14:paraId="40E9AD0A">
      <w:pPr>
        <w:keepNext w:val="0"/>
        <w:keepLines w:val="0"/>
        <w:pageBreakBefore w:val="0"/>
        <w:widowControl w:val="0"/>
        <w:numPr>
          <w:ilvl w:val="1"/>
          <w:numId w:val="3"/>
        </w:numPr>
        <w:kinsoku/>
        <w:wordWrap/>
        <w:overflowPunct/>
        <w:topLinePunct w:val="0"/>
        <w:autoSpaceDE/>
        <w:autoSpaceDN/>
        <w:bidi w:val="0"/>
        <w:adjustRightInd/>
        <w:snapToGrid/>
        <w:spacing w:line="40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甲方有义务向乙方及时提供开展工作所必需的政策、规定、指导性文件及相关资料。</w:t>
      </w:r>
    </w:p>
    <w:p w14:paraId="59AF9736">
      <w:pPr>
        <w:keepNext w:val="0"/>
        <w:keepLines w:val="0"/>
        <w:pageBreakBefore w:val="0"/>
        <w:widowControl w:val="0"/>
        <w:numPr>
          <w:ilvl w:val="1"/>
          <w:numId w:val="3"/>
        </w:numPr>
        <w:kinsoku/>
        <w:wordWrap/>
        <w:overflowPunct/>
        <w:topLinePunct w:val="0"/>
        <w:autoSpaceDE/>
        <w:autoSpaceDN/>
        <w:bidi w:val="0"/>
        <w:adjustRightInd/>
        <w:snapToGrid/>
        <w:spacing w:line="40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乙方应当认真执行并完成安保工作，自觉接受甲方监督，乙方应当坚守工作范围的职责。</w:t>
      </w:r>
    </w:p>
    <w:p w14:paraId="19E6F8C9">
      <w:pPr>
        <w:keepNext w:val="0"/>
        <w:keepLines w:val="0"/>
        <w:pageBreakBefore w:val="0"/>
        <w:widowControl w:val="0"/>
        <w:numPr>
          <w:ilvl w:val="1"/>
          <w:numId w:val="3"/>
        </w:numPr>
        <w:kinsoku/>
        <w:wordWrap/>
        <w:overflowPunct/>
        <w:topLinePunct w:val="0"/>
        <w:autoSpaceDE/>
        <w:autoSpaceDN/>
        <w:bidi w:val="0"/>
        <w:adjustRightInd/>
        <w:snapToGrid/>
        <w:spacing w:line="40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bCs/>
          <w:color w:val="auto"/>
          <w:sz w:val="24"/>
          <w:szCs w:val="24"/>
          <w:highlight w:val="none"/>
        </w:rPr>
        <w:t>在项目实施过程中，</w:t>
      </w:r>
      <w:r>
        <w:rPr>
          <w:rFonts w:hint="eastAsia" w:ascii="宋体" w:hAnsi="宋体" w:eastAsia="宋体" w:cs="宋体"/>
          <w:bCs/>
          <w:color w:val="auto"/>
          <w:kern w:val="0"/>
          <w:sz w:val="24"/>
          <w:szCs w:val="24"/>
          <w:highlight w:val="none"/>
        </w:rPr>
        <w:t>必须按照采购文件要求及响应文件中的承诺配置本项目安保人员，</w:t>
      </w:r>
      <w:r>
        <w:rPr>
          <w:rFonts w:hint="eastAsia" w:ascii="宋体" w:hAnsi="宋体" w:eastAsia="宋体" w:cs="宋体"/>
          <w:bCs/>
          <w:color w:val="auto"/>
          <w:sz w:val="24"/>
          <w:szCs w:val="24"/>
          <w:highlight w:val="none"/>
        </w:rPr>
        <w:t>未经甲方批准，不得随意更换项目组成员。如果甲方认为安保服务人员不具备本次服务工作所需的能力，有权随时要求乙方对该成员进行更换。项目实施人员在服务期间内出现的工伤及其他意外事故，均由乙方自行负责，甲方不承担任何责任。</w:t>
      </w:r>
    </w:p>
    <w:p w14:paraId="51727102">
      <w:pPr>
        <w:keepNext w:val="0"/>
        <w:keepLines w:val="0"/>
        <w:pageBreakBefore w:val="0"/>
        <w:widowControl w:val="0"/>
        <w:numPr>
          <w:ilvl w:val="0"/>
          <w:numId w:val="3"/>
        </w:numPr>
        <w:tabs>
          <w:tab w:val="left" w:pos="540"/>
        </w:tabs>
        <w:kinsoku/>
        <w:wordWrap/>
        <w:overflowPunct/>
        <w:topLinePunct w:val="0"/>
        <w:autoSpaceDE/>
        <w:autoSpaceDN/>
        <w:bidi w:val="0"/>
        <w:adjustRightInd/>
        <w:snapToGrid/>
        <w:spacing w:line="400" w:lineRule="exact"/>
        <w:ind w:left="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合同价格支付</w:t>
      </w:r>
    </w:p>
    <w:p w14:paraId="477E3599">
      <w:pPr>
        <w:keepNext w:val="0"/>
        <w:keepLines w:val="0"/>
        <w:pageBreakBefore w:val="0"/>
        <w:widowControl w:val="0"/>
        <w:numPr>
          <w:ilvl w:val="1"/>
          <w:numId w:val="3"/>
        </w:numPr>
        <w:tabs>
          <w:tab w:val="left" w:pos="567"/>
        </w:tabs>
        <w:kinsoku/>
        <w:wordWrap/>
        <w:overflowPunct/>
        <w:topLinePunct w:val="0"/>
        <w:autoSpaceDE/>
        <w:autoSpaceDN/>
        <w:bidi w:val="0"/>
        <w:adjustRightInd/>
        <w:snapToGrid/>
        <w:spacing w:line="40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支付步骤：采购合同签订后，乙方按要求提供安保服务后甲方根据考核结果支付上月应付的服务费用。</w:t>
      </w:r>
    </w:p>
    <w:p w14:paraId="1432987A">
      <w:pPr>
        <w:keepNext w:val="0"/>
        <w:keepLines w:val="0"/>
        <w:pageBreakBefore w:val="0"/>
        <w:widowControl w:val="0"/>
        <w:numPr>
          <w:ilvl w:val="1"/>
          <w:numId w:val="3"/>
        </w:numPr>
        <w:tabs>
          <w:tab w:val="left" w:pos="567"/>
        </w:tabs>
        <w:kinsoku/>
        <w:wordWrap/>
        <w:overflowPunct/>
        <w:topLinePunct w:val="0"/>
        <w:autoSpaceDE/>
        <w:autoSpaceDN/>
        <w:bidi w:val="0"/>
        <w:adjustRightInd/>
        <w:snapToGrid/>
        <w:spacing w:line="40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甲方支付此项费用不再承担其它任何费用（包括个人），服务人员的薪金、福利、休假日补贴等由乙方付给，与甲方无关。</w:t>
      </w:r>
    </w:p>
    <w:p w14:paraId="0AB59DEE">
      <w:pPr>
        <w:keepNext w:val="0"/>
        <w:keepLines w:val="0"/>
        <w:pageBreakBefore w:val="0"/>
        <w:widowControl w:val="0"/>
        <w:numPr>
          <w:ilvl w:val="1"/>
          <w:numId w:val="3"/>
        </w:numPr>
        <w:tabs>
          <w:tab w:val="left" w:pos="567"/>
        </w:tabs>
        <w:kinsoku/>
        <w:wordWrap/>
        <w:overflowPunct/>
        <w:topLinePunct w:val="0"/>
        <w:autoSpaceDE/>
        <w:autoSpaceDN/>
        <w:bidi w:val="0"/>
        <w:adjustRightInd/>
        <w:snapToGrid/>
        <w:spacing w:line="40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乙方要求付款应提供以下资料：</w:t>
      </w:r>
    </w:p>
    <w:p w14:paraId="4542E7B6">
      <w:pPr>
        <w:keepNext w:val="0"/>
        <w:keepLines w:val="0"/>
        <w:pageBreakBefore w:val="0"/>
        <w:widowControl w:val="0"/>
        <w:numPr>
          <w:ilvl w:val="3"/>
          <w:numId w:val="4"/>
        </w:numPr>
        <w:tabs>
          <w:tab w:val="left" w:pos="1080"/>
          <w:tab w:val="clear" w:pos="2579"/>
        </w:tabs>
        <w:kinsoku/>
        <w:wordWrap/>
        <w:overflowPunct/>
        <w:topLinePunct w:val="0"/>
        <w:autoSpaceDE/>
        <w:autoSpaceDN/>
        <w:bidi w:val="0"/>
        <w:adjustRightInd/>
        <w:snapToGrid/>
        <w:spacing w:line="40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合格的发票。</w:t>
      </w:r>
    </w:p>
    <w:p w14:paraId="057437FB">
      <w:pPr>
        <w:keepNext w:val="0"/>
        <w:keepLines w:val="0"/>
        <w:pageBreakBefore w:val="0"/>
        <w:widowControl w:val="0"/>
        <w:numPr>
          <w:ilvl w:val="3"/>
          <w:numId w:val="4"/>
        </w:numPr>
        <w:tabs>
          <w:tab w:val="left" w:pos="1080"/>
          <w:tab w:val="clear" w:pos="2579"/>
        </w:tabs>
        <w:kinsoku/>
        <w:wordWrap/>
        <w:overflowPunct/>
        <w:topLinePunct w:val="0"/>
        <w:autoSpaceDE/>
        <w:autoSpaceDN/>
        <w:bidi w:val="0"/>
        <w:adjustRightInd/>
        <w:snapToGrid/>
        <w:spacing w:line="40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由甲乙双方及采购代理机构签章的《履行验收报告》。</w:t>
      </w:r>
    </w:p>
    <w:p w14:paraId="13AF193F">
      <w:pPr>
        <w:keepNext w:val="0"/>
        <w:keepLines w:val="0"/>
        <w:pageBreakBefore w:val="0"/>
        <w:widowControl w:val="0"/>
        <w:numPr>
          <w:ilvl w:val="1"/>
          <w:numId w:val="3"/>
        </w:numPr>
        <w:tabs>
          <w:tab w:val="left" w:pos="540"/>
          <w:tab w:val="left" w:pos="567"/>
        </w:tabs>
        <w:kinsoku/>
        <w:wordWrap/>
        <w:overflowPunct/>
        <w:topLinePunct w:val="0"/>
        <w:autoSpaceDE/>
        <w:autoSpaceDN/>
        <w:bidi w:val="0"/>
        <w:adjustRightInd/>
        <w:snapToGrid/>
        <w:spacing w:line="40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支付方式：银行汇票或转账。</w:t>
      </w:r>
    </w:p>
    <w:p w14:paraId="1F2DD02C">
      <w:pPr>
        <w:keepNext w:val="0"/>
        <w:keepLines w:val="0"/>
        <w:pageBreakBefore w:val="0"/>
        <w:widowControl w:val="0"/>
        <w:numPr>
          <w:ilvl w:val="0"/>
          <w:numId w:val="3"/>
        </w:numPr>
        <w:tabs>
          <w:tab w:val="left" w:pos="540"/>
        </w:tabs>
        <w:kinsoku/>
        <w:wordWrap/>
        <w:overflowPunct/>
        <w:topLinePunct w:val="0"/>
        <w:autoSpaceDE/>
        <w:autoSpaceDN/>
        <w:bidi w:val="0"/>
        <w:adjustRightInd/>
        <w:snapToGrid/>
        <w:spacing w:line="400" w:lineRule="exact"/>
        <w:ind w:left="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违约责任</w:t>
      </w:r>
    </w:p>
    <w:p w14:paraId="3555A411">
      <w:pPr>
        <w:keepNext w:val="0"/>
        <w:keepLines w:val="0"/>
        <w:pageBreakBefore w:val="0"/>
        <w:widowControl w:val="0"/>
        <w:numPr>
          <w:ilvl w:val="1"/>
          <w:numId w:val="3"/>
        </w:numPr>
        <w:tabs>
          <w:tab w:val="left" w:pos="540"/>
          <w:tab w:val="left" w:pos="567"/>
        </w:tabs>
        <w:kinsoku/>
        <w:wordWrap/>
        <w:overflowPunct/>
        <w:topLinePunct w:val="0"/>
        <w:autoSpaceDE/>
        <w:autoSpaceDN/>
        <w:bidi w:val="0"/>
        <w:adjustRightInd/>
        <w:snapToGrid/>
        <w:spacing w:line="40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甲方违约责任及违约金支付：</w:t>
      </w:r>
    </w:p>
    <w:p w14:paraId="7D501889">
      <w:pPr>
        <w:keepNext w:val="0"/>
        <w:keepLines w:val="0"/>
        <w:pageBreakBefore w:val="0"/>
        <w:widowControl w:val="0"/>
        <w:numPr>
          <w:ilvl w:val="0"/>
          <w:numId w:val="5"/>
        </w:numPr>
        <w:tabs>
          <w:tab w:val="left" w:pos="1080"/>
        </w:tabs>
        <w:kinsoku/>
        <w:wordWrap/>
        <w:overflowPunct/>
        <w:topLinePunct w:val="0"/>
        <w:autoSpaceDE/>
        <w:autoSpaceDN/>
        <w:bidi w:val="0"/>
        <w:adjustRightInd/>
        <w:snapToGrid/>
        <w:spacing w:line="40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在合同生效后，甲方无理由要求终止服务的，应向乙方偿付合同总价款的5%，作为违约金，违约金不足以补偿损失的，乙方有权要求甲方补足。</w:t>
      </w:r>
    </w:p>
    <w:p w14:paraId="787E2418">
      <w:pPr>
        <w:keepNext w:val="0"/>
        <w:keepLines w:val="0"/>
        <w:pageBreakBefore w:val="0"/>
        <w:widowControl w:val="0"/>
        <w:numPr>
          <w:ilvl w:val="0"/>
          <w:numId w:val="5"/>
        </w:numPr>
        <w:tabs>
          <w:tab w:val="left" w:pos="1080"/>
        </w:tabs>
        <w:kinsoku/>
        <w:wordWrap/>
        <w:overflowPunct/>
        <w:topLinePunct w:val="0"/>
        <w:autoSpaceDE/>
        <w:autoSpaceDN/>
        <w:bidi w:val="0"/>
        <w:adjustRightInd/>
        <w:snapToGrid/>
        <w:spacing w:line="40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甲方违反合同规定，拒绝接受乙方提供服务，应当承担乙方由此造成的损失。</w:t>
      </w:r>
    </w:p>
    <w:p w14:paraId="5FD45942">
      <w:pPr>
        <w:keepNext w:val="0"/>
        <w:keepLines w:val="0"/>
        <w:pageBreakBefore w:val="0"/>
        <w:widowControl w:val="0"/>
        <w:numPr>
          <w:ilvl w:val="1"/>
          <w:numId w:val="3"/>
        </w:numPr>
        <w:tabs>
          <w:tab w:val="left" w:pos="540"/>
          <w:tab w:val="left" w:pos="567"/>
        </w:tabs>
        <w:kinsoku/>
        <w:wordWrap/>
        <w:overflowPunct/>
        <w:topLinePunct w:val="0"/>
        <w:autoSpaceDE/>
        <w:autoSpaceDN/>
        <w:bidi w:val="0"/>
        <w:adjustRightInd/>
        <w:snapToGrid/>
        <w:spacing w:line="40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乙方违约责任及违约金支付：</w:t>
      </w:r>
    </w:p>
    <w:p w14:paraId="5ACE0D8F">
      <w:pPr>
        <w:keepNext w:val="0"/>
        <w:keepLines w:val="0"/>
        <w:pageBreakBefore w:val="0"/>
        <w:widowControl w:val="0"/>
        <w:numPr>
          <w:ilvl w:val="0"/>
          <w:numId w:val="6"/>
        </w:numPr>
        <w:tabs>
          <w:tab w:val="left" w:pos="1080"/>
        </w:tabs>
        <w:kinsoku/>
        <w:wordWrap/>
        <w:overflowPunct/>
        <w:topLinePunct w:val="0"/>
        <w:autoSpaceDE/>
        <w:autoSpaceDN/>
        <w:bidi w:val="0"/>
        <w:adjustRightInd/>
        <w:snapToGrid/>
        <w:spacing w:line="40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乙方不能提供服务的，或服务未达到本项目采购要求从而影响甲方按期正常使用的，应向甲方偿付合同总价款5%的违约金，违约金不足以补偿损失的甲方有权要求乙方补足。</w:t>
      </w:r>
    </w:p>
    <w:p w14:paraId="70A54085">
      <w:pPr>
        <w:keepNext w:val="0"/>
        <w:keepLines w:val="0"/>
        <w:pageBreakBefore w:val="0"/>
        <w:widowControl w:val="0"/>
        <w:numPr>
          <w:ilvl w:val="0"/>
          <w:numId w:val="6"/>
        </w:numPr>
        <w:tabs>
          <w:tab w:val="left" w:pos="1080"/>
        </w:tabs>
        <w:kinsoku/>
        <w:wordWrap/>
        <w:overflowPunct/>
        <w:topLinePunct w:val="0"/>
        <w:autoSpaceDE/>
        <w:autoSpaceDN/>
        <w:bidi w:val="0"/>
        <w:adjustRightInd/>
        <w:snapToGrid/>
        <w:spacing w:line="40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乙方逾期提供服务的，应与甲方和政府采购管理部门协商，甲方仍需求的，乙方应立即提供护服务按照逾期服务的每天万分之四支付逾期违约金，同时承担甲方因此遭致的损失费用。</w:t>
      </w:r>
    </w:p>
    <w:p w14:paraId="6F21C777">
      <w:pPr>
        <w:keepNext w:val="0"/>
        <w:keepLines w:val="0"/>
        <w:pageBreakBefore w:val="0"/>
        <w:widowControl w:val="0"/>
        <w:numPr>
          <w:ilvl w:val="0"/>
          <w:numId w:val="3"/>
        </w:numPr>
        <w:tabs>
          <w:tab w:val="left" w:pos="540"/>
        </w:tabs>
        <w:kinsoku/>
        <w:wordWrap/>
        <w:overflowPunct/>
        <w:topLinePunct w:val="0"/>
        <w:autoSpaceDE/>
        <w:autoSpaceDN/>
        <w:bidi w:val="0"/>
        <w:adjustRightInd/>
        <w:snapToGrid/>
        <w:spacing w:line="400" w:lineRule="exact"/>
        <w:ind w:left="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不可抗力</w:t>
      </w:r>
    </w:p>
    <w:p w14:paraId="613939D1">
      <w:pPr>
        <w:keepNext w:val="0"/>
        <w:keepLines w:val="0"/>
        <w:pageBreakBefore w:val="0"/>
        <w:widowControl w:val="0"/>
        <w:numPr>
          <w:ilvl w:val="1"/>
          <w:numId w:val="3"/>
        </w:numPr>
        <w:tabs>
          <w:tab w:val="left" w:pos="540"/>
          <w:tab w:val="left" w:pos="567"/>
        </w:tabs>
        <w:kinsoku/>
        <w:wordWrap/>
        <w:overflowPunct/>
        <w:topLinePunct w:val="0"/>
        <w:autoSpaceDE/>
        <w:autoSpaceDN/>
        <w:bidi w:val="0"/>
        <w:adjustRightInd/>
        <w:snapToGrid/>
        <w:spacing w:line="40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因不可抗力不能履行合同的，根据不可抗力的影响，部分或者全部免除责任。但合同一方延迟履行后发生不可抗力的，不能免除责任。</w:t>
      </w:r>
    </w:p>
    <w:p w14:paraId="00133061">
      <w:pPr>
        <w:keepNext w:val="0"/>
        <w:keepLines w:val="0"/>
        <w:pageBreakBefore w:val="0"/>
        <w:widowControl w:val="0"/>
        <w:numPr>
          <w:ilvl w:val="1"/>
          <w:numId w:val="3"/>
        </w:numPr>
        <w:tabs>
          <w:tab w:val="left" w:pos="540"/>
          <w:tab w:val="left" w:pos="567"/>
        </w:tabs>
        <w:kinsoku/>
        <w:wordWrap/>
        <w:overflowPunct/>
        <w:topLinePunct w:val="0"/>
        <w:autoSpaceDE/>
        <w:autoSpaceDN/>
        <w:bidi w:val="0"/>
        <w:adjustRightInd/>
        <w:snapToGrid/>
        <w:spacing w:line="40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合同一方因不可抗力不能履行合同的，应当及时通知对方，以减轻可能给对方造成的损失，并应当在合理期限内提供证明。</w:t>
      </w:r>
    </w:p>
    <w:p w14:paraId="4F01F021">
      <w:pPr>
        <w:keepNext w:val="0"/>
        <w:keepLines w:val="0"/>
        <w:pageBreakBefore w:val="0"/>
        <w:widowControl w:val="0"/>
        <w:numPr>
          <w:ilvl w:val="0"/>
          <w:numId w:val="3"/>
        </w:numPr>
        <w:tabs>
          <w:tab w:val="left" w:pos="540"/>
        </w:tabs>
        <w:kinsoku/>
        <w:wordWrap/>
        <w:overflowPunct/>
        <w:topLinePunct w:val="0"/>
        <w:autoSpaceDE/>
        <w:autoSpaceDN/>
        <w:bidi w:val="0"/>
        <w:adjustRightInd/>
        <w:snapToGrid/>
        <w:spacing w:line="400" w:lineRule="exact"/>
        <w:ind w:left="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合同修改</w:t>
      </w:r>
    </w:p>
    <w:p w14:paraId="787EDA79">
      <w:pPr>
        <w:keepNext w:val="0"/>
        <w:keepLines w:val="0"/>
        <w:pageBreakBefore w:val="0"/>
        <w:widowControl w:val="0"/>
        <w:numPr>
          <w:ilvl w:val="1"/>
          <w:numId w:val="3"/>
        </w:numPr>
        <w:tabs>
          <w:tab w:val="left" w:pos="540"/>
          <w:tab w:val="left" w:pos="567"/>
        </w:tabs>
        <w:kinsoku/>
        <w:wordWrap/>
        <w:overflowPunct/>
        <w:topLinePunct w:val="0"/>
        <w:autoSpaceDE/>
        <w:autoSpaceDN/>
        <w:bidi w:val="0"/>
        <w:adjustRightInd/>
        <w:snapToGrid/>
        <w:spacing w:line="40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甲方和乙方都不得擅自变更本合同，但合同继续履行将损害国家和社会公共利益的除外。</w:t>
      </w:r>
    </w:p>
    <w:p w14:paraId="6A6FE2D9">
      <w:pPr>
        <w:keepNext w:val="0"/>
        <w:keepLines w:val="0"/>
        <w:pageBreakBefore w:val="0"/>
        <w:widowControl w:val="0"/>
        <w:numPr>
          <w:ilvl w:val="0"/>
          <w:numId w:val="3"/>
        </w:numPr>
        <w:tabs>
          <w:tab w:val="left" w:pos="540"/>
        </w:tabs>
        <w:kinsoku/>
        <w:wordWrap/>
        <w:overflowPunct/>
        <w:topLinePunct w:val="0"/>
        <w:autoSpaceDE/>
        <w:autoSpaceDN/>
        <w:bidi w:val="0"/>
        <w:adjustRightInd/>
        <w:snapToGrid/>
        <w:spacing w:line="400" w:lineRule="exact"/>
        <w:ind w:left="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转让和分包</w:t>
      </w:r>
    </w:p>
    <w:p w14:paraId="626FD2E9">
      <w:pPr>
        <w:keepNext w:val="0"/>
        <w:keepLines w:val="0"/>
        <w:pageBreakBefore w:val="0"/>
        <w:widowControl w:val="0"/>
        <w:numPr>
          <w:ilvl w:val="1"/>
          <w:numId w:val="3"/>
        </w:numPr>
        <w:tabs>
          <w:tab w:val="left" w:pos="540"/>
          <w:tab w:val="left" w:pos="567"/>
        </w:tabs>
        <w:kinsoku/>
        <w:wordWrap/>
        <w:overflowPunct/>
        <w:topLinePunct w:val="0"/>
        <w:autoSpaceDE/>
        <w:autoSpaceDN/>
        <w:bidi w:val="0"/>
        <w:adjustRightInd/>
        <w:snapToGrid/>
        <w:spacing w:line="40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政府采购合同的部分和全部都不得转让、分包。</w:t>
      </w:r>
    </w:p>
    <w:p w14:paraId="4780128C">
      <w:pPr>
        <w:keepNext w:val="0"/>
        <w:keepLines w:val="0"/>
        <w:pageBreakBefore w:val="0"/>
        <w:widowControl w:val="0"/>
        <w:numPr>
          <w:ilvl w:val="0"/>
          <w:numId w:val="3"/>
        </w:numPr>
        <w:tabs>
          <w:tab w:val="left" w:pos="540"/>
        </w:tabs>
        <w:kinsoku/>
        <w:wordWrap/>
        <w:overflowPunct/>
        <w:topLinePunct w:val="0"/>
        <w:autoSpaceDE/>
        <w:autoSpaceDN/>
        <w:bidi w:val="0"/>
        <w:adjustRightInd/>
        <w:snapToGrid/>
        <w:spacing w:line="400" w:lineRule="exact"/>
        <w:ind w:left="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合同的解除</w:t>
      </w:r>
    </w:p>
    <w:p w14:paraId="5D4A9552">
      <w:pPr>
        <w:keepNext w:val="0"/>
        <w:keepLines w:val="0"/>
        <w:pageBreakBefore w:val="0"/>
        <w:widowControl w:val="0"/>
        <w:numPr>
          <w:ilvl w:val="1"/>
          <w:numId w:val="3"/>
        </w:numPr>
        <w:tabs>
          <w:tab w:val="left" w:pos="540"/>
          <w:tab w:val="left" w:pos="567"/>
        </w:tabs>
        <w:kinsoku/>
        <w:wordWrap/>
        <w:overflowPunct/>
        <w:topLinePunct w:val="0"/>
        <w:autoSpaceDE/>
        <w:autoSpaceDN/>
        <w:bidi w:val="0"/>
        <w:adjustRightInd/>
        <w:snapToGrid/>
        <w:spacing w:line="40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有下列情形之一，合同一方可以解除合同：</w:t>
      </w:r>
    </w:p>
    <w:p w14:paraId="2F07AD53">
      <w:pPr>
        <w:keepNext w:val="0"/>
        <w:keepLines w:val="0"/>
        <w:pageBreakBefore w:val="0"/>
        <w:widowControl w:val="0"/>
        <w:numPr>
          <w:ilvl w:val="0"/>
          <w:numId w:val="7"/>
        </w:numPr>
        <w:tabs>
          <w:tab w:val="left" w:pos="1080"/>
          <w:tab w:val="clear" w:pos="2579"/>
        </w:tabs>
        <w:kinsoku/>
        <w:wordWrap/>
        <w:overflowPunct/>
        <w:topLinePunct w:val="0"/>
        <w:autoSpaceDE/>
        <w:autoSpaceDN/>
        <w:bidi w:val="0"/>
        <w:adjustRightInd/>
        <w:snapToGrid/>
        <w:spacing w:line="40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因不可抗力致使不能实现合同目的，未受不可抗力影响的一方有权解除合同；</w:t>
      </w:r>
    </w:p>
    <w:p w14:paraId="6B307C86">
      <w:pPr>
        <w:keepNext w:val="0"/>
        <w:keepLines w:val="0"/>
        <w:pageBreakBefore w:val="0"/>
        <w:widowControl w:val="0"/>
        <w:numPr>
          <w:ilvl w:val="0"/>
          <w:numId w:val="7"/>
        </w:numPr>
        <w:tabs>
          <w:tab w:val="left" w:pos="1080"/>
          <w:tab w:val="clear" w:pos="2579"/>
        </w:tabs>
        <w:kinsoku/>
        <w:wordWrap/>
        <w:overflowPunct/>
        <w:topLinePunct w:val="0"/>
        <w:autoSpaceDE/>
        <w:autoSpaceDN/>
        <w:bidi w:val="0"/>
        <w:adjustRightInd/>
        <w:snapToGrid/>
        <w:spacing w:line="40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因合同一方违约导致合同不能履行，另一方有权解除合同。</w:t>
      </w:r>
    </w:p>
    <w:p w14:paraId="16DD59BB">
      <w:pPr>
        <w:keepNext w:val="0"/>
        <w:keepLines w:val="0"/>
        <w:pageBreakBefore w:val="0"/>
        <w:widowControl w:val="0"/>
        <w:numPr>
          <w:ilvl w:val="1"/>
          <w:numId w:val="3"/>
        </w:numPr>
        <w:tabs>
          <w:tab w:val="left" w:pos="540"/>
          <w:tab w:val="left" w:pos="567"/>
        </w:tabs>
        <w:kinsoku/>
        <w:wordWrap/>
        <w:overflowPunct/>
        <w:topLinePunct w:val="0"/>
        <w:autoSpaceDE/>
        <w:autoSpaceDN/>
        <w:bidi w:val="0"/>
        <w:adjustRightInd/>
        <w:snapToGrid/>
        <w:spacing w:line="40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有权解除合同的一方，应当在违约事实或不可抗力发生之后三十天内书面通知对方以主张解除合同，合同在书面通知到达对方时解除。</w:t>
      </w:r>
    </w:p>
    <w:p w14:paraId="5B7EAB1E">
      <w:pPr>
        <w:keepNext w:val="0"/>
        <w:keepLines w:val="0"/>
        <w:pageBreakBefore w:val="0"/>
        <w:widowControl w:val="0"/>
        <w:numPr>
          <w:ilvl w:val="0"/>
          <w:numId w:val="3"/>
        </w:numPr>
        <w:tabs>
          <w:tab w:val="left" w:pos="540"/>
        </w:tabs>
        <w:kinsoku/>
        <w:wordWrap/>
        <w:overflowPunct/>
        <w:topLinePunct w:val="0"/>
        <w:autoSpaceDE/>
        <w:autoSpaceDN/>
        <w:bidi w:val="0"/>
        <w:adjustRightInd/>
        <w:snapToGrid/>
        <w:spacing w:line="400" w:lineRule="exact"/>
        <w:ind w:left="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争议解决办法</w:t>
      </w:r>
    </w:p>
    <w:p w14:paraId="5AB3200C">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因本合同或与本合同有关的一切事项发生争议，由双方友好协商解决。协商不成的，任何一方均可选择以下方式二解决：</w:t>
      </w:r>
    </w:p>
    <w:p w14:paraId="61C33A28">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方式一：双方达成仲裁协议，向约定的仲裁委员会申请仲裁，本合同约定的仲裁委员会是合同履行地仲裁机构；</w:t>
      </w:r>
    </w:p>
    <w:p w14:paraId="0B39E80C">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方式二：向甲方所在地的人民法院起诉。</w:t>
      </w:r>
    </w:p>
    <w:p w14:paraId="56092B13">
      <w:pPr>
        <w:keepNext w:val="0"/>
        <w:keepLines w:val="0"/>
        <w:pageBreakBefore w:val="0"/>
        <w:widowControl w:val="0"/>
        <w:numPr>
          <w:ilvl w:val="0"/>
          <w:numId w:val="3"/>
        </w:numPr>
        <w:tabs>
          <w:tab w:val="left" w:pos="540"/>
        </w:tabs>
        <w:kinsoku/>
        <w:wordWrap/>
        <w:overflowPunct/>
        <w:topLinePunct w:val="0"/>
        <w:autoSpaceDE/>
        <w:autoSpaceDN/>
        <w:bidi w:val="0"/>
        <w:adjustRightInd/>
        <w:snapToGrid/>
        <w:spacing w:line="400" w:lineRule="exact"/>
        <w:ind w:left="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合同生效及其他</w:t>
      </w:r>
    </w:p>
    <w:p w14:paraId="1DFEC568">
      <w:pPr>
        <w:keepNext w:val="0"/>
        <w:keepLines w:val="0"/>
        <w:pageBreakBefore w:val="0"/>
        <w:widowControl w:val="0"/>
        <w:numPr>
          <w:ilvl w:val="1"/>
          <w:numId w:val="3"/>
        </w:numPr>
        <w:tabs>
          <w:tab w:val="left" w:pos="540"/>
          <w:tab w:val="left" w:pos="567"/>
        </w:tabs>
        <w:kinsoku/>
        <w:wordWrap/>
        <w:overflowPunct/>
        <w:topLinePunct w:val="0"/>
        <w:autoSpaceDE/>
        <w:autoSpaceDN/>
        <w:bidi w:val="0"/>
        <w:adjustRightInd/>
        <w:snapToGrid/>
        <w:spacing w:line="40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本合同经双方签字并盖公章后生效，同时由政府采购监督管理部门备案。</w:t>
      </w:r>
    </w:p>
    <w:p w14:paraId="7FA1AD40">
      <w:pPr>
        <w:keepNext w:val="0"/>
        <w:keepLines w:val="0"/>
        <w:pageBreakBefore w:val="0"/>
        <w:widowControl w:val="0"/>
        <w:numPr>
          <w:ilvl w:val="1"/>
          <w:numId w:val="3"/>
        </w:numPr>
        <w:tabs>
          <w:tab w:val="left" w:pos="540"/>
          <w:tab w:val="left" w:pos="567"/>
        </w:tabs>
        <w:kinsoku/>
        <w:wordWrap/>
        <w:overflowPunct/>
        <w:topLinePunct w:val="0"/>
        <w:autoSpaceDE/>
        <w:autoSpaceDN/>
        <w:bidi w:val="0"/>
        <w:adjustRightInd/>
        <w:snapToGrid/>
        <w:spacing w:line="40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下列文件为本合同不可分割部分：</w:t>
      </w:r>
    </w:p>
    <w:p w14:paraId="17422ACB">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成交通知书；乙方响应文件；磋商文件；乙方在磋商过程中所作的其他承诺、声明、书面澄清等。</w:t>
      </w:r>
    </w:p>
    <w:p w14:paraId="6CD59C17">
      <w:pPr>
        <w:keepNext w:val="0"/>
        <w:keepLines w:val="0"/>
        <w:pageBreakBefore w:val="0"/>
        <w:widowControl w:val="0"/>
        <w:numPr>
          <w:ilvl w:val="0"/>
          <w:numId w:val="3"/>
        </w:numPr>
        <w:tabs>
          <w:tab w:val="left" w:pos="540"/>
        </w:tabs>
        <w:kinsoku/>
        <w:wordWrap/>
        <w:overflowPunct/>
        <w:topLinePunct w:val="0"/>
        <w:autoSpaceDE/>
        <w:autoSpaceDN/>
        <w:bidi w:val="0"/>
        <w:adjustRightInd/>
        <w:snapToGrid/>
        <w:spacing w:line="400" w:lineRule="exact"/>
        <w:ind w:left="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未尽事宜</w:t>
      </w:r>
    </w:p>
    <w:p w14:paraId="34DF5E4B">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未尽事宜应按照《中华人民共和国民法典》、《中华人民共和国政府采购法》等相关法律法规之规定解释。</w:t>
      </w:r>
    </w:p>
    <w:p w14:paraId="51215344">
      <w:pPr>
        <w:keepNext w:val="0"/>
        <w:keepLines w:val="0"/>
        <w:pageBreakBefore w:val="0"/>
        <w:widowControl w:val="0"/>
        <w:numPr>
          <w:ilvl w:val="0"/>
          <w:numId w:val="3"/>
        </w:numPr>
        <w:tabs>
          <w:tab w:val="left" w:pos="540"/>
        </w:tabs>
        <w:kinsoku/>
        <w:wordWrap/>
        <w:overflowPunct/>
        <w:topLinePunct w:val="0"/>
        <w:autoSpaceDE/>
        <w:autoSpaceDN/>
        <w:bidi w:val="0"/>
        <w:adjustRightInd/>
        <w:snapToGrid/>
        <w:spacing w:line="400" w:lineRule="exact"/>
        <w:ind w:left="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附则</w:t>
      </w:r>
    </w:p>
    <w:p w14:paraId="21720FF7">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份，甲、乙方各执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份，政府采购监督管理部门备案一份，采购代理机构一份。</w:t>
      </w:r>
    </w:p>
    <w:p w14:paraId="2C7A8880">
      <w:pPr>
        <w:spacing w:line="500" w:lineRule="exact"/>
        <w:ind w:firstLine="480" w:firstLineChars="200"/>
        <w:rPr>
          <w:rFonts w:hint="eastAsia" w:ascii="宋体" w:hAnsi="宋体" w:eastAsia="宋体" w:cs="宋体"/>
          <w:color w:val="auto"/>
          <w:sz w:val="24"/>
          <w:szCs w:val="24"/>
          <w:highlight w:val="none"/>
        </w:rPr>
      </w:pPr>
    </w:p>
    <w:p w14:paraId="5A18BA16">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甲方（盖章）：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乙方（盖章）：</w:t>
      </w:r>
    </w:p>
    <w:p w14:paraId="36F86F46">
      <w:pPr>
        <w:ind w:firstLine="480" w:firstLineChars="200"/>
        <w:rPr>
          <w:rFonts w:hint="eastAsia" w:ascii="宋体" w:hAnsi="宋体" w:eastAsia="宋体" w:cs="宋体"/>
          <w:sz w:val="24"/>
          <w:szCs w:val="24"/>
        </w:rPr>
      </w:pPr>
    </w:p>
    <w:p w14:paraId="1E450465">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法定（授权）代表人（签字）：             法定（授权）代表人（签字）：</w:t>
      </w:r>
    </w:p>
    <w:p w14:paraId="233E639D">
      <w:pPr>
        <w:ind w:left="1" w:firstLine="480" w:firstLineChars="200"/>
        <w:rPr>
          <w:rFonts w:hint="eastAsia" w:ascii="宋体" w:hAnsi="宋体" w:eastAsia="宋体" w:cs="宋体"/>
          <w:sz w:val="24"/>
          <w:szCs w:val="24"/>
        </w:rPr>
      </w:pPr>
    </w:p>
    <w:p w14:paraId="26168E69">
      <w:pPr>
        <w:ind w:left="1" w:firstLine="480" w:firstLineChars="200"/>
        <w:rPr>
          <w:rFonts w:hint="eastAsia" w:ascii="宋体" w:hAnsi="宋体" w:eastAsia="宋体" w:cs="宋体"/>
          <w:sz w:val="24"/>
          <w:szCs w:val="24"/>
        </w:rPr>
      </w:pPr>
      <w:r>
        <w:rPr>
          <w:rFonts w:hint="eastAsia" w:ascii="宋体" w:hAnsi="宋体" w:eastAsia="宋体" w:cs="宋体"/>
          <w:sz w:val="24"/>
          <w:szCs w:val="24"/>
        </w:rPr>
        <w:t xml:space="preserve">电话：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电话：  </w:t>
      </w:r>
    </w:p>
    <w:p w14:paraId="5747EBE6">
      <w:pPr>
        <w:ind w:left="4748" w:leftChars="2261" w:firstLine="480" w:firstLineChars="200"/>
        <w:rPr>
          <w:rFonts w:hint="eastAsia" w:ascii="宋体" w:hAnsi="宋体" w:eastAsia="宋体" w:cs="宋体"/>
          <w:sz w:val="24"/>
          <w:szCs w:val="24"/>
        </w:rPr>
      </w:pPr>
    </w:p>
    <w:p w14:paraId="715FF6F0">
      <w:pPr>
        <w:ind w:left="4748" w:leftChars="2261" w:firstLine="480" w:firstLineChars="200"/>
        <w:rPr>
          <w:rFonts w:hint="eastAsia" w:ascii="宋体" w:hAnsi="宋体" w:eastAsia="宋体" w:cs="宋体"/>
          <w:sz w:val="24"/>
          <w:szCs w:val="24"/>
        </w:rPr>
      </w:pPr>
      <w:r>
        <w:rPr>
          <w:rFonts w:hint="eastAsia" w:ascii="宋体" w:hAnsi="宋体" w:eastAsia="宋体" w:cs="宋体"/>
          <w:sz w:val="24"/>
          <w:szCs w:val="24"/>
        </w:rPr>
        <w:t>开户行：</w:t>
      </w:r>
    </w:p>
    <w:p w14:paraId="0ED6CFF4">
      <w:pPr>
        <w:ind w:firstLine="2280" w:firstLineChars="950"/>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p>
    <w:p w14:paraId="3BD2B001">
      <w:pPr>
        <w:ind w:firstLine="5280" w:firstLineChars="2200"/>
        <w:rPr>
          <w:rFonts w:hint="eastAsia" w:ascii="宋体" w:hAnsi="宋体" w:eastAsia="宋体" w:cs="宋体"/>
          <w:sz w:val="24"/>
          <w:szCs w:val="24"/>
        </w:rPr>
      </w:pPr>
      <w:r>
        <w:rPr>
          <w:rFonts w:hint="eastAsia" w:ascii="宋体" w:hAnsi="宋体" w:eastAsia="宋体" w:cs="宋体"/>
          <w:sz w:val="24"/>
          <w:szCs w:val="24"/>
        </w:rPr>
        <w:t>帐  号：</w:t>
      </w:r>
    </w:p>
    <w:p w14:paraId="460B63AD">
      <w:pPr>
        <w:ind w:firstLine="2280" w:firstLineChars="950"/>
        <w:rPr>
          <w:rFonts w:hint="eastAsia" w:ascii="宋体" w:hAnsi="宋体" w:eastAsia="宋体" w:cs="宋体"/>
          <w:sz w:val="24"/>
          <w:szCs w:val="24"/>
        </w:rPr>
      </w:pPr>
    </w:p>
    <w:p w14:paraId="3C4519FA">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签订日期：    年     月     日  </w:t>
      </w:r>
    </w:p>
    <w:p w14:paraId="3499EFA6">
      <w:pPr>
        <w:pStyle w:val="41"/>
        <w:keepNext w:val="0"/>
        <w:keepLines w:val="0"/>
        <w:pageBreakBefore w:val="0"/>
        <w:widowControl w:val="0"/>
        <w:spacing w:line="360" w:lineRule="auto"/>
        <w:jc w:val="center"/>
        <w:rPr>
          <w:rFonts w:hint="default" w:hAnsi="宋体" w:cs="宋体"/>
          <w:b/>
          <w:color w:val="000000" w:themeColor="text1"/>
          <w:sz w:val="32"/>
          <w:szCs w:val="32"/>
          <w:lang w:val="en-US" w:eastAsia="zh-CN"/>
          <w14:textFill>
            <w14:solidFill>
              <w14:schemeClr w14:val="tx1"/>
            </w14:solidFill>
          </w14:textFill>
        </w:rPr>
      </w:pPr>
    </w:p>
    <w:p w14:paraId="44897AC9">
      <w:pPr>
        <w:pStyle w:val="41"/>
        <w:keepNext w:val="0"/>
        <w:keepLines w:val="0"/>
        <w:pageBreakBefore w:val="0"/>
        <w:widowControl w:val="0"/>
        <w:spacing w:line="360" w:lineRule="auto"/>
        <w:jc w:val="center"/>
        <w:rPr>
          <w:rFonts w:hint="default" w:hAnsi="宋体" w:cs="宋体"/>
          <w:b/>
          <w:color w:val="000000" w:themeColor="text1"/>
          <w:sz w:val="32"/>
          <w:szCs w:val="32"/>
          <w:lang w:val="en-US" w:eastAsia="zh-CN"/>
          <w14:textFill>
            <w14:solidFill>
              <w14:schemeClr w14:val="tx1"/>
            </w14:solidFill>
          </w14:textFill>
        </w:rPr>
      </w:pPr>
    </w:p>
    <w:p w14:paraId="72155F96">
      <w:pPr>
        <w:pStyle w:val="41"/>
        <w:keepNext w:val="0"/>
        <w:keepLines w:val="0"/>
        <w:pageBreakBefore w:val="0"/>
        <w:widowControl w:val="0"/>
        <w:spacing w:line="360" w:lineRule="auto"/>
        <w:jc w:val="center"/>
        <w:rPr>
          <w:rFonts w:hint="default" w:hAnsi="宋体" w:cs="宋体"/>
          <w:b/>
          <w:color w:val="000000" w:themeColor="text1"/>
          <w:sz w:val="32"/>
          <w:szCs w:val="32"/>
          <w:lang w:val="en-US" w:eastAsia="zh-CN"/>
          <w14:textFill>
            <w14:solidFill>
              <w14:schemeClr w14:val="tx1"/>
            </w14:solidFill>
          </w14:textFill>
        </w:rPr>
        <w:sectPr>
          <w:headerReference r:id="rId10" w:type="default"/>
          <w:footerReference r:id="rId11" w:type="default"/>
          <w:pgSz w:w="11906" w:h="16838"/>
          <w:pgMar w:top="1134" w:right="1797" w:bottom="1134" w:left="1797" w:header="851" w:footer="992" w:gutter="0"/>
          <w:cols w:space="1701" w:num="1"/>
          <w:titlePg/>
          <w:docGrid w:linePitch="360" w:charSpace="0"/>
        </w:sectPr>
      </w:pPr>
    </w:p>
    <w:p w14:paraId="5E60D1B5">
      <w:pPr>
        <w:pStyle w:val="41"/>
        <w:spacing w:after="312" w:line="520" w:lineRule="exact"/>
        <w:jc w:val="center"/>
        <w:rPr>
          <w:rFonts w:hAnsi="宋体" w:cs="宋体"/>
          <w:b/>
          <w:color w:val="000000" w:themeColor="text1"/>
          <w:sz w:val="36"/>
          <w14:textFill>
            <w14:solidFill>
              <w14:schemeClr w14:val="tx1"/>
            </w14:solidFill>
          </w14:textFill>
        </w:rPr>
      </w:pPr>
      <w:r>
        <w:rPr>
          <w:rFonts w:hint="eastAsia" w:hAnsi="宋体" w:cs="宋体"/>
          <w:b/>
          <w:color w:val="000000" w:themeColor="text1"/>
          <w:sz w:val="36"/>
          <w14:textFill>
            <w14:solidFill>
              <w14:schemeClr w14:val="tx1"/>
            </w14:solidFill>
          </w14:textFill>
        </w:rPr>
        <w:t>7、承诺书</w:t>
      </w:r>
    </w:p>
    <w:p w14:paraId="65BED52D">
      <w:pPr>
        <w:spacing w:line="288"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致</w:t>
      </w:r>
      <w:r>
        <w:rPr>
          <w:rFonts w:hint="eastAsia" w:ascii="宋体" w:hAnsi="宋体" w:cs="宋体"/>
          <w:b/>
          <w:bCs/>
          <w:color w:val="000000" w:themeColor="text1"/>
          <w:sz w:val="24"/>
          <w:u w:val="single"/>
          <w:lang w:eastAsia="zh-CN"/>
          <w14:textFill>
            <w14:solidFill>
              <w14:schemeClr w14:val="tx1"/>
            </w14:solidFill>
          </w14:textFill>
        </w:rPr>
        <w:t>沛县汉城景区管理处</w:t>
      </w:r>
      <w:r>
        <w:rPr>
          <w:rFonts w:hint="eastAsia" w:ascii="宋体" w:hAnsi="宋体" w:cs="宋体"/>
          <w:b/>
          <w:bCs/>
          <w:color w:val="000000" w:themeColor="text1"/>
          <w:sz w:val="24"/>
          <w14:textFill>
            <w14:solidFill>
              <w14:schemeClr w14:val="tx1"/>
            </w14:solidFill>
          </w14:textFill>
        </w:rPr>
        <w:t>：</w:t>
      </w:r>
    </w:p>
    <w:p w14:paraId="60E8D193">
      <w:pPr>
        <w:pStyle w:val="44"/>
        <w:spacing w:line="288" w:lineRule="auto"/>
        <w:ind w:firstLine="480"/>
        <w:rPr>
          <w:rFonts w:ascii="宋体" w:hAnsi="宋体" w:cs="宋体"/>
          <w:color w:val="000000" w:themeColor="text1"/>
          <w:sz w:val="24"/>
          <w:szCs w:val="24"/>
          <w14:textFill>
            <w14:solidFill>
              <w14:schemeClr w14:val="tx1"/>
            </w14:solidFill>
          </w14:textFill>
        </w:rPr>
      </w:pPr>
    </w:p>
    <w:p w14:paraId="488ACEB0">
      <w:pPr>
        <w:pStyle w:val="44"/>
        <w:spacing w:line="288"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根据贵方《</w:t>
      </w:r>
      <w:r>
        <w:rPr>
          <w:rFonts w:hint="eastAsia" w:ascii="宋体" w:hAnsi="宋体" w:cs="宋体"/>
          <w:bCs/>
          <w:color w:val="000000" w:themeColor="text1"/>
          <w:sz w:val="24"/>
          <w:szCs w:val="24"/>
          <w14:textFill>
            <w14:solidFill>
              <w14:schemeClr w14:val="tx1"/>
            </w14:solidFill>
          </w14:textFill>
        </w:rPr>
        <w:t>磋商文件</w:t>
      </w:r>
      <w:r>
        <w:rPr>
          <w:rFonts w:hint="eastAsia" w:ascii="宋体" w:hAnsi="宋体" w:cs="宋体"/>
          <w:color w:val="000000" w:themeColor="text1"/>
          <w:sz w:val="24"/>
          <w:szCs w:val="24"/>
          <w14:textFill>
            <w14:solidFill>
              <w14:schemeClr w14:val="tx1"/>
            </w14:solidFill>
          </w14:textFill>
        </w:rPr>
        <w:t>》（项目编号：</w:t>
      </w:r>
      <w:r>
        <w:rPr>
          <w:rFonts w:hint="eastAsia" w:ascii="宋体" w:hAnsi="宋体" w:cs="宋体"/>
          <w:color w:val="000000" w:themeColor="text1"/>
          <w:sz w:val="24"/>
          <w:szCs w:val="24"/>
          <w:u w:val="single"/>
          <w:lang w:eastAsia="zh-CN"/>
          <w14:textFill>
            <w14:solidFill>
              <w14:schemeClr w14:val="tx1"/>
            </w14:solidFill>
          </w14:textFill>
        </w:rPr>
        <w:t>JSZC-320322-SHGC-C2025-0002</w:t>
      </w:r>
      <w:r>
        <w:rPr>
          <w:rFonts w:hint="eastAsia" w:ascii="宋体" w:hAnsi="宋体" w:cs="宋体"/>
          <w:color w:val="000000" w:themeColor="text1"/>
          <w:sz w:val="24"/>
          <w:szCs w:val="24"/>
          <w14:textFill>
            <w14:solidFill>
              <w14:schemeClr w14:val="tx1"/>
            </w14:solidFill>
          </w14:textFill>
        </w:rPr>
        <w:t>）要求，本供应商正式提交以下首次响应文件。</w:t>
      </w:r>
    </w:p>
    <w:p w14:paraId="42B5D64E">
      <w:pPr>
        <w:pStyle w:val="44"/>
        <w:spacing w:line="288" w:lineRule="auto"/>
        <w:ind w:firstLine="480"/>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0" allowOverlap="1">
                <wp:simplePos x="0" y="0"/>
                <wp:positionH relativeFrom="column">
                  <wp:posOffset>1866900</wp:posOffset>
                </wp:positionH>
                <wp:positionV relativeFrom="paragraph">
                  <wp:posOffset>16510</wp:posOffset>
                </wp:positionV>
                <wp:extent cx="635" cy="16510"/>
                <wp:effectExtent l="0" t="0" r="0" b="0"/>
                <wp:wrapNone/>
                <wp:docPr id="7" name="直接连接符 9"/>
                <wp:cNvGraphicFramePr/>
                <a:graphic xmlns:a="http://schemas.openxmlformats.org/drawingml/2006/main">
                  <a:graphicData uri="http://schemas.microsoft.com/office/word/2010/wordprocessingShape">
                    <wps:wsp>
                      <wps:cNvCnPr/>
                      <wps:spPr bwMode="auto">
                        <a:xfrm flipV="1">
                          <a:off x="0" y="0"/>
                          <a:ext cx="635" cy="16510"/>
                        </a:xfrm>
                        <a:prstGeom prst="line">
                          <a:avLst/>
                        </a:prstGeom>
                        <a:solidFill>
                          <a:srgbClr val="FFFFFF"/>
                        </a:solidFill>
                        <a:ln>
                          <a:solidFill>
                            <a:srgbClr val="000000"/>
                          </a:solidFill>
                        </a:ln>
                      </wps:spPr>
                      <wps:bodyPr rot="0">
                        <a:noAutofit/>
                      </wps:bodyPr>
                    </wps:wsp>
                  </a:graphicData>
                </a:graphic>
              </wp:anchor>
            </w:drawing>
          </mc:Choice>
          <mc:Fallback>
            <w:pict>
              <v:line id="直接连接符 9" o:spid="_x0000_s1026" o:spt="20" style="position:absolute;left:0pt;flip:y;margin-left:147pt;margin-top:1.3pt;height:1.3pt;width:0.05pt;z-index:251660288;mso-width-relative:page;mso-height-relative:page;" fillcolor="#FFFFFF" filled="t" stroked="t" coordsize="21600,21600" o:allowincell="f" o:gfxdata="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2fvy41QAAAAcBAAAPAAAAAAAAAAEA&#10;IAAAACIAAABkcnMvZG93bnJldi54bWxQSwECFAAUAAAACACHTuJAXIMtPtkBAAC6AwAADgAAAAAA&#10;AAABACAAAAAkAQAAZHJzL2Uyb0RvYy54bWxQSwUGAAAAAAYABgBZAQAAbwUAAAAA&#10;">
                <v:fill on="t" focussize="0,0"/>
                <v:stroke color="#000000" joinstyle="round"/>
                <v:imagedata o:title=""/>
                <o:lock v:ext="edit" aspectratio="f"/>
              </v:line>
            </w:pict>
          </mc:Fallback>
        </mc:AlternateContent>
      </w:r>
      <w:r>
        <w:rPr>
          <w:rFonts w:hint="eastAsia" w:ascii="宋体" w:hAnsi="宋体" w:cs="宋体"/>
          <w:color w:val="000000" w:themeColor="text1"/>
          <w:sz w:val="24"/>
          <w:szCs w:val="24"/>
          <w14:textFill>
            <w14:solidFill>
              <w14:schemeClr w14:val="tx1"/>
            </w14:solidFill>
          </w14:textFill>
        </w:rPr>
        <w:t xml:space="preserve">（1）承诺书； </w:t>
      </w:r>
    </w:p>
    <w:p w14:paraId="160F7D18">
      <w:pPr>
        <w:pStyle w:val="44"/>
        <w:spacing w:line="288"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（2）磋商报价表； </w:t>
      </w:r>
    </w:p>
    <w:p w14:paraId="4EFCB67A">
      <w:pPr>
        <w:pStyle w:val="44"/>
        <w:spacing w:line="288"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（3）偏离表；</w:t>
      </w:r>
    </w:p>
    <w:p w14:paraId="0A8FAF53">
      <w:pPr>
        <w:pStyle w:val="44"/>
        <w:spacing w:line="288"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（4）磋商</w:t>
      </w:r>
      <w:r>
        <w:rPr>
          <w:rFonts w:hint="eastAsia" w:ascii="宋体" w:hAnsi="宋体" w:cs="宋体"/>
          <w:bCs/>
          <w:color w:val="000000" w:themeColor="text1"/>
          <w:sz w:val="24"/>
          <w:szCs w:val="24"/>
          <w14:textFill>
            <w14:solidFill>
              <w14:schemeClr w14:val="tx1"/>
            </w14:solidFill>
          </w14:textFill>
        </w:rPr>
        <w:t>文件</w:t>
      </w:r>
      <w:r>
        <w:rPr>
          <w:rFonts w:hint="eastAsia" w:ascii="宋体" w:hAnsi="宋体" w:cs="宋体"/>
          <w:color w:val="000000" w:themeColor="text1"/>
          <w:sz w:val="24"/>
          <w:szCs w:val="24"/>
          <w14:textFill>
            <w14:solidFill>
              <w14:schemeClr w14:val="tx1"/>
            </w14:solidFill>
          </w14:textFill>
        </w:rPr>
        <w:t>要求提供的其他响应文件。</w:t>
      </w:r>
    </w:p>
    <w:p w14:paraId="5690A6B9">
      <w:pPr>
        <w:pStyle w:val="44"/>
        <w:spacing w:line="288"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我单位符合《中华人民共和国政府采购法》第二十二条的规定，符合本项目供应商资格要求。</w:t>
      </w:r>
    </w:p>
    <w:p w14:paraId="64C748B3">
      <w:pPr>
        <w:pStyle w:val="44"/>
        <w:spacing w:line="288"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我单位按照磋商文件的要求编制响应文件，并对其提交的响应文件的真实性、合法性承担法律责任。</w:t>
      </w:r>
    </w:p>
    <w:p w14:paraId="0160904F">
      <w:pPr>
        <w:spacing w:line="288" w:lineRule="auto"/>
        <w:ind w:right="29"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供应商兹宣布同意如下: </w:t>
      </w:r>
    </w:p>
    <w:p w14:paraId="57D59DE3">
      <w:pPr>
        <w:pStyle w:val="44"/>
        <w:spacing w:line="288" w:lineRule="auto"/>
        <w:ind w:firstLine="480"/>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0" allowOverlap="1">
                <wp:simplePos x="0" y="0"/>
                <wp:positionH relativeFrom="column">
                  <wp:posOffset>3133725</wp:posOffset>
                </wp:positionH>
                <wp:positionV relativeFrom="paragraph">
                  <wp:posOffset>297180</wp:posOffset>
                </wp:positionV>
                <wp:extent cx="635" cy="0"/>
                <wp:effectExtent l="0" t="4445" r="0" b="5080"/>
                <wp:wrapNone/>
                <wp:docPr id="8" name="直接连接符 10"/>
                <wp:cNvGraphicFramePr/>
                <a:graphic xmlns:a="http://schemas.openxmlformats.org/drawingml/2006/main">
                  <a:graphicData uri="http://schemas.microsoft.com/office/word/2010/wordprocessingShape">
                    <wps:wsp>
                      <wps:cNvCnPr/>
                      <wps:spPr bwMode="auto">
                        <a:xfrm>
                          <a:off x="0" y="0"/>
                          <a:ext cx="635" cy="0"/>
                        </a:xfrm>
                        <a:prstGeom prst="line">
                          <a:avLst/>
                        </a:prstGeom>
                        <a:solidFill>
                          <a:srgbClr val="FFFFFF"/>
                        </a:solidFill>
                        <a:ln>
                          <a:solidFill>
                            <a:srgbClr val="000000"/>
                          </a:solidFill>
                        </a:ln>
                      </wps:spPr>
                      <wps:bodyPr rot="0">
                        <a:noAutofit/>
                      </wps:bodyPr>
                    </wps:wsp>
                  </a:graphicData>
                </a:graphic>
              </wp:anchor>
            </w:drawing>
          </mc:Choice>
          <mc:Fallback>
            <w:pict>
              <v:line id="直接连接符 10" o:spid="_x0000_s1026" o:spt="20" style="position:absolute;left:0pt;margin-left:246.75pt;margin-top:23.4pt;height:0pt;width:0.05pt;z-index:251660288;mso-width-relative:page;mso-height-relative:page;" fillcolor="#FFFFFF" filled="t" stroked="t" coordsize="21600,21600" o:allowincell="f" o:gfxdata="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YLeg81QAAAAkBAAAPAAAAAAAAAAEAIAAAACIAAABkcnMv&#10;ZG93bnJldi54bWxQSwECFAAUAAAACACHTuJALVCJD80BAACtAwAADgAAAAAAAAABACAAAAAkAQAA&#10;ZHJzL2Uyb0RvYy54bWxQSwUGAAAAAAYABgBZAQAAYwUAAAAA&#10;">
                <v:fill on="t" focussize="0,0"/>
                <v:stroke color="#00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0" allowOverlap="1">
                <wp:simplePos x="0" y="0"/>
                <wp:positionH relativeFrom="column">
                  <wp:posOffset>2800350</wp:posOffset>
                </wp:positionH>
                <wp:positionV relativeFrom="paragraph">
                  <wp:posOffset>594360</wp:posOffset>
                </wp:positionV>
                <wp:extent cx="635" cy="0"/>
                <wp:effectExtent l="0" t="4445" r="0" b="5080"/>
                <wp:wrapNone/>
                <wp:docPr id="9" name="直接连接符 11"/>
                <wp:cNvGraphicFramePr/>
                <a:graphic xmlns:a="http://schemas.openxmlformats.org/drawingml/2006/main">
                  <a:graphicData uri="http://schemas.microsoft.com/office/word/2010/wordprocessingShape">
                    <wps:wsp>
                      <wps:cNvCnPr/>
                      <wps:spPr bwMode="auto">
                        <a:xfrm>
                          <a:off x="0" y="0"/>
                          <a:ext cx="635" cy="0"/>
                        </a:xfrm>
                        <a:prstGeom prst="line">
                          <a:avLst/>
                        </a:prstGeom>
                        <a:solidFill>
                          <a:srgbClr val="FFFFFF"/>
                        </a:solidFill>
                        <a:ln>
                          <a:solidFill>
                            <a:srgbClr val="000000"/>
                          </a:solidFill>
                        </a:ln>
                      </wps:spPr>
                      <wps:bodyPr rot="0">
                        <a:noAutofit/>
                      </wps:bodyPr>
                    </wps:wsp>
                  </a:graphicData>
                </a:graphic>
              </wp:anchor>
            </w:drawing>
          </mc:Choice>
          <mc:Fallback>
            <w:pict>
              <v:line id="直接连接符 11" o:spid="_x0000_s1026" o:spt="20" style="position:absolute;left:0pt;margin-left:220.5pt;margin-top:46.8pt;height:0pt;width:0.05pt;z-index:251660288;mso-width-relative:page;mso-height-relative:page;" fillcolor="#FFFFFF" filled="t" stroked="t" coordsize="21600,21600" o:allowincell="f" o:gfxdata="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k/a6W9YAAAAJAQAADwAAAAAAAAABACAAAAAiAAAAZHJz&#10;L2Rvd25yZXYueG1sUEsBAhQAFAAAAAgAh07iQOH7+PnNAQAArQMAAA4AAAAAAAAAAQAgAAAAJQEA&#10;AGRycy9lMm9Eb2MueG1sUEsFBgAAAAAGAAYAWQEAAGQFAAAAAA==&#10;">
                <v:fill on="t" focussize="0,0"/>
                <v:stroke color="#000000" joinstyle="round"/>
                <v:imagedata o:title=""/>
                <o:lock v:ext="edit" aspectratio="f"/>
              </v:line>
            </w:pict>
          </mc:Fallback>
        </mc:AlternateContent>
      </w:r>
      <w:r>
        <w:rPr>
          <w:rFonts w:hint="eastAsia" w:ascii="宋体" w:hAnsi="宋体" w:cs="宋体"/>
          <w:color w:val="000000" w:themeColor="text1"/>
          <w:sz w:val="24"/>
          <w:szCs w:val="24"/>
          <w14:textFill>
            <w14:solidFill>
              <w14:schemeClr w14:val="tx1"/>
            </w14:solidFill>
          </w14:textFill>
        </w:rPr>
        <w:t>一、完全承担根据《磋商文件》规定完成合同的责任和义务（如有偏离，将全部填写在偏离表中）。</w:t>
      </w:r>
    </w:p>
    <w:p w14:paraId="3B0787E4">
      <w:pPr>
        <w:pStyle w:val="44"/>
        <w:spacing w:line="288" w:lineRule="auto"/>
        <w:ind w:firstLine="480"/>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0" allowOverlap="1">
                <wp:simplePos x="0" y="0"/>
                <wp:positionH relativeFrom="column">
                  <wp:posOffset>2667000</wp:posOffset>
                </wp:positionH>
                <wp:positionV relativeFrom="paragraph">
                  <wp:posOffset>247650</wp:posOffset>
                </wp:positionV>
                <wp:extent cx="635" cy="0"/>
                <wp:effectExtent l="0" t="4445" r="0" b="5080"/>
                <wp:wrapNone/>
                <wp:docPr id="10" name="直接连接符 12"/>
                <wp:cNvGraphicFramePr/>
                <a:graphic xmlns:a="http://schemas.openxmlformats.org/drawingml/2006/main">
                  <a:graphicData uri="http://schemas.microsoft.com/office/word/2010/wordprocessingShape">
                    <wps:wsp>
                      <wps:cNvCnPr/>
                      <wps:spPr bwMode="auto">
                        <a:xfrm>
                          <a:off x="0" y="0"/>
                          <a:ext cx="635" cy="0"/>
                        </a:xfrm>
                        <a:prstGeom prst="line">
                          <a:avLst/>
                        </a:prstGeom>
                        <a:solidFill>
                          <a:srgbClr val="FFFFFF"/>
                        </a:solidFill>
                        <a:ln>
                          <a:solidFill>
                            <a:srgbClr val="000000"/>
                          </a:solidFill>
                          <a:round/>
                        </a:ln>
                      </wps:spPr>
                      <wps:bodyPr rot="0">
                        <a:noAutofit/>
                      </wps:bodyPr>
                    </wps:wsp>
                  </a:graphicData>
                </a:graphic>
              </wp:anchor>
            </w:drawing>
          </mc:Choice>
          <mc:Fallback>
            <w:pict>
              <v:line id="直接连接符 12" o:spid="_x0000_s1026" o:spt="20" style="position:absolute;left:0pt;margin-left:210pt;margin-top:19.5pt;height:0pt;width:0.05pt;z-index:251660288;mso-width-relative:page;mso-height-relative:page;" fillcolor="#FFFFFF" filled="t" stroked="t" coordsize="21600,21600" o:allowincell="f" o:gfxdata="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Ho1ANUAAAAJAQAADwAAAAAAAAABACAAAAAiAAAA&#10;ZHJzL2Rvd25yZXYueG1sUEsBAhQAFAAAAAgAh07iQFZXZ3nRAQAAuAMAAA4AAAAAAAAAAQAgAAAA&#10;JAEAAGRycy9lMm9Eb2MueG1sUEsFBgAAAAAGAAYAWQEAAGcFAAAAAA==&#10;">
                <v:fill on="t" focussize="0,0"/>
                <v:stroke color="#00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0" allowOverlap="1">
                <wp:simplePos x="0" y="0"/>
                <wp:positionH relativeFrom="column">
                  <wp:posOffset>2667000</wp:posOffset>
                </wp:positionH>
                <wp:positionV relativeFrom="paragraph">
                  <wp:posOffset>247650</wp:posOffset>
                </wp:positionV>
                <wp:extent cx="635" cy="0"/>
                <wp:effectExtent l="0" t="4445" r="0" b="5080"/>
                <wp:wrapNone/>
                <wp:docPr id="11" name="直接连接符 13"/>
                <wp:cNvGraphicFramePr/>
                <a:graphic xmlns:a="http://schemas.openxmlformats.org/drawingml/2006/main">
                  <a:graphicData uri="http://schemas.microsoft.com/office/word/2010/wordprocessingShape">
                    <wps:wsp>
                      <wps:cNvCnPr/>
                      <wps:spPr bwMode="auto">
                        <a:xfrm>
                          <a:off x="0" y="0"/>
                          <a:ext cx="635" cy="0"/>
                        </a:xfrm>
                        <a:prstGeom prst="line">
                          <a:avLst/>
                        </a:prstGeom>
                        <a:solidFill>
                          <a:srgbClr val="FFFFFF"/>
                        </a:solidFill>
                        <a:ln>
                          <a:solidFill>
                            <a:srgbClr val="000000"/>
                          </a:solidFill>
                          <a:round/>
                        </a:ln>
                      </wps:spPr>
                      <wps:bodyPr rot="0">
                        <a:noAutofit/>
                      </wps:bodyPr>
                    </wps:wsp>
                  </a:graphicData>
                </a:graphic>
              </wp:anchor>
            </w:drawing>
          </mc:Choice>
          <mc:Fallback>
            <w:pict>
              <v:line id="直接连接符 13" o:spid="_x0000_s1026" o:spt="20" style="position:absolute;left:0pt;margin-left:210pt;margin-top:19.5pt;height:0pt;width:0.05pt;z-index:251660288;mso-width-relative:page;mso-height-relative:page;" fillcolor="#FFFFFF" filled="t" stroked="t" coordsize="21600,21600" o:allowincell="f" o:gfxdata="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h6NQDVAAAACQEAAA8AAAAAAAAAAQAgAAAAIgAA&#10;AGRycy9kb3ducmV2LnhtbFBLAQIUABQAAAAIAIdO4kClO0Ea0gEAALgDAAAOAAAAAAAAAAEAIAAA&#10;ACQBAABkcnMvZTJvRG9jLnhtbFBLBQYAAAAABgAGAFkBAABoBQAAAAA=&#10;">
                <v:fill on="t" focussize="0,0"/>
                <v:stroke color="#000000" joinstyle="round"/>
                <v:imagedata o:title=""/>
                <o:lock v:ext="edit" aspectratio="f"/>
              </v:line>
            </w:pict>
          </mc:Fallback>
        </mc:AlternateContent>
      </w:r>
      <w:r>
        <w:rPr>
          <w:rFonts w:hint="eastAsia" w:ascii="宋体" w:hAnsi="宋体" w:cs="宋体"/>
          <w:color w:val="000000" w:themeColor="text1"/>
          <w:sz w:val="24"/>
          <w:szCs w:val="24"/>
          <w14:textFill>
            <w14:solidFill>
              <w14:schemeClr w14:val="tx1"/>
            </w14:solidFill>
          </w14:textFill>
        </w:rPr>
        <w:t>二、保证所提供的响应文件及所有材料的真实、合法、有效，并对其负责。</w:t>
      </w:r>
    </w:p>
    <w:p w14:paraId="5D00FF85">
      <w:pPr>
        <w:spacing w:line="288"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三、已详细审核竞争性磋商文件（含竞争性磋商文件的澄清或者修改），本供应商完全理解并同意放弃对这方面不明及误解的权利。</w:t>
      </w:r>
    </w:p>
    <w:p w14:paraId="5329A669">
      <w:pPr>
        <w:spacing w:line="288" w:lineRule="auto"/>
        <w:ind w:right="29"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四、所供货物保证符合国家有关产品质量、性能和安全标准，无权利瑕疵。</w:t>
      </w:r>
    </w:p>
    <w:p w14:paraId="21EE3BC4">
      <w:pPr>
        <w:spacing w:line="288" w:lineRule="auto"/>
        <w:ind w:right="29"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五、报价有效期为30个工作日。</w:t>
      </w:r>
    </w:p>
    <w:p w14:paraId="0883C9F5">
      <w:pPr>
        <w:spacing w:line="288" w:lineRule="auto"/>
        <w:ind w:right="29"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六、同意向贵方提供贵方可能要求的与本次磋商采购有关的任何证据或资料。</w:t>
      </w:r>
    </w:p>
    <w:p w14:paraId="171D680D">
      <w:pPr>
        <w:spacing w:line="288" w:lineRule="auto"/>
        <w:ind w:right="29"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七、完全理解贵方不一定要接受最低的报价或收到的任何报价。</w:t>
      </w:r>
    </w:p>
    <w:p w14:paraId="62B0B05B">
      <w:pPr>
        <w:spacing w:line="288" w:lineRule="auto"/>
        <w:ind w:right="29"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八、采购人或采购代理机构有权将我单位本项目的《磋商报价表》和《分项价格表》予以公示，公示的方式由采购人或采购代理机构确定。</w:t>
      </w:r>
    </w:p>
    <w:p w14:paraId="7A1541DA">
      <w:pPr>
        <w:spacing w:line="288" w:lineRule="auto"/>
        <w:ind w:right="29"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九、采购人有权对供应商的响应文件的真实性进行核实，如供应商不能在采购人规定的时间内向采购人提供有效的证明文件，将被采购人视为放弃本项目中标（成交）资格。</w:t>
      </w:r>
    </w:p>
    <w:p w14:paraId="2408F681">
      <w:pPr>
        <w:spacing w:line="288" w:lineRule="auto"/>
        <w:ind w:right="29"/>
        <w:rPr>
          <w:rFonts w:ascii="宋体" w:hAnsi="宋体" w:cs="宋体"/>
          <w:color w:val="000000" w:themeColor="text1"/>
          <w:sz w:val="24"/>
          <w14:textFill>
            <w14:solidFill>
              <w14:schemeClr w14:val="tx1"/>
            </w14:solidFill>
          </w14:textFill>
        </w:rPr>
      </w:pPr>
    </w:p>
    <w:p w14:paraId="4B0D4F55">
      <w:pPr>
        <w:spacing w:line="288" w:lineRule="auto"/>
        <w:ind w:right="29"/>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供应商（电子签章）：</w:t>
      </w:r>
    </w:p>
    <w:p w14:paraId="45C6C338">
      <w:pPr>
        <w:spacing w:line="288" w:lineRule="auto"/>
        <w:rPr>
          <w:rFonts w:ascii="宋体" w:hAnsi="宋体" w:cs="宋体"/>
          <w:b/>
          <w:bCs/>
          <w:color w:val="000000" w:themeColor="text1"/>
          <w:sz w:val="24"/>
          <w14:textFill>
            <w14:solidFill>
              <w14:schemeClr w14:val="tx1"/>
            </w14:solidFill>
          </w14:textFill>
        </w:rPr>
      </w:pPr>
    </w:p>
    <w:p w14:paraId="50056F33">
      <w:pPr>
        <w:spacing w:line="288"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联系电话：</w:t>
      </w:r>
    </w:p>
    <w:p w14:paraId="51843F29">
      <w:pPr>
        <w:spacing w:line="288" w:lineRule="auto"/>
        <w:ind w:right="29"/>
        <w:rPr>
          <w:rFonts w:ascii="宋体" w:hAnsi="宋体" w:cs="宋体"/>
          <w:b/>
          <w:bCs/>
          <w:color w:val="000000" w:themeColor="text1"/>
          <w:sz w:val="24"/>
          <w14:textFill>
            <w14:solidFill>
              <w14:schemeClr w14:val="tx1"/>
            </w14:solidFill>
          </w14:textFill>
        </w:rPr>
      </w:pPr>
    </w:p>
    <w:p w14:paraId="4C5052FD">
      <w:pPr>
        <w:spacing w:line="288" w:lineRule="auto"/>
        <w:ind w:right="29"/>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日期：  年  月  日</w:t>
      </w:r>
    </w:p>
    <w:p w14:paraId="1CAF42AD">
      <w:pPr>
        <w:jc w:val="center"/>
        <w:rPr>
          <w:rFonts w:ascii="宋体" w:hAnsi="宋体" w:cs="宋体"/>
          <w:b/>
          <w:color w:val="000000" w:themeColor="text1"/>
          <w:sz w:val="36"/>
          <w14:textFill>
            <w14:solidFill>
              <w14:schemeClr w14:val="tx1"/>
            </w14:solidFill>
          </w14:textFill>
        </w:rPr>
      </w:pPr>
      <w:r>
        <w:rPr>
          <w:rFonts w:hint="eastAsia" w:ascii="宋体" w:hAnsi="宋体" w:cs="宋体"/>
          <w:b/>
          <w:bCs/>
          <w:color w:val="000000" w:themeColor="text1"/>
          <w:sz w:val="28"/>
          <w14:textFill>
            <w14:solidFill>
              <w14:schemeClr w14:val="tx1"/>
            </w14:solidFill>
          </w14:textFill>
        </w:rPr>
        <w:br w:type="page" w:clear="all"/>
      </w:r>
      <w:r>
        <w:rPr>
          <w:rFonts w:hint="eastAsia" w:ascii="宋体" w:hAnsi="宋体" w:cs="宋体"/>
          <w:b/>
          <w:color w:val="000000" w:themeColor="text1"/>
          <w:sz w:val="36"/>
          <w14:textFill>
            <w14:solidFill>
              <w14:schemeClr w14:val="tx1"/>
            </w14:solidFill>
          </w14:textFill>
        </w:rPr>
        <w:t>8、授权委托书</w:t>
      </w:r>
    </w:p>
    <w:p w14:paraId="705EBA84">
      <w:pPr>
        <w:spacing w:line="500" w:lineRule="exact"/>
        <w:rPr>
          <w:rFonts w:ascii="宋体" w:hAnsi="宋体" w:cs="宋体"/>
          <w:color w:val="000000" w:themeColor="text1"/>
          <w:sz w:val="32"/>
          <w14:textFill>
            <w14:solidFill>
              <w14:schemeClr w14:val="tx1"/>
            </w14:solidFill>
          </w14:textFill>
        </w:rPr>
      </w:pPr>
    </w:p>
    <w:p w14:paraId="5312236A">
      <w:pPr>
        <w:spacing w:line="36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委托人（全称）：</w:t>
      </w:r>
    </w:p>
    <w:p w14:paraId="6D221439">
      <w:pPr>
        <w:spacing w:line="36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地  址：</w:t>
      </w:r>
    </w:p>
    <w:p w14:paraId="2375CA24">
      <w:pPr>
        <w:spacing w:line="36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法定代表人：               </w:t>
      </w:r>
    </w:p>
    <w:p w14:paraId="44EDFC88">
      <w:pPr>
        <w:spacing w:line="36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统一社会信用代码：</w:t>
      </w:r>
    </w:p>
    <w:p w14:paraId="43F77A72">
      <w:pPr>
        <w:spacing w:line="360" w:lineRule="auto"/>
        <w:rPr>
          <w:rFonts w:ascii="宋体" w:hAnsi="宋体" w:cs="宋体"/>
          <w:color w:val="000000" w:themeColor="text1"/>
          <w:sz w:val="28"/>
          <w:szCs w:val="28"/>
          <w14:textFill>
            <w14:solidFill>
              <w14:schemeClr w14:val="tx1"/>
            </w14:solidFill>
          </w14:textFill>
        </w:rPr>
      </w:pPr>
    </w:p>
    <w:p w14:paraId="62121F38">
      <w:pPr>
        <w:spacing w:line="36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受托人：                  先生（女士）</w:t>
      </w:r>
    </w:p>
    <w:p w14:paraId="43E6E469">
      <w:pPr>
        <w:spacing w:line="36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身份证号：</w:t>
      </w:r>
    </w:p>
    <w:p w14:paraId="3A92A80F">
      <w:pPr>
        <w:spacing w:line="360" w:lineRule="auto"/>
        <w:jc w:val="center"/>
        <w:rPr>
          <w:rFonts w:ascii="宋体" w:hAnsi="宋体" w:cs="宋体"/>
          <w:color w:val="000000" w:themeColor="text1"/>
          <w:sz w:val="28"/>
          <w:szCs w:val="28"/>
          <w14:textFill>
            <w14:solidFill>
              <w14:schemeClr w14:val="tx1"/>
            </w14:solidFill>
          </w14:textFill>
        </w:rPr>
      </w:pPr>
    </w:p>
    <w:p w14:paraId="55F97CFA">
      <w:pPr>
        <w:spacing w:line="360" w:lineRule="auto"/>
        <w:ind w:firstLine="56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兹委托（</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）全权代表我企业（公司）参与</w:t>
      </w:r>
      <w:r>
        <w:rPr>
          <w:rFonts w:hint="eastAsia" w:ascii="宋体" w:hAnsi="宋体" w:cs="宋体"/>
          <w:color w:val="000000" w:themeColor="text1"/>
          <w:sz w:val="28"/>
          <w:szCs w:val="28"/>
          <w:u w:val="single"/>
          <w14:textFill>
            <w14:solidFill>
              <w14:schemeClr w14:val="tx1"/>
            </w14:solidFill>
          </w14:textFill>
        </w:rPr>
        <w:t xml:space="preserve">          项目</w:t>
      </w:r>
      <w:r>
        <w:rPr>
          <w:rFonts w:hint="eastAsia" w:ascii="宋体" w:hAnsi="宋体" w:cs="宋体"/>
          <w:color w:val="000000" w:themeColor="text1"/>
          <w:sz w:val="28"/>
          <w:szCs w:val="28"/>
          <w14:textFill>
            <w14:solidFill>
              <w14:schemeClr w14:val="tx1"/>
            </w14:solidFill>
          </w14:textFill>
        </w:rPr>
        <w:t>[项目编号：</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]的磋商活动及签订合同。（</w:t>
      </w:r>
      <w:r>
        <w:rPr>
          <w:rFonts w:hint="eastAsia" w:ascii="宋体" w:hAnsi="宋体" w:cs="宋体"/>
          <w:b/>
          <w:color w:val="000000" w:themeColor="text1"/>
          <w:sz w:val="28"/>
          <w:szCs w:val="28"/>
          <w:u w:val="single"/>
          <w:lang w:val="en-US" w:eastAsia="zh-CN"/>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）以我企业（公司）名义所为的行为及签署的文件，我企业（公司）均予以认可。有关法律责任均由我企业（公司）承担。（</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）无转委托权。</w:t>
      </w:r>
      <w:r>
        <w:rPr>
          <w:rFonts w:hint="eastAsia" w:ascii="宋体" w:hAnsi="宋体" w:cs="宋体"/>
          <w:color w:val="000000" w:themeColor="text1"/>
          <w:sz w:val="28"/>
          <w:szCs w:val="28"/>
          <w:lang w:val="en-US" w:eastAsia="zh-CN"/>
          <w14:textFill>
            <w14:solidFill>
              <w14:schemeClr w14:val="tx1"/>
            </w14:solidFill>
          </w14:textFill>
        </w:rPr>
        <w:t xml:space="preserve"> </w:t>
      </w:r>
    </w:p>
    <w:p w14:paraId="38A87254">
      <w:pPr>
        <w:spacing w:line="360" w:lineRule="auto"/>
        <w:ind w:firstLine="56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委托期限自</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日起至</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日止。</w:t>
      </w:r>
    </w:p>
    <w:p w14:paraId="279F93BE">
      <w:pPr>
        <w:spacing w:line="360" w:lineRule="auto"/>
        <w:rPr>
          <w:rFonts w:ascii="宋体" w:hAnsi="宋体" w:cs="宋体"/>
          <w:color w:val="000000" w:themeColor="text1"/>
          <w:sz w:val="28"/>
          <w:szCs w:val="28"/>
          <w14:textFill>
            <w14:solidFill>
              <w14:schemeClr w14:val="tx1"/>
            </w14:solidFill>
          </w14:textFill>
        </w:rPr>
      </w:pPr>
    </w:p>
    <w:p w14:paraId="229FB7A0">
      <w:pPr>
        <w:spacing w:line="360" w:lineRule="auto"/>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委托人（电子签章）：</w:t>
      </w:r>
    </w:p>
    <w:p w14:paraId="19FC9437">
      <w:pPr>
        <w:spacing w:line="360" w:lineRule="auto"/>
        <w:rPr>
          <w:rFonts w:ascii="宋体" w:hAnsi="宋体" w:cs="宋体"/>
          <w:b/>
          <w:bCs/>
          <w:color w:val="000000" w:themeColor="text1"/>
          <w:sz w:val="28"/>
          <w:szCs w:val="28"/>
          <w14:textFill>
            <w14:solidFill>
              <w14:schemeClr w14:val="tx1"/>
            </w14:solidFill>
          </w14:textFill>
        </w:rPr>
      </w:pPr>
    </w:p>
    <w:p w14:paraId="7B42C63E">
      <w:pPr>
        <w:spacing w:line="360" w:lineRule="auto"/>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法定代表人（签字或盖章）：</w:t>
      </w:r>
    </w:p>
    <w:p w14:paraId="136FA04E">
      <w:pPr>
        <w:spacing w:line="360" w:lineRule="auto"/>
        <w:rPr>
          <w:rFonts w:ascii="宋体" w:hAnsi="宋体" w:cs="宋体"/>
          <w:b/>
          <w:bCs/>
          <w:color w:val="000000" w:themeColor="text1"/>
          <w:sz w:val="28"/>
          <w:szCs w:val="28"/>
          <w14:textFill>
            <w14:solidFill>
              <w14:schemeClr w14:val="tx1"/>
            </w14:solidFill>
          </w14:textFill>
        </w:rPr>
      </w:pPr>
    </w:p>
    <w:p w14:paraId="0127CAD4">
      <w:pPr>
        <w:spacing w:line="360" w:lineRule="auto"/>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联系方式：</w:t>
      </w:r>
    </w:p>
    <w:p w14:paraId="3572103C">
      <w:pPr>
        <w:spacing w:line="360" w:lineRule="auto"/>
        <w:rPr>
          <w:rFonts w:ascii="宋体" w:hAnsi="宋体" w:cs="宋体"/>
          <w:b/>
          <w:bCs/>
          <w:color w:val="000000" w:themeColor="text1"/>
          <w:sz w:val="28"/>
          <w:szCs w:val="28"/>
          <w14:textFill>
            <w14:solidFill>
              <w14:schemeClr w14:val="tx1"/>
            </w14:solidFill>
          </w14:textFill>
        </w:rPr>
      </w:pPr>
    </w:p>
    <w:p w14:paraId="7555EF3A">
      <w:pPr>
        <w:spacing w:line="360" w:lineRule="auto"/>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受托人（签字或盖章）：</w:t>
      </w:r>
    </w:p>
    <w:p w14:paraId="39FAEC8F">
      <w:pPr>
        <w:spacing w:line="360" w:lineRule="auto"/>
        <w:ind w:firstLine="4575"/>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年   月   日</w:t>
      </w:r>
    </w:p>
    <w:p w14:paraId="284EB394">
      <w:pPr>
        <w:spacing w:line="360" w:lineRule="auto"/>
        <w:rPr>
          <w:rFonts w:ascii="宋体" w:hAnsi="宋体" w:cs="宋体"/>
          <w:b/>
          <w:bCs/>
          <w:color w:val="000000" w:themeColor="text1"/>
          <w:sz w:val="28"/>
          <w:szCs w:val="28"/>
          <w14:textFill>
            <w14:solidFill>
              <w14:schemeClr w14:val="tx1"/>
            </w14:solidFill>
          </w14:textFill>
        </w:rPr>
      </w:pPr>
    </w:p>
    <w:p w14:paraId="5F242C1F">
      <w:pPr>
        <w:spacing w:line="360" w:lineRule="auto"/>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(受托人身份证扫描件附后)</w:t>
      </w:r>
    </w:p>
    <w:p w14:paraId="6D92743E">
      <w:pPr>
        <w:widowControl/>
        <w:spacing w:before="100" w:beforeAutospacing="1" w:after="100" w:afterAutospacing="1" w:line="450" w:lineRule="atLeast"/>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br w:type="page" w:clear="all"/>
      </w:r>
      <w:r>
        <w:rPr>
          <w:rFonts w:hint="eastAsia" w:ascii="宋体" w:hAnsi="宋体" w:cs="宋体"/>
          <w:b/>
          <w:color w:val="000000" w:themeColor="text1"/>
          <w:sz w:val="36"/>
          <w:szCs w:val="36"/>
          <w14:textFill>
            <w14:solidFill>
              <w14:schemeClr w14:val="tx1"/>
            </w14:solidFill>
          </w14:textFill>
        </w:rPr>
        <w:t>9、中小企业声明函</w:t>
      </w:r>
    </w:p>
    <w:p w14:paraId="3A7FA446">
      <w:pPr>
        <w:spacing w:line="360" w:lineRule="auto"/>
        <w:rPr>
          <w:rFonts w:ascii="宋体" w:hAnsi="宋体" w:cs="宋体"/>
          <w:color w:val="000000" w:themeColor="text1"/>
          <w:spacing w:val="6"/>
          <w:sz w:val="28"/>
          <w:szCs w:val="28"/>
          <w:u w:val="single"/>
          <w14:textFill>
            <w14:solidFill>
              <w14:schemeClr w14:val="tx1"/>
            </w14:solidFill>
          </w14:textFill>
        </w:rPr>
      </w:pPr>
      <w:r>
        <w:rPr>
          <w:rFonts w:hint="eastAsia" w:ascii="宋体" w:hAnsi="宋体" w:cs="宋体"/>
          <w:color w:val="000000" w:themeColor="text1"/>
          <w:spacing w:val="6"/>
          <w:sz w:val="28"/>
          <w:szCs w:val="28"/>
          <w14:textFill>
            <w14:solidFill>
              <w14:schemeClr w14:val="tx1"/>
            </w14:solidFill>
          </w14:textFill>
        </w:rPr>
        <w:t>项目编号：</w:t>
      </w:r>
      <w:r>
        <w:rPr>
          <w:rFonts w:hint="eastAsia" w:ascii="宋体" w:hAnsi="宋体" w:cs="宋体"/>
          <w:color w:val="000000" w:themeColor="text1"/>
          <w:spacing w:val="6"/>
          <w:sz w:val="28"/>
          <w:szCs w:val="28"/>
          <w:u w:val="single"/>
          <w14:textFill>
            <w14:solidFill>
              <w14:schemeClr w14:val="tx1"/>
            </w14:solidFill>
          </w14:textFill>
        </w:rPr>
        <w:t xml:space="preserve">               </w:t>
      </w:r>
    </w:p>
    <w:p w14:paraId="3537D8D3">
      <w:pPr>
        <w:spacing w:line="360" w:lineRule="auto"/>
        <w:rPr>
          <w:rFonts w:ascii="宋体" w:hAnsi="宋体" w:cs="宋体"/>
          <w:color w:val="000000" w:themeColor="text1"/>
          <w:spacing w:val="6"/>
          <w:sz w:val="28"/>
          <w:szCs w:val="28"/>
          <w:u w:val="single"/>
          <w14:textFill>
            <w14:solidFill>
              <w14:schemeClr w14:val="tx1"/>
            </w14:solidFill>
          </w14:textFill>
        </w:rPr>
      </w:pPr>
      <w:r>
        <w:rPr>
          <w:rFonts w:hint="eastAsia" w:ascii="宋体" w:hAnsi="宋体" w:cs="宋体"/>
          <w:color w:val="000000" w:themeColor="text1"/>
          <w:spacing w:val="6"/>
          <w:sz w:val="28"/>
          <w:szCs w:val="28"/>
          <w14:textFill>
            <w14:solidFill>
              <w14:schemeClr w14:val="tx1"/>
            </w14:solidFill>
          </w14:textFill>
        </w:rPr>
        <w:t>项目名称：</w:t>
      </w:r>
      <w:r>
        <w:rPr>
          <w:rFonts w:hint="eastAsia" w:ascii="宋体" w:hAnsi="宋体" w:cs="宋体"/>
          <w:color w:val="000000" w:themeColor="text1"/>
          <w:spacing w:val="6"/>
          <w:sz w:val="28"/>
          <w:szCs w:val="28"/>
          <w:u w:val="single"/>
          <w14:textFill>
            <w14:solidFill>
              <w14:schemeClr w14:val="tx1"/>
            </w14:solidFill>
          </w14:textFill>
        </w:rPr>
        <w:t xml:space="preserve">               </w:t>
      </w:r>
    </w:p>
    <w:p w14:paraId="3D6F44A4">
      <w:pPr>
        <w:spacing w:line="360" w:lineRule="auto"/>
        <w:ind w:firstLine="560"/>
        <w:rPr>
          <w:rFonts w:ascii="宋体" w:hAnsi="宋体" w:cs="宋体"/>
          <w:color w:val="000000" w:themeColor="text1"/>
          <w:sz w:val="28"/>
          <w:szCs w:val="28"/>
          <w14:textFill>
            <w14:solidFill>
              <w14:schemeClr w14:val="tx1"/>
            </w14:solidFill>
          </w14:textFill>
        </w:rPr>
      </w:pPr>
    </w:p>
    <w:p w14:paraId="4E69CAE7">
      <w:pPr>
        <w:spacing w:line="360" w:lineRule="auto"/>
        <w:ind w:firstLine="56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本公司郑重声明，根据《政府采购促进中小企业发展管理办法》（财库﹝2020﹞46 号）的</w:t>
      </w:r>
      <w:r>
        <w:rPr>
          <w:rFonts w:hint="eastAsia" w:ascii="宋体" w:hAnsi="宋体" w:cs="宋体"/>
          <w:color w:val="000000" w:themeColor="text1"/>
          <w:sz w:val="28"/>
          <w:szCs w:val="28"/>
          <w:highlight w:val="none"/>
          <w14:textFill>
            <w14:solidFill>
              <w14:schemeClr w14:val="tx1"/>
            </w14:solidFill>
          </w14:textFill>
        </w:rPr>
        <w:t>规定，本公司参加</w:t>
      </w:r>
      <w:r>
        <w:rPr>
          <w:rFonts w:hint="eastAsia" w:ascii="宋体" w:hAnsi="宋体" w:cs="宋体"/>
          <w:color w:val="000000" w:themeColor="text1"/>
          <w:sz w:val="28"/>
          <w:szCs w:val="28"/>
          <w:highlight w:val="none"/>
          <w:u w:val="single"/>
          <w14:textFill>
            <w14:solidFill>
              <w14:schemeClr w14:val="tx1"/>
            </w14:solidFill>
          </w14:textFill>
        </w:rPr>
        <w:t>（</w:t>
      </w:r>
      <w:r>
        <w:rPr>
          <w:rFonts w:hint="eastAsia" w:ascii="宋体" w:hAnsi="宋体" w:cs="宋体"/>
          <w:color w:val="000000" w:themeColor="text1"/>
          <w:sz w:val="28"/>
          <w:szCs w:val="28"/>
          <w:highlight w:val="none"/>
          <w:u w:val="single"/>
          <w:lang w:eastAsia="zh-CN"/>
          <w14:textFill>
            <w14:solidFill>
              <w14:schemeClr w14:val="tx1"/>
            </w14:solidFill>
          </w14:textFill>
        </w:rPr>
        <w:t>沛县汉城景区管理处</w:t>
      </w:r>
      <w:r>
        <w:rPr>
          <w:rFonts w:hint="eastAsia" w:ascii="宋体" w:hAnsi="宋体" w:cs="宋体"/>
          <w:color w:val="000000" w:themeColor="text1"/>
          <w:sz w:val="28"/>
          <w:szCs w:val="28"/>
          <w:highlight w:val="none"/>
          <w:u w:val="single"/>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的</w:t>
      </w:r>
      <w:r>
        <w:rPr>
          <w:rFonts w:hint="eastAsia" w:ascii="宋体" w:hAnsi="宋体" w:cs="宋体"/>
          <w:color w:val="000000" w:themeColor="text1"/>
          <w:sz w:val="28"/>
          <w:szCs w:val="28"/>
          <w:highlight w:val="none"/>
          <w:u w:val="single"/>
          <w14:textFill>
            <w14:solidFill>
              <w14:schemeClr w14:val="tx1"/>
            </w14:solidFill>
          </w14:textFill>
        </w:rPr>
        <w:t>（</w:t>
      </w:r>
      <w:r>
        <w:rPr>
          <w:rFonts w:hint="eastAsia" w:ascii="宋体" w:hAnsi="宋体" w:cs="宋体"/>
          <w:color w:val="000000" w:themeColor="text1"/>
          <w:sz w:val="28"/>
          <w:szCs w:val="28"/>
          <w:highlight w:val="none"/>
          <w:u w:val="single"/>
          <w:lang w:eastAsia="zh-CN"/>
          <w14:textFill>
            <w14:solidFill>
              <w14:schemeClr w14:val="tx1"/>
            </w14:solidFill>
          </w14:textFill>
        </w:rPr>
        <w:t>汉城景区管理处2025年保安服务项目</w:t>
      </w:r>
      <w:r>
        <w:rPr>
          <w:rFonts w:hint="eastAsia" w:ascii="宋体" w:hAnsi="宋体" w:cs="宋体"/>
          <w:color w:val="000000" w:themeColor="text1"/>
          <w:sz w:val="28"/>
          <w:szCs w:val="28"/>
          <w:highlight w:val="none"/>
          <w:u w:val="single"/>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采</w:t>
      </w:r>
      <w:r>
        <w:rPr>
          <w:rFonts w:hint="eastAsia" w:ascii="宋体" w:hAnsi="宋体" w:cs="宋体"/>
          <w:color w:val="000000" w:themeColor="text1"/>
          <w:sz w:val="28"/>
          <w:szCs w:val="28"/>
          <w14:textFill>
            <w14:solidFill>
              <w14:schemeClr w14:val="tx1"/>
            </w14:solidFill>
          </w14:textFill>
        </w:rPr>
        <w:t>购活动，服务全部由符合政策要求的中小企业承接。相关企业的具体情况如下：</w:t>
      </w:r>
    </w:p>
    <w:p w14:paraId="2541BB79">
      <w:pPr>
        <w:spacing w:line="360" w:lineRule="auto"/>
        <w:ind w:firstLine="560"/>
        <w:rPr>
          <w:rFonts w:ascii="宋体" w:hAnsi="宋体" w:cs="宋体"/>
          <w:b/>
          <w:color w:val="000000" w:themeColor="text1"/>
          <w:spacing w:val="6"/>
          <w:sz w:val="28"/>
          <w:szCs w:val="28"/>
          <w14:textFill>
            <w14:solidFill>
              <w14:schemeClr w14:val="tx1"/>
            </w14:solidFill>
          </w14:textFill>
        </w:rPr>
      </w:pPr>
      <w:r>
        <w:rPr>
          <w:rFonts w:hint="eastAsia" w:ascii="宋体" w:hAnsi="宋体" w:cs="宋体"/>
          <w:color w:val="000000" w:themeColor="text1"/>
          <w:sz w:val="28"/>
          <w:szCs w:val="28"/>
          <w:u w:val="single"/>
          <w14:textFill>
            <w14:solidFill>
              <w14:schemeClr w14:val="tx1"/>
            </w14:solidFill>
          </w14:textFill>
        </w:rPr>
        <w:t>（</w:t>
      </w:r>
      <w:r>
        <w:rPr>
          <w:rFonts w:hint="eastAsia" w:ascii="宋体" w:hAnsi="宋体" w:cs="宋体"/>
          <w:color w:val="000000" w:themeColor="text1"/>
          <w:sz w:val="28"/>
          <w:szCs w:val="28"/>
          <w:u w:val="single"/>
          <w:lang w:eastAsia="zh-CN"/>
          <w14:textFill>
            <w14:solidFill>
              <w14:schemeClr w14:val="tx1"/>
            </w14:solidFill>
          </w14:textFill>
        </w:rPr>
        <w:t>汉城景区管理处2025年保安服务项目</w:t>
      </w:r>
      <w:r>
        <w:rPr>
          <w:rFonts w:hint="eastAsia" w:ascii="宋体" w:hAnsi="宋体" w:cs="宋体"/>
          <w:color w:val="000000" w:themeColor="text1"/>
          <w:sz w:val="28"/>
          <w:szCs w:val="28"/>
          <w:u w:val="single"/>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，属于</w:t>
      </w:r>
      <w:r>
        <w:rPr>
          <w:rFonts w:hint="eastAsia" w:ascii="宋体" w:hAnsi="宋体" w:cs="宋体"/>
          <w:color w:val="000000" w:themeColor="text1"/>
          <w:sz w:val="28"/>
          <w:szCs w:val="28"/>
          <w:u w:val="single"/>
          <w14:textFill>
            <w14:solidFill>
              <w14:schemeClr w14:val="tx1"/>
            </w14:solidFill>
          </w14:textFill>
        </w:rPr>
        <w:t>（</w:t>
      </w:r>
      <w:r>
        <w:rPr>
          <w:rFonts w:hint="eastAsia" w:ascii="宋体" w:hAnsi="宋体" w:cs="宋体"/>
          <w:color w:val="000000" w:themeColor="text1"/>
          <w:sz w:val="28"/>
          <w:szCs w:val="28"/>
          <w:u w:val="single"/>
          <w:lang w:val="en-US" w:eastAsia="zh-CN"/>
          <w14:textFill>
            <w14:solidFill>
              <w14:schemeClr w14:val="tx1"/>
            </w14:solidFill>
          </w14:textFill>
        </w:rPr>
        <w:t>物业管理行业</w:t>
      </w:r>
      <w:r>
        <w:rPr>
          <w:rFonts w:hint="eastAsia" w:ascii="宋体" w:hAnsi="宋体" w:cs="宋体"/>
          <w:color w:val="000000" w:themeColor="text1"/>
          <w:sz w:val="28"/>
          <w:szCs w:val="28"/>
          <w:u w:val="single"/>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；承建（承接）企业为</w:t>
      </w:r>
      <w:r>
        <w:rPr>
          <w:rFonts w:hint="eastAsia" w:ascii="宋体" w:hAnsi="宋体" w:cs="宋体"/>
          <w:color w:val="000000" w:themeColor="text1"/>
          <w:sz w:val="28"/>
          <w:szCs w:val="28"/>
          <w:u w:val="single"/>
          <w14:textFill>
            <w14:solidFill>
              <w14:schemeClr w14:val="tx1"/>
            </w14:solidFill>
          </w14:textFill>
        </w:rPr>
        <w:t>（企业名称）</w:t>
      </w:r>
      <w:r>
        <w:rPr>
          <w:rFonts w:hint="eastAsia" w:ascii="宋体" w:hAnsi="宋体" w:cs="宋体"/>
          <w:color w:val="000000" w:themeColor="text1"/>
          <w:sz w:val="28"/>
          <w:szCs w:val="28"/>
          <w14:textFill>
            <w14:solidFill>
              <w14:schemeClr w14:val="tx1"/>
            </w14:solidFill>
          </w14:textFill>
        </w:rPr>
        <w:t>，从业人员</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人，营业收入为</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万元，资产总额为</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万元，</w:t>
      </w:r>
      <w:r>
        <w:rPr>
          <w:rFonts w:hint="eastAsia" w:ascii="宋体" w:hAnsi="宋体" w:cs="宋体"/>
          <w:b/>
          <w:color w:val="000000" w:themeColor="text1"/>
          <w:sz w:val="28"/>
          <w:szCs w:val="28"/>
          <w14:textFill>
            <w14:solidFill>
              <w14:schemeClr w14:val="tx1"/>
            </w14:solidFill>
          </w14:textFill>
        </w:rPr>
        <w:t>属于</w:t>
      </w:r>
      <w:r>
        <w:rPr>
          <w:rFonts w:hint="eastAsia" w:ascii="宋体" w:hAnsi="宋体" w:cs="宋体"/>
          <w:sz w:val="28"/>
          <w:szCs w:val="28"/>
          <w:u w:val="single"/>
        </w:rPr>
        <w:t xml:space="preserve">    </w:t>
      </w:r>
      <w:r>
        <w:rPr>
          <w:rFonts w:hint="eastAsia" w:ascii="宋体" w:hAnsi="宋体" w:cs="宋体"/>
          <w:b/>
          <w:color w:val="000000" w:themeColor="text1"/>
          <w:sz w:val="28"/>
          <w:szCs w:val="28"/>
          <w14:textFill>
            <w14:solidFill>
              <w14:schemeClr w14:val="tx1"/>
            </w14:solidFill>
          </w14:textFill>
        </w:rPr>
        <w:t>（□中型企业、□小型企业、□微型企业，请勾选！）；</w:t>
      </w:r>
    </w:p>
    <w:p w14:paraId="4E66C5AC">
      <w:pPr>
        <w:spacing w:line="360" w:lineRule="auto"/>
        <w:ind w:firstLine="560"/>
        <w:rPr>
          <w:rFonts w:ascii="宋体" w:hAnsi="宋体" w:cs="宋体"/>
          <w:color w:val="000000" w:themeColor="text1"/>
          <w:spacing w:val="6"/>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以上企业，不属于大企业的分支机构，不存在控股股东为大企业的情形，也不存在与大企业的负责人为同一人的情形。</w:t>
      </w:r>
    </w:p>
    <w:p w14:paraId="2CBF6CED">
      <w:pPr>
        <w:spacing w:line="360" w:lineRule="auto"/>
        <w:ind w:firstLine="560"/>
        <w:rPr>
          <w:rFonts w:ascii="宋体" w:hAnsi="宋体" w:cs="宋体"/>
          <w:color w:val="000000" w:themeColor="text1"/>
          <w:spacing w:val="6"/>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本企业对上述声明内容的真实性负责。如有虚假，将依法承担相应责任。</w:t>
      </w:r>
    </w:p>
    <w:p w14:paraId="1262ED63">
      <w:pPr>
        <w:widowControl/>
        <w:spacing w:line="360" w:lineRule="auto"/>
        <w:jc w:val="left"/>
        <w:rPr>
          <w:rFonts w:ascii="宋体" w:hAnsi="宋体" w:cs="宋体"/>
          <w:color w:val="000000" w:themeColor="text1"/>
          <w:sz w:val="28"/>
          <w:szCs w:val="28"/>
          <w14:textFill>
            <w14:solidFill>
              <w14:schemeClr w14:val="tx1"/>
            </w14:solidFill>
          </w14:textFill>
        </w:rPr>
      </w:pPr>
    </w:p>
    <w:p w14:paraId="3FAB6AD4">
      <w:pPr>
        <w:spacing w:line="360" w:lineRule="auto"/>
        <w:ind w:firstLine="48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企业名称（电子签章）：</w:t>
      </w:r>
    </w:p>
    <w:p w14:paraId="0297B71D">
      <w:pPr>
        <w:spacing w:line="360" w:lineRule="auto"/>
        <w:ind w:firstLine="48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w:t>
      </w:r>
    </w:p>
    <w:p w14:paraId="3D53CC5E">
      <w:pPr>
        <w:spacing w:line="360" w:lineRule="auto"/>
        <w:ind w:firstLine="36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日期： 年  月  日</w:t>
      </w:r>
    </w:p>
    <w:p w14:paraId="40F4250E">
      <w:pPr>
        <w:spacing w:line="360" w:lineRule="auto"/>
        <w:ind w:firstLine="480"/>
        <w:rPr>
          <w:rFonts w:ascii="宋体" w:hAnsi="宋体" w:cs="宋体"/>
          <w:color w:val="000000" w:themeColor="text1"/>
          <w:sz w:val="28"/>
          <w:szCs w:val="28"/>
          <w14:textFill>
            <w14:solidFill>
              <w14:schemeClr w14:val="tx1"/>
            </w14:solidFill>
          </w14:textFill>
        </w:rPr>
      </w:pPr>
    </w:p>
    <w:p w14:paraId="337F5745">
      <w:pPr>
        <w:pStyle w:val="45"/>
        <w:keepNext w:val="0"/>
        <w:keepLines w:val="0"/>
        <w:pageBreakBefore w:val="0"/>
        <w:spacing w:after="0" w:line="240" w:lineRule="auto"/>
        <w:ind w:left="0"/>
        <w:jc w:val="left"/>
        <w:rPr>
          <w:rFonts w:hint="eastAsia" w:ascii="宋体" w:hAnsi="宋体" w:cs="宋体"/>
          <w:b/>
          <w:bCs/>
          <w:color w:val="000000" w:themeColor="text1"/>
          <w:sz w:val="24"/>
          <w:szCs w:val="24"/>
          <w14:textFill>
            <w14:solidFill>
              <w14:schemeClr w14:val="tx1"/>
            </w14:solidFill>
          </w14:textFill>
        </w:rPr>
      </w:pPr>
    </w:p>
    <w:p w14:paraId="2A5DFCDA">
      <w:pPr>
        <w:pStyle w:val="45"/>
        <w:keepNext w:val="0"/>
        <w:keepLines w:val="0"/>
        <w:pageBreakBefore w:val="0"/>
        <w:spacing w:after="0" w:line="240" w:lineRule="auto"/>
        <w:ind w:left="0"/>
        <w:jc w:val="left"/>
        <w:rPr>
          <w:rFonts w:hint="eastAsia" w:ascii="宋体" w:hAnsi="宋体" w:cs="宋体"/>
          <w:b/>
          <w:bCs/>
          <w:color w:val="000000" w:themeColor="text1"/>
          <w:sz w:val="24"/>
          <w:szCs w:val="24"/>
          <w14:textFill>
            <w14:solidFill>
              <w14:schemeClr w14:val="tx1"/>
            </w14:solidFill>
          </w14:textFill>
        </w:rPr>
      </w:pPr>
    </w:p>
    <w:p w14:paraId="4D13395D">
      <w:pPr>
        <w:pStyle w:val="45"/>
        <w:keepNext w:val="0"/>
        <w:keepLines w:val="0"/>
        <w:pageBreakBefore w:val="0"/>
        <w:spacing w:after="0" w:line="240" w:lineRule="auto"/>
        <w:ind w:left="0"/>
        <w:jc w:val="left"/>
        <w:rPr>
          <w:rFonts w:hint="eastAsia" w:ascii="宋体" w:hAnsi="宋体" w:cs="宋体"/>
          <w:b/>
          <w:bCs/>
          <w:color w:val="000000" w:themeColor="text1"/>
          <w:sz w:val="24"/>
          <w:szCs w:val="24"/>
          <w14:textFill>
            <w14:solidFill>
              <w14:schemeClr w14:val="tx1"/>
            </w14:solidFill>
          </w14:textFill>
        </w:rPr>
      </w:pPr>
    </w:p>
    <w:p w14:paraId="66B18A23">
      <w:pPr>
        <w:pStyle w:val="45"/>
        <w:keepNext w:val="0"/>
        <w:keepLines w:val="0"/>
        <w:pageBreakBefore w:val="0"/>
        <w:spacing w:after="0" w:line="240" w:lineRule="auto"/>
        <w:ind w:left="0"/>
        <w:jc w:val="left"/>
        <w:rPr>
          <w:rFonts w:hint="eastAsia" w:ascii="宋体" w:hAnsi="宋体" w:cs="宋体"/>
          <w:b/>
          <w:bCs/>
          <w:color w:val="000000" w:themeColor="text1"/>
          <w:sz w:val="24"/>
          <w:szCs w:val="24"/>
          <w14:textFill>
            <w14:solidFill>
              <w14:schemeClr w14:val="tx1"/>
            </w14:solidFill>
          </w14:textFill>
        </w:rPr>
      </w:pPr>
    </w:p>
    <w:p w14:paraId="02EBE9BA">
      <w:pPr>
        <w:pStyle w:val="45"/>
        <w:keepNext w:val="0"/>
        <w:keepLines w:val="0"/>
        <w:pageBreakBefore w:val="0"/>
        <w:spacing w:after="0" w:line="240" w:lineRule="auto"/>
        <w:ind w:left="0"/>
        <w:jc w:val="left"/>
        <w:rPr>
          <w:rFonts w:hint="eastAsia" w:ascii="宋体" w:hAnsi="宋体" w:cs="宋体"/>
          <w:b/>
          <w:bCs/>
          <w:color w:val="000000" w:themeColor="text1"/>
          <w:sz w:val="24"/>
          <w:szCs w:val="24"/>
          <w14:textFill>
            <w14:solidFill>
              <w14:schemeClr w14:val="tx1"/>
            </w14:solidFill>
          </w14:textFill>
        </w:rPr>
      </w:pPr>
    </w:p>
    <w:p w14:paraId="2DDF8155">
      <w:pPr>
        <w:pStyle w:val="45"/>
        <w:keepNext w:val="0"/>
        <w:keepLines w:val="0"/>
        <w:pageBreakBefore w:val="0"/>
        <w:spacing w:after="0" w:line="240" w:lineRule="auto"/>
        <w:ind w:left="0"/>
        <w:jc w:val="left"/>
        <w:rPr>
          <w:rFonts w:hint="eastAsia" w:ascii="宋体" w:hAnsi="宋体" w:cs="宋体"/>
          <w:b/>
          <w:bCs/>
          <w:color w:val="000000" w:themeColor="text1"/>
          <w:sz w:val="24"/>
          <w:szCs w:val="24"/>
          <w14:textFill>
            <w14:solidFill>
              <w14:schemeClr w14:val="tx1"/>
            </w14:solidFill>
          </w14:textFill>
        </w:rPr>
      </w:pPr>
    </w:p>
    <w:p w14:paraId="0A16929F">
      <w:pPr>
        <w:pStyle w:val="45"/>
        <w:keepNext w:val="0"/>
        <w:keepLines w:val="0"/>
        <w:pageBreakBefore w:val="0"/>
        <w:spacing w:after="0" w:line="240" w:lineRule="auto"/>
        <w:ind w:left="0"/>
        <w:jc w:val="left"/>
        <w:rPr>
          <w:rFonts w:hint="eastAsia" w:ascii="宋体" w:hAnsi="宋体" w:cs="宋体"/>
          <w:b/>
          <w:bCs/>
          <w:color w:val="000000" w:themeColor="text1"/>
          <w:sz w:val="24"/>
          <w:szCs w:val="24"/>
          <w14:textFill>
            <w14:solidFill>
              <w14:schemeClr w14:val="tx1"/>
            </w14:solidFill>
          </w14:textFill>
        </w:rPr>
      </w:pPr>
    </w:p>
    <w:p w14:paraId="3AFB139A">
      <w:pPr>
        <w:pStyle w:val="45"/>
        <w:keepNext w:val="0"/>
        <w:keepLines w:val="0"/>
        <w:pageBreakBefore w:val="0"/>
        <w:spacing w:after="0" w:line="240" w:lineRule="auto"/>
        <w:ind w:left="0"/>
        <w:jc w:val="left"/>
        <w:rPr>
          <w:rFonts w:hint="eastAsia" w:ascii="宋体" w:hAnsi="宋体" w:cs="宋体"/>
          <w:b/>
          <w:bCs/>
          <w:color w:val="000000" w:themeColor="text1"/>
          <w:sz w:val="24"/>
          <w:szCs w:val="24"/>
          <w14:textFill>
            <w14:solidFill>
              <w14:schemeClr w14:val="tx1"/>
            </w14:solidFill>
          </w14:textFill>
        </w:rPr>
      </w:pPr>
    </w:p>
    <w:p w14:paraId="30192D96">
      <w:pPr>
        <w:pStyle w:val="45"/>
        <w:keepNext w:val="0"/>
        <w:keepLines w:val="0"/>
        <w:pageBreakBefore w:val="0"/>
        <w:spacing w:after="0" w:line="240" w:lineRule="auto"/>
        <w:ind w:left="0"/>
        <w:jc w:val="lef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说明：</w:t>
      </w:r>
    </w:p>
    <w:p w14:paraId="7399D69B">
      <w:pPr>
        <w:pStyle w:val="45"/>
        <w:keepNext w:val="0"/>
        <w:keepLines w:val="0"/>
        <w:pageBreakBefore w:val="0"/>
        <w:spacing w:after="0" w:line="240" w:lineRule="auto"/>
        <w:ind w:left="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中小微企业的划分具体以《政府采购促进中小企业发展管理办法》（财库﹝2020﹞46号）和《工业和信息化部、国家统计局、国家发展和改革委员会、财政部关于印发中小企业划型标准规定的通知》（工信部联企业[2011]300号）的规定为准。</w:t>
      </w:r>
    </w:p>
    <w:p w14:paraId="38DA445F">
      <w:pPr>
        <w:pStyle w:val="45"/>
        <w:keepNext w:val="0"/>
        <w:keepLines w:val="0"/>
        <w:pageBreakBefore w:val="0"/>
        <w:spacing w:after="0" w:line="240" w:lineRule="auto"/>
        <w:ind w:left="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2、从业人员、营业收入、资产总额填报供应商上一年度数据，无上一年度数据的新成立企业可不填报。</w:t>
      </w:r>
    </w:p>
    <w:p w14:paraId="243D0286">
      <w:pPr>
        <w:pStyle w:val="45"/>
        <w:keepNext w:val="0"/>
        <w:keepLines w:val="0"/>
        <w:pageBreakBefore w:val="0"/>
        <w:spacing w:after="0" w:line="240" w:lineRule="auto"/>
        <w:ind w:left="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3、中标人为小型、微型企业的，采购人或者其委托的采购代理机构有权随中标、成交结果同时公告其《中小企业声明函》，接受社会监督。</w:t>
      </w:r>
    </w:p>
    <w:p w14:paraId="1CA61E00">
      <w:pPr>
        <w:pStyle w:val="45"/>
        <w:keepNext w:val="0"/>
        <w:keepLines w:val="0"/>
        <w:pageBreakBefore w:val="0"/>
        <w:spacing w:after="0" w:line="240" w:lineRule="auto"/>
        <w:ind w:left="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4、执行江苏省财政厅关于进一步加大政府采购支持中小企业力度的通知（苏财购〔2022〕45号）的规定。</w:t>
      </w:r>
    </w:p>
    <w:p w14:paraId="5E21E3E8">
      <w:pPr>
        <w:pStyle w:val="45"/>
        <w:keepNext w:val="0"/>
        <w:keepLines w:val="0"/>
        <w:pageBreakBefore w:val="0"/>
        <w:spacing w:after="0" w:line="240" w:lineRule="auto"/>
        <w:ind w:left="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5、供应商提供的《中小企业声明函》与事实不符的，依照《政府采购法》第七十七条第一款的规定追究法律责任。</w:t>
      </w:r>
    </w:p>
    <w:p w14:paraId="28D7ED13">
      <w:pPr>
        <w:keepNext w:val="0"/>
        <w:keepLines w:val="0"/>
        <w:pageBreakBefore w:val="0"/>
        <w:widowControl/>
        <w:spacing w:line="24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6、《中小企业声明函》查询渠道用微信搜索“中小企业规模类型自测小程序”。</w:t>
      </w:r>
    </w:p>
    <w:p w14:paraId="21F81B2F">
      <w:pPr>
        <w:pStyle w:val="18"/>
        <w:rPr>
          <w:color w:val="000000" w:themeColor="text1"/>
          <w14:textFill>
            <w14:solidFill>
              <w14:schemeClr w14:val="tx1"/>
            </w14:solidFill>
          </w14:textFill>
        </w:rPr>
      </w:pPr>
    </w:p>
    <w:p w14:paraId="69E4B667">
      <w:pPr>
        <w:rPr>
          <w:color w:val="000000" w:themeColor="text1"/>
          <w14:textFill>
            <w14:solidFill>
              <w14:schemeClr w14:val="tx1"/>
            </w14:solidFill>
          </w14:textFill>
        </w:rPr>
      </w:pPr>
    </w:p>
    <w:p w14:paraId="6E358FFF">
      <w:pPr>
        <w:jc w:val="center"/>
        <w:rPr>
          <w:rFonts w:ascii="宋体" w:hAnsi="宋体" w:cs="宋体"/>
          <w:color w:val="000000" w:themeColor="text1"/>
          <w:sz w:val="28"/>
          <w:szCs w:val="28"/>
          <w14:textFill>
            <w14:solidFill>
              <w14:schemeClr w14:val="tx1"/>
            </w14:solidFill>
          </w14:textFill>
        </w:rPr>
        <w:sectPr>
          <w:pgSz w:w="11906" w:h="16838"/>
          <w:pgMar w:top="1134" w:right="1797" w:bottom="1134" w:left="1797" w:header="851" w:footer="992" w:gutter="0"/>
          <w:cols w:space="1701" w:num="1"/>
          <w:titlePg/>
          <w:docGrid w:linePitch="360" w:charSpace="0"/>
        </w:sectPr>
      </w:pPr>
      <w:r>
        <w:rPr>
          <w:rFonts w:hint="eastAsia" w:ascii="宋体" w:hAnsi="宋体"/>
          <w:color w:val="000000" w:themeColor="text1"/>
          <w14:textFill>
            <w14:solidFill>
              <w14:schemeClr w14:val="tx1"/>
            </w14:solidFill>
          </w14:textFill>
        </w:rPr>
        <w:drawing>
          <wp:inline distT="0" distB="0" distL="0" distR="0">
            <wp:extent cx="2550160" cy="5064760"/>
            <wp:effectExtent l="0" t="0" r="2540" b="2540"/>
            <wp:docPr id="12" name="图片 14"/>
            <wp:cNvGraphicFramePr/>
            <a:graphic xmlns:a="http://schemas.openxmlformats.org/drawingml/2006/main">
              <a:graphicData uri="http://schemas.openxmlformats.org/drawingml/2006/picture">
                <pic:pic xmlns:pic="http://schemas.openxmlformats.org/drawingml/2006/picture">
                  <pic:nvPicPr>
                    <pic:cNvPr id="12" name="图片 14"/>
                    <pic:cNvPicPr/>
                  </pic:nvPicPr>
                  <pic:blipFill>
                    <a:blip r:embed="rId14"/>
                    <a:srcRect t="4498"/>
                    <a:stretch>
                      <a:fillRect/>
                    </a:stretch>
                  </pic:blipFill>
                  <pic:spPr>
                    <a:xfrm>
                      <a:off x="0" y="0"/>
                      <a:ext cx="2550160" cy="5064760"/>
                    </a:xfrm>
                    <a:prstGeom prst="rect">
                      <a:avLst/>
                    </a:prstGeom>
                    <a:noFill/>
                    <a:ln>
                      <a:noFill/>
                    </a:ln>
                  </pic:spPr>
                </pic:pic>
              </a:graphicData>
            </a:graphic>
          </wp:inline>
        </w:drawing>
      </w:r>
    </w:p>
    <w:p w14:paraId="135EE14C">
      <w:pPr>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10、</w:t>
      </w:r>
      <w:r>
        <w:rPr>
          <w:rFonts w:hint="eastAsia" w:ascii="宋体" w:hAnsi="宋体" w:cs="宋体"/>
          <w:b/>
          <w:color w:val="000000" w:themeColor="text1"/>
          <w:sz w:val="36"/>
          <w:szCs w:val="36"/>
          <w14:textFill>
            <w14:solidFill>
              <w14:schemeClr w14:val="tx1"/>
            </w14:solidFill>
          </w14:textFill>
        </w:rPr>
        <w:t>供应商参加政府采购活动前3年内在经营活动中没有重大违法记录的书面声明</w:t>
      </w:r>
    </w:p>
    <w:p w14:paraId="27754071">
      <w:pPr>
        <w:rPr>
          <w:rFonts w:ascii="宋体" w:hAnsi="宋体" w:cs="宋体"/>
          <w:color w:val="000000" w:themeColor="text1"/>
          <w:sz w:val="24"/>
          <w14:textFill>
            <w14:solidFill>
              <w14:schemeClr w14:val="tx1"/>
            </w14:solidFill>
          </w14:textFill>
        </w:rPr>
      </w:pPr>
    </w:p>
    <w:p w14:paraId="292E3FC5">
      <w:pPr>
        <w:widowControl/>
        <w:spacing w:before="100" w:beforeAutospacing="1" w:after="100" w:afterAutospacing="1" w:line="360" w:lineRule="auto"/>
        <w:ind w:firstLine="84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我单位在参加</w:t>
      </w:r>
      <w:r>
        <w:rPr>
          <w:rFonts w:hint="eastAsia" w:ascii="宋体" w:hAnsi="宋体" w:cs="宋体"/>
          <w:color w:val="000000" w:themeColor="text1"/>
          <w:sz w:val="28"/>
          <w:szCs w:val="28"/>
          <w:u w:val="single"/>
          <w:lang w:eastAsia="zh-CN"/>
          <w14:textFill>
            <w14:solidFill>
              <w14:schemeClr w14:val="tx1"/>
            </w14:solidFill>
          </w14:textFill>
        </w:rPr>
        <w:t>汉城景区管理处2025年保安服务</w:t>
      </w:r>
      <w:r>
        <w:rPr>
          <w:rFonts w:hint="eastAsia" w:ascii="宋体" w:hAnsi="宋体" w:cs="宋体"/>
          <w:color w:val="000000" w:themeColor="text1"/>
          <w:sz w:val="28"/>
          <w:szCs w:val="28"/>
          <w:u w:val="none"/>
          <w:lang w:val="en-US" w:eastAsia="zh-CN"/>
          <w14:textFill>
            <w14:solidFill>
              <w14:schemeClr w14:val="tx1"/>
            </w14:solidFill>
          </w14:textFill>
        </w:rPr>
        <w:t>项目</w:t>
      </w:r>
      <w:r>
        <w:rPr>
          <w:rFonts w:hint="eastAsia" w:ascii="宋体" w:hAnsi="宋体" w:cs="宋体"/>
          <w:color w:val="000000" w:themeColor="text1"/>
          <w:sz w:val="28"/>
          <w:szCs w:val="28"/>
          <w14:textFill>
            <w14:solidFill>
              <w14:schemeClr w14:val="tx1"/>
            </w14:solidFill>
          </w14:textFill>
        </w:rPr>
        <w:t>（项目编号：</w:t>
      </w:r>
      <w:r>
        <w:rPr>
          <w:rFonts w:hint="eastAsia" w:ascii="宋体" w:hAnsi="宋体" w:cs="宋体"/>
          <w:color w:val="000000" w:themeColor="text1"/>
          <w:sz w:val="28"/>
          <w:szCs w:val="28"/>
          <w:u w:val="single"/>
          <w:lang w:val="en-US" w:eastAsia="zh-CN"/>
          <w14:textFill>
            <w14:solidFill>
              <w14:schemeClr w14:val="tx1"/>
            </w14:solidFill>
          </w14:textFill>
        </w:rPr>
        <w:t>JSZC-320322-SHGC-C2025-0002</w:t>
      </w:r>
      <w:r>
        <w:rPr>
          <w:rFonts w:hint="eastAsia" w:ascii="宋体" w:hAnsi="宋体" w:cs="宋体"/>
          <w:color w:val="000000" w:themeColor="text1"/>
          <w:sz w:val="28"/>
          <w:szCs w:val="28"/>
          <w14:textFill>
            <w14:solidFill>
              <w14:schemeClr w14:val="tx1"/>
            </w14:solidFill>
          </w14:textFill>
        </w:rPr>
        <w:t>）政府采购活动前3年内在经营活动中没有重大违法记录。重大违法记录是指因违法经营受到刑事处罚或者责令停产停业、吊销许可证或者执照、较大数额罚款等行政处罚。</w:t>
      </w:r>
    </w:p>
    <w:p w14:paraId="56913D8B">
      <w:pPr>
        <w:widowControl/>
        <w:spacing w:before="100" w:beforeAutospacing="1" w:after="100" w:afterAutospacing="1" w:line="360" w:lineRule="auto"/>
        <w:ind w:firstLine="84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我单位对上述声明的真实性负责。如有虚假，将依法承担相应责任。</w:t>
      </w:r>
    </w:p>
    <w:p w14:paraId="61071934">
      <w:pPr>
        <w:spacing w:line="360" w:lineRule="auto"/>
        <w:ind w:right="29"/>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w:t>
      </w:r>
    </w:p>
    <w:p w14:paraId="2960BD78">
      <w:pPr>
        <w:spacing w:line="360" w:lineRule="auto"/>
        <w:ind w:right="29"/>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供应商（电子签章）：</w:t>
      </w:r>
    </w:p>
    <w:p w14:paraId="5E442444">
      <w:pPr>
        <w:spacing w:line="360" w:lineRule="auto"/>
        <w:ind w:right="29"/>
        <w:rPr>
          <w:rFonts w:ascii="宋体" w:hAnsi="宋体" w:cs="宋体"/>
          <w:color w:val="000000" w:themeColor="text1"/>
          <w:sz w:val="28"/>
          <w:szCs w:val="28"/>
          <w14:textFill>
            <w14:solidFill>
              <w14:schemeClr w14:val="tx1"/>
            </w14:solidFill>
          </w14:textFill>
        </w:rPr>
      </w:pPr>
    </w:p>
    <w:p w14:paraId="0FA6FC90">
      <w:pPr>
        <w:spacing w:line="360" w:lineRule="auto"/>
        <w:ind w:right="29"/>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日期： 年  月  日</w:t>
      </w:r>
    </w:p>
    <w:p w14:paraId="34ADAE2A">
      <w:pPr>
        <w:pStyle w:val="46"/>
        <w:ind w:left="239" w:firstLine="2640"/>
        <w:rPr>
          <w:color w:val="000000" w:themeColor="text1"/>
          <w14:textFill>
            <w14:solidFill>
              <w14:schemeClr w14:val="tx1"/>
            </w14:solidFill>
          </w14:textFill>
        </w:rPr>
      </w:pPr>
    </w:p>
    <w:p w14:paraId="3955AF81">
      <w:pPr>
        <w:pStyle w:val="46"/>
        <w:ind w:left="239" w:firstLine="2640"/>
        <w:rPr>
          <w:color w:val="000000" w:themeColor="text1"/>
          <w14:textFill>
            <w14:solidFill>
              <w14:schemeClr w14:val="tx1"/>
            </w14:solidFill>
          </w14:textFill>
        </w:rPr>
      </w:pPr>
    </w:p>
    <w:p w14:paraId="6C9389E6">
      <w:pPr>
        <w:pStyle w:val="46"/>
        <w:ind w:left="239" w:firstLine="2640"/>
        <w:rPr>
          <w:color w:val="000000" w:themeColor="text1"/>
          <w14:textFill>
            <w14:solidFill>
              <w14:schemeClr w14:val="tx1"/>
            </w14:solidFill>
          </w14:textFill>
        </w:rPr>
      </w:pPr>
    </w:p>
    <w:p w14:paraId="1425AE17">
      <w:pPr>
        <w:pStyle w:val="46"/>
        <w:ind w:left="239" w:firstLine="2640"/>
        <w:rPr>
          <w:color w:val="000000" w:themeColor="text1"/>
          <w14:textFill>
            <w14:solidFill>
              <w14:schemeClr w14:val="tx1"/>
            </w14:solidFill>
          </w14:textFill>
        </w:rPr>
      </w:pPr>
    </w:p>
    <w:p w14:paraId="0B08F26E">
      <w:pPr>
        <w:pStyle w:val="46"/>
        <w:ind w:left="239" w:firstLine="2640"/>
        <w:rPr>
          <w:color w:val="000000" w:themeColor="text1"/>
          <w14:textFill>
            <w14:solidFill>
              <w14:schemeClr w14:val="tx1"/>
            </w14:solidFill>
          </w14:textFill>
        </w:rPr>
      </w:pPr>
    </w:p>
    <w:p w14:paraId="37502EF8">
      <w:pPr>
        <w:pStyle w:val="46"/>
        <w:ind w:left="239" w:firstLine="2640"/>
        <w:rPr>
          <w:color w:val="000000" w:themeColor="text1"/>
          <w14:textFill>
            <w14:solidFill>
              <w14:schemeClr w14:val="tx1"/>
            </w14:solidFill>
          </w14:textFill>
        </w:rPr>
      </w:pPr>
    </w:p>
    <w:p w14:paraId="015B0732">
      <w:pPr>
        <w:pStyle w:val="46"/>
        <w:ind w:left="239" w:firstLine="2640"/>
        <w:rPr>
          <w:color w:val="000000" w:themeColor="text1"/>
          <w14:textFill>
            <w14:solidFill>
              <w14:schemeClr w14:val="tx1"/>
            </w14:solidFill>
          </w14:textFill>
        </w:rPr>
      </w:pPr>
    </w:p>
    <w:p w14:paraId="23A30775">
      <w:pPr>
        <w:pStyle w:val="46"/>
        <w:ind w:left="239" w:firstLine="2640"/>
        <w:rPr>
          <w:color w:val="000000" w:themeColor="text1"/>
          <w14:textFill>
            <w14:solidFill>
              <w14:schemeClr w14:val="tx1"/>
            </w14:solidFill>
          </w14:textFill>
        </w:rPr>
      </w:pPr>
    </w:p>
    <w:p w14:paraId="245CDB37">
      <w:pPr>
        <w:pStyle w:val="46"/>
        <w:ind w:left="239" w:firstLine="2640"/>
        <w:rPr>
          <w:color w:val="000000" w:themeColor="text1"/>
          <w14:textFill>
            <w14:solidFill>
              <w14:schemeClr w14:val="tx1"/>
            </w14:solidFill>
          </w14:textFill>
        </w:rPr>
      </w:pPr>
    </w:p>
    <w:p w14:paraId="35AADB0D">
      <w:pPr>
        <w:spacing w:line="588" w:lineRule="exact"/>
        <w:jc w:val="center"/>
        <w:rPr>
          <w:rFonts w:ascii="宋体" w:hAnsi="宋体" w:cs="宋体"/>
          <w:b/>
          <w:color w:val="000000" w:themeColor="text1"/>
          <w:sz w:val="36"/>
          <w:szCs w:val="36"/>
          <w14:textFill>
            <w14:solidFill>
              <w14:schemeClr w14:val="tx1"/>
            </w14:solidFill>
          </w14:textFill>
        </w:rPr>
        <w:sectPr>
          <w:pgSz w:w="11906" w:h="16838"/>
          <w:pgMar w:top="1134" w:right="1797" w:bottom="1134" w:left="1797" w:header="851" w:footer="992" w:gutter="0"/>
          <w:cols w:space="1701" w:num="1"/>
          <w:titlePg/>
          <w:docGrid w:linePitch="360" w:charSpace="0"/>
        </w:sectPr>
      </w:pPr>
    </w:p>
    <w:p w14:paraId="648C1014">
      <w:pPr>
        <w:spacing w:line="588" w:lineRule="exact"/>
        <w:jc w:val="center"/>
        <w:rPr>
          <w:rFonts w:hint="eastAsia" w:ascii="宋体" w:hAnsi="宋体" w:cs="宋体"/>
          <w:b/>
          <w:color w:val="000000" w:themeColor="text1"/>
          <w:sz w:val="36"/>
          <w:szCs w:val="36"/>
          <w14:textFill>
            <w14:solidFill>
              <w14:schemeClr w14:val="tx1"/>
            </w14:solidFill>
          </w14:textFill>
        </w:rPr>
      </w:pPr>
      <w:bookmarkStart w:id="2" w:name="OLE_LINK14"/>
      <w:bookmarkStart w:id="3" w:name="OLE_LINK13"/>
      <w:r>
        <w:rPr>
          <w:rFonts w:hint="eastAsia" w:ascii="宋体" w:hAnsi="宋体" w:cs="宋体"/>
          <w:b/>
          <w:color w:val="000000" w:themeColor="text1"/>
          <w:sz w:val="36"/>
          <w:szCs w:val="36"/>
          <w:lang w:val="en-US" w:eastAsia="zh-CN"/>
          <w14:textFill>
            <w14:solidFill>
              <w14:schemeClr w14:val="tx1"/>
            </w14:solidFill>
          </w14:textFill>
        </w:rPr>
        <w:t>11</w:t>
      </w:r>
      <w:r>
        <w:rPr>
          <w:rFonts w:hint="eastAsia" w:ascii="宋体" w:hAnsi="宋体" w:cs="宋体"/>
          <w:b/>
          <w:color w:val="000000" w:themeColor="text1"/>
          <w:sz w:val="36"/>
          <w:szCs w:val="36"/>
          <w:lang w:eastAsia="zh-CN"/>
          <w14:textFill>
            <w14:solidFill>
              <w14:schemeClr w14:val="tx1"/>
            </w14:solidFill>
          </w14:textFill>
        </w:rPr>
        <w:t>、</w:t>
      </w:r>
      <w:r>
        <w:rPr>
          <w:rFonts w:hint="eastAsia" w:ascii="宋体" w:hAnsi="宋体" w:cs="宋体"/>
          <w:b/>
          <w:color w:val="000000" w:themeColor="text1"/>
          <w:sz w:val="36"/>
          <w:szCs w:val="36"/>
          <w14:textFill>
            <w14:solidFill>
              <w14:schemeClr w14:val="tx1"/>
            </w14:solidFill>
          </w14:textFill>
        </w:rPr>
        <w:t>具备履行合同所必需的设备和专业技术能力的书面声明（附证明材料扫描件）</w:t>
      </w:r>
    </w:p>
    <w:p w14:paraId="5F11A88D">
      <w:pPr>
        <w:rPr>
          <w:rFonts w:ascii="仿宋" w:hAnsi="仿宋" w:eastAsia="仿宋"/>
          <w:color w:val="000000" w:themeColor="text1"/>
          <w:sz w:val="24"/>
          <w14:textFill>
            <w14:solidFill>
              <w14:schemeClr w14:val="tx1"/>
            </w14:solidFill>
          </w14:textFill>
        </w:rPr>
      </w:pPr>
    </w:p>
    <w:p w14:paraId="4C7C128F">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项目名称：</w:t>
      </w:r>
      <w:r>
        <w:rPr>
          <w:rFonts w:hint="eastAsia" w:ascii="宋体" w:hAnsi="宋体" w:cs="宋体"/>
          <w:color w:val="000000" w:themeColor="text1"/>
          <w:sz w:val="28"/>
          <w:szCs w:val="28"/>
          <w:u w:val="single"/>
          <w:lang w:val="en-US" w:eastAsia="zh-CN"/>
          <w14:textFill>
            <w14:solidFill>
              <w14:schemeClr w14:val="tx1"/>
            </w14:solidFill>
          </w14:textFill>
        </w:rPr>
        <w:t>汉城景区管理处2025年保安服务项目</w:t>
      </w:r>
    </w:p>
    <w:p w14:paraId="36B3DA8D">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项目编号：</w:t>
      </w:r>
      <w:r>
        <w:rPr>
          <w:rFonts w:hint="eastAsia" w:ascii="宋体" w:hAnsi="宋体" w:cs="宋体"/>
          <w:color w:val="000000" w:themeColor="text1"/>
          <w:sz w:val="28"/>
          <w:szCs w:val="28"/>
          <w:u w:val="single"/>
          <w:lang w:val="en-US" w:eastAsia="zh-CN"/>
          <w14:textFill>
            <w14:solidFill>
              <w14:schemeClr w14:val="tx1"/>
            </w14:solidFill>
          </w14:textFill>
        </w:rPr>
        <w:t>JSZC-320322-SHGC-C2025-0002</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p>
    <w:p w14:paraId="5BDEF479">
      <w:pPr>
        <w:widowControl/>
        <w:spacing w:line="360" w:lineRule="auto"/>
        <w:ind w:firstLine="480"/>
        <w:jc w:val="left"/>
        <w:rPr>
          <w:rFonts w:hint="eastAsia" w:ascii="宋体" w:hAnsi="宋体" w:eastAsia="宋体" w:cs="宋体"/>
          <w:color w:val="000000" w:themeColor="text1"/>
          <w:sz w:val="28"/>
          <w:szCs w:val="28"/>
          <w14:textFill>
            <w14:solidFill>
              <w14:schemeClr w14:val="tx1"/>
            </w14:solidFill>
          </w14:textFill>
        </w:rPr>
      </w:pPr>
    </w:p>
    <w:p w14:paraId="38D26FBF">
      <w:pPr>
        <w:spacing w:line="360" w:lineRule="auto"/>
        <w:ind w:firstLine="56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郑重声明：</w:t>
      </w:r>
      <w:r>
        <w:rPr>
          <w:rFonts w:hint="eastAsia" w:ascii="宋体" w:hAnsi="宋体" w:eastAsia="宋体" w:cs="宋体"/>
          <w:color w:val="000000" w:themeColor="text1"/>
          <w:sz w:val="28"/>
          <w:szCs w:val="28"/>
          <w:lang w:val="en-US"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具备履行合同（项目名称：</w:t>
      </w:r>
      <w:r>
        <w:rPr>
          <w:rFonts w:hint="eastAsia" w:ascii="宋体" w:hAnsi="宋体" w:cs="宋体"/>
          <w:color w:val="000000" w:themeColor="text1"/>
          <w:sz w:val="28"/>
          <w:szCs w:val="28"/>
          <w:u w:val="single"/>
          <w:lang w:val="en-US" w:eastAsia="zh-CN"/>
          <w14:textFill>
            <w14:solidFill>
              <w14:schemeClr w14:val="tx1"/>
            </w14:solidFill>
          </w14:textFill>
        </w:rPr>
        <w:t>汉城景区管理处2025年保安服务项目</w:t>
      </w:r>
      <w:r>
        <w:rPr>
          <w:rFonts w:hint="eastAsia" w:ascii="宋体" w:hAnsi="宋体" w:eastAsia="宋体" w:cs="宋体"/>
          <w:color w:val="000000" w:themeColor="text1"/>
          <w:sz w:val="28"/>
          <w:szCs w:val="28"/>
          <w14:textFill>
            <w14:solidFill>
              <w14:schemeClr w14:val="tx1"/>
            </w14:solidFill>
          </w14:textFill>
        </w:rPr>
        <w:t>，项目编号：</w:t>
      </w:r>
      <w:r>
        <w:rPr>
          <w:rFonts w:hint="eastAsia" w:ascii="宋体" w:hAnsi="宋体" w:cs="宋体"/>
          <w:color w:val="000000" w:themeColor="text1"/>
          <w:sz w:val="28"/>
          <w:szCs w:val="28"/>
          <w:u w:val="single"/>
          <w:lang w:val="en-US" w:eastAsia="zh-CN"/>
          <w14:textFill>
            <w14:solidFill>
              <w14:schemeClr w14:val="tx1"/>
            </w14:solidFill>
          </w14:textFill>
        </w:rPr>
        <w:t>JSZC-320322-SHGC-C2025-0002</w:t>
      </w:r>
      <w:r>
        <w:rPr>
          <w:rFonts w:hint="eastAsia" w:ascii="宋体" w:hAnsi="宋体" w:eastAsia="宋体" w:cs="宋体"/>
          <w:color w:val="000000" w:themeColor="text1"/>
          <w:sz w:val="28"/>
          <w:szCs w:val="28"/>
          <w14:textFill>
            <w14:solidFill>
              <w14:schemeClr w14:val="tx1"/>
            </w14:solidFill>
          </w14:textFill>
        </w:rPr>
        <w:t>）所必需的设备和专业技术能力，具体为：</w:t>
      </w:r>
    </w:p>
    <w:p w14:paraId="615883F7">
      <w:pPr>
        <w:spacing w:line="360" w:lineRule="auto"/>
        <w:ind w:firstLine="48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设备：</w:t>
      </w:r>
    </w:p>
    <w:p w14:paraId="02EA9635">
      <w:pPr>
        <w:spacing w:line="360" w:lineRule="auto"/>
        <w:ind w:firstLine="48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（证明材料原件的扫描件附后）</w:t>
      </w:r>
    </w:p>
    <w:p w14:paraId="1D792482">
      <w:pPr>
        <w:spacing w:line="360" w:lineRule="auto"/>
        <w:ind w:firstLine="48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（证明材料原件的扫描件附后）</w:t>
      </w:r>
    </w:p>
    <w:p w14:paraId="32684924">
      <w:pPr>
        <w:spacing w:line="360" w:lineRule="auto"/>
        <w:ind w:firstLine="48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（证明材料原件的扫描件附后）</w:t>
      </w:r>
    </w:p>
    <w:p w14:paraId="5DAA3268">
      <w:pPr>
        <w:spacing w:line="360" w:lineRule="auto"/>
        <w:ind w:firstLine="48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p>
    <w:p w14:paraId="467615B3">
      <w:pPr>
        <w:spacing w:line="360" w:lineRule="auto"/>
        <w:ind w:firstLine="48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专业技术能力：</w:t>
      </w:r>
    </w:p>
    <w:p w14:paraId="306FB6F3">
      <w:pPr>
        <w:spacing w:line="360" w:lineRule="auto"/>
        <w:ind w:firstLine="48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（证明材料原件的扫描件附后）</w:t>
      </w:r>
    </w:p>
    <w:p w14:paraId="0454FE87">
      <w:pPr>
        <w:spacing w:line="360" w:lineRule="auto"/>
        <w:ind w:firstLine="48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（证明材料原件的扫描件附后）</w:t>
      </w:r>
    </w:p>
    <w:p w14:paraId="3C546929">
      <w:pPr>
        <w:spacing w:line="360" w:lineRule="auto"/>
        <w:ind w:firstLine="48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（证明材料原件的扫描件附后）</w:t>
      </w:r>
    </w:p>
    <w:p w14:paraId="42991032">
      <w:pPr>
        <w:spacing w:line="360" w:lineRule="auto"/>
        <w:ind w:firstLine="48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p>
    <w:p w14:paraId="245F7F7D">
      <w:pPr>
        <w:spacing w:line="360" w:lineRule="auto"/>
        <w:ind w:firstLine="48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特此声明。</w:t>
      </w:r>
    </w:p>
    <w:p w14:paraId="52BCF6DA">
      <w:pPr>
        <w:spacing w:line="360" w:lineRule="auto"/>
        <w:ind w:firstLine="48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对上述声明的真实性负责。如有虚假，将依法承担相应责任。</w:t>
      </w:r>
    </w:p>
    <w:p w14:paraId="1447D613">
      <w:pPr>
        <w:spacing w:line="360" w:lineRule="auto"/>
        <w:rPr>
          <w:rFonts w:hint="eastAsia" w:ascii="宋体" w:hAnsi="宋体" w:eastAsia="宋体" w:cs="宋体"/>
          <w:color w:val="000000" w:themeColor="text1"/>
          <w:sz w:val="28"/>
          <w:szCs w:val="28"/>
          <w14:textFill>
            <w14:solidFill>
              <w14:schemeClr w14:val="tx1"/>
            </w14:solidFill>
          </w14:textFill>
        </w:rPr>
      </w:pPr>
    </w:p>
    <w:p w14:paraId="73B956F2">
      <w:pPr>
        <w:spacing w:line="360" w:lineRule="auto"/>
        <w:ind w:firstLine="312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（电子签章） </w:t>
      </w:r>
    </w:p>
    <w:p w14:paraId="7C6853D4">
      <w:pPr>
        <w:spacing w:line="360" w:lineRule="auto"/>
        <w:ind w:firstLine="312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日期：   年  月  日</w:t>
      </w:r>
    </w:p>
    <w:p w14:paraId="54B7B6B9">
      <w:pPr>
        <w:spacing w:line="588" w:lineRule="exact"/>
        <w:jc w:val="center"/>
        <w:rPr>
          <w:rFonts w:hint="eastAsia" w:ascii="宋体" w:hAnsi="宋体" w:cs="宋体"/>
          <w:b/>
          <w:color w:val="000000" w:themeColor="text1"/>
          <w:sz w:val="36"/>
          <w:szCs w:val="36"/>
          <w14:textFill>
            <w14:solidFill>
              <w14:schemeClr w14:val="tx1"/>
            </w14:solidFill>
          </w14:textFill>
        </w:rPr>
        <w:sectPr>
          <w:pgSz w:w="11906" w:h="16838"/>
          <w:pgMar w:top="1134" w:right="1797" w:bottom="1134" w:left="1797" w:header="851" w:footer="992" w:gutter="0"/>
          <w:cols w:space="1701" w:num="1"/>
          <w:titlePg/>
          <w:docGrid w:linePitch="360" w:charSpace="0"/>
        </w:sectPr>
      </w:pPr>
    </w:p>
    <w:p w14:paraId="527307B2">
      <w:pPr>
        <w:spacing w:line="588" w:lineRule="exact"/>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1</w:t>
      </w:r>
      <w:r>
        <w:rPr>
          <w:rFonts w:hint="eastAsia" w:ascii="宋体" w:hAnsi="宋体" w:cs="宋体"/>
          <w:b/>
          <w:color w:val="000000" w:themeColor="text1"/>
          <w:sz w:val="36"/>
          <w:szCs w:val="36"/>
          <w:lang w:val="en-US" w:eastAsia="zh-CN"/>
          <w14:textFill>
            <w14:solidFill>
              <w14:schemeClr w14:val="tx1"/>
            </w14:solidFill>
          </w14:textFill>
        </w:rPr>
        <w:t>2</w:t>
      </w:r>
      <w:r>
        <w:rPr>
          <w:rFonts w:hint="eastAsia" w:ascii="宋体" w:hAnsi="宋体" w:cs="宋体"/>
          <w:b/>
          <w:color w:val="000000" w:themeColor="text1"/>
          <w:sz w:val="36"/>
          <w:szCs w:val="36"/>
          <w14:textFill>
            <w14:solidFill>
              <w14:schemeClr w14:val="tx1"/>
            </w14:solidFill>
          </w14:textFill>
        </w:rPr>
        <w:t>、残疾人福利性单位声明函</w:t>
      </w:r>
      <w:bookmarkEnd w:id="2"/>
      <w:bookmarkEnd w:id="3"/>
    </w:p>
    <w:p w14:paraId="1F36FA8A">
      <w:pPr>
        <w:spacing w:line="0" w:lineRule="atLeast"/>
        <w:jc w:val="center"/>
        <w:rPr>
          <w:rFonts w:ascii="宋体" w:hAnsi="宋体" w:cs="宋体"/>
          <w:color w:val="000000" w:themeColor="text1"/>
          <w:sz w:val="24"/>
          <w14:textFill>
            <w14:solidFill>
              <w14:schemeClr w14:val="tx1"/>
            </w14:solidFill>
          </w14:textFill>
        </w:rPr>
      </w:pPr>
    </w:p>
    <w:p w14:paraId="5150584D">
      <w:pPr>
        <w:spacing w:line="0" w:lineRule="atLeast"/>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（注：如供应商不属于残疾人福利性单位，不需提供此声明函）</w:t>
      </w:r>
    </w:p>
    <w:p w14:paraId="6ED108C1">
      <w:pPr>
        <w:spacing w:line="360" w:lineRule="auto"/>
        <w:rPr>
          <w:rFonts w:ascii="宋体" w:hAnsi="宋体" w:cs="宋体"/>
          <w:color w:val="000000" w:themeColor="text1"/>
          <w:sz w:val="24"/>
          <w14:textFill>
            <w14:solidFill>
              <w14:schemeClr w14:val="tx1"/>
            </w14:solidFill>
          </w14:textFill>
        </w:rPr>
      </w:pPr>
    </w:p>
    <w:p w14:paraId="73B4551A">
      <w:pPr>
        <w:spacing w:line="36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项目编号：</w:t>
      </w:r>
    </w:p>
    <w:p w14:paraId="1E5D7B0F">
      <w:pPr>
        <w:spacing w:line="360" w:lineRule="auto"/>
        <w:rPr>
          <w:rFonts w:ascii="宋体" w:hAnsi="宋体" w:cs="宋体"/>
          <w:color w:val="000000" w:themeColor="text1"/>
          <w:spacing w:val="6"/>
          <w:sz w:val="28"/>
          <w:szCs w:val="28"/>
          <w14:textFill>
            <w14:solidFill>
              <w14:schemeClr w14:val="tx1"/>
            </w14:solidFill>
          </w14:textFill>
        </w:rPr>
      </w:pPr>
      <w:r>
        <w:rPr>
          <w:rFonts w:hint="eastAsia" w:ascii="宋体" w:hAnsi="宋体" w:cs="宋体"/>
          <w:color w:val="000000" w:themeColor="text1"/>
          <w:spacing w:val="6"/>
          <w:sz w:val="28"/>
          <w:szCs w:val="28"/>
          <w14:textFill>
            <w14:solidFill>
              <w14:schemeClr w14:val="tx1"/>
            </w14:solidFill>
          </w14:textFill>
        </w:rPr>
        <w:t>项目名称：</w:t>
      </w:r>
    </w:p>
    <w:p w14:paraId="5020CABA">
      <w:pPr>
        <w:spacing w:line="360" w:lineRule="auto"/>
        <w:ind w:firstLine="584"/>
        <w:rPr>
          <w:rFonts w:ascii="宋体" w:hAnsi="宋体" w:cs="宋体"/>
          <w:color w:val="000000" w:themeColor="text1"/>
          <w:spacing w:val="6"/>
          <w:sz w:val="28"/>
          <w:szCs w:val="28"/>
          <w14:textFill>
            <w14:solidFill>
              <w14:schemeClr w14:val="tx1"/>
            </w14:solidFill>
          </w14:textFill>
        </w:rPr>
      </w:pPr>
      <w:r>
        <w:rPr>
          <w:rFonts w:hint="eastAsia" w:ascii="宋体" w:hAnsi="宋体" w:cs="宋体"/>
          <w:color w:val="000000" w:themeColor="text1"/>
          <w:spacing w:val="6"/>
          <w:sz w:val="28"/>
          <w:szCs w:val="28"/>
          <w14:textFill>
            <w14:solidFill>
              <w14:schemeClr w14:val="tx1"/>
            </w14:solidFill>
          </w14:textFill>
        </w:rPr>
        <w:t>本单位郑重声明，根据《财政部 民政部 中国残疾人联合会关于促进残疾人就业政府采购政策的通知》（财库</w:t>
      </w:r>
      <w:r>
        <w:rPr>
          <w:rFonts w:hint="eastAsia" w:ascii="宋体" w:hAnsi="宋体" w:cs="宋体"/>
          <w:color w:val="000000" w:themeColor="text1"/>
          <w:sz w:val="28"/>
          <w:szCs w:val="28"/>
          <w14:textFill>
            <w14:solidFill>
              <w14:schemeClr w14:val="tx1"/>
            </w14:solidFill>
          </w14:textFill>
        </w:rPr>
        <w:t>〔2017〕 141</w:t>
      </w:r>
      <w:r>
        <w:rPr>
          <w:rFonts w:hint="eastAsia" w:ascii="宋体" w:hAnsi="宋体" w:cs="宋体"/>
          <w:color w:val="000000" w:themeColor="text1"/>
          <w:spacing w:val="6"/>
          <w:sz w:val="28"/>
          <w:szCs w:val="28"/>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9F721F7">
      <w:pPr>
        <w:spacing w:line="360" w:lineRule="auto"/>
        <w:ind w:firstLine="584"/>
        <w:rPr>
          <w:rFonts w:ascii="宋体" w:hAnsi="宋体" w:cs="宋体"/>
          <w:color w:val="000000" w:themeColor="text1"/>
          <w:spacing w:val="6"/>
          <w:sz w:val="28"/>
          <w:szCs w:val="28"/>
          <w14:textFill>
            <w14:solidFill>
              <w14:schemeClr w14:val="tx1"/>
            </w14:solidFill>
          </w14:textFill>
        </w:rPr>
      </w:pPr>
      <w:r>
        <w:rPr>
          <w:rFonts w:hint="eastAsia" w:ascii="宋体" w:hAnsi="宋体" w:cs="宋体"/>
          <w:color w:val="000000" w:themeColor="text1"/>
          <w:spacing w:val="6"/>
          <w:sz w:val="28"/>
          <w:szCs w:val="28"/>
          <w14:textFill>
            <w14:solidFill>
              <w14:schemeClr w14:val="tx1"/>
            </w14:solidFill>
          </w14:textFill>
        </w:rPr>
        <w:t>本单位对上述声明的真实性负责。如有虚假，将依法承担相应责任。</w:t>
      </w:r>
    </w:p>
    <w:p w14:paraId="160451FC">
      <w:pPr>
        <w:tabs>
          <w:tab w:val="left" w:pos="4860"/>
        </w:tabs>
        <w:spacing w:line="588" w:lineRule="exact"/>
        <w:ind w:right="1560" w:firstLine="584"/>
        <w:rPr>
          <w:rFonts w:ascii="宋体" w:hAnsi="宋体" w:cs="宋体"/>
          <w:color w:val="000000" w:themeColor="text1"/>
          <w:spacing w:val="6"/>
          <w:sz w:val="28"/>
          <w:szCs w:val="28"/>
          <w14:textFill>
            <w14:solidFill>
              <w14:schemeClr w14:val="tx1"/>
            </w14:solidFill>
          </w14:textFill>
        </w:rPr>
      </w:pPr>
      <w:r>
        <w:rPr>
          <w:rFonts w:hint="eastAsia" w:ascii="宋体" w:hAnsi="宋体" w:cs="宋体"/>
          <w:color w:val="000000" w:themeColor="text1"/>
          <w:spacing w:val="6"/>
          <w:sz w:val="28"/>
          <w:szCs w:val="28"/>
          <w14:textFill>
            <w14:solidFill>
              <w14:schemeClr w14:val="tx1"/>
            </w14:solidFill>
          </w14:textFill>
        </w:rPr>
        <w:t>单位名称（电子签章）：</w:t>
      </w:r>
    </w:p>
    <w:p w14:paraId="25775871">
      <w:pPr>
        <w:tabs>
          <w:tab w:val="left" w:pos="4860"/>
        </w:tabs>
        <w:spacing w:line="588" w:lineRule="exact"/>
        <w:ind w:right="1560" w:firstLine="584"/>
        <w:rPr>
          <w:rFonts w:ascii="宋体" w:hAnsi="宋体" w:cs="宋体"/>
          <w:color w:val="000000" w:themeColor="text1"/>
          <w:spacing w:val="6"/>
          <w:sz w:val="28"/>
          <w:szCs w:val="28"/>
          <w14:textFill>
            <w14:solidFill>
              <w14:schemeClr w14:val="tx1"/>
            </w14:solidFill>
          </w14:textFill>
        </w:rPr>
      </w:pPr>
      <w:r>
        <w:rPr>
          <w:rFonts w:hint="eastAsia" w:ascii="宋体" w:hAnsi="宋体" w:cs="宋体"/>
          <w:color w:val="000000" w:themeColor="text1"/>
          <w:spacing w:val="6"/>
          <w:sz w:val="28"/>
          <w:szCs w:val="28"/>
          <w14:textFill>
            <w14:solidFill>
              <w14:schemeClr w14:val="tx1"/>
            </w14:solidFill>
          </w14:textFill>
        </w:rPr>
        <w:t>日  期：  年  月  日</w:t>
      </w:r>
    </w:p>
    <w:p w14:paraId="7F70A9C3">
      <w:pPr>
        <w:pStyle w:val="23"/>
        <w:ind w:left="0"/>
        <w:rPr>
          <w:rFonts w:ascii="宋体" w:hAnsi="宋体" w:cs="宋体"/>
          <w:color w:val="000000" w:themeColor="text1"/>
          <w14:textFill>
            <w14:solidFill>
              <w14:schemeClr w14:val="tx1"/>
            </w14:solidFill>
          </w14:textFill>
        </w:rPr>
      </w:pPr>
    </w:p>
    <w:p w14:paraId="4580E8B5">
      <w:pPr>
        <w:widowControl/>
        <w:ind w:firstLine="56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享受政府采购支持政策的残疾人福利性单位应当同时满足以下条件：</w:t>
      </w:r>
    </w:p>
    <w:p w14:paraId="6F1B185D">
      <w:pPr>
        <w:widowControl/>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（一）安置的残疾人占本单位在职职工人数的比例不低于25%（含25%），并且安置的残疾人人数不少于10人（含10人）；</w:t>
      </w:r>
    </w:p>
    <w:p w14:paraId="3FE5B30E">
      <w:pPr>
        <w:widowControl/>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（二）依法与安置的每位残疾人签订了一年以上（含一年）的劳动合同或服务协议；</w:t>
      </w:r>
    </w:p>
    <w:p w14:paraId="4B057247">
      <w:pPr>
        <w:widowControl/>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（三）为安置的每位残疾人按月足额缴纳了基本养老保险、基本医疗保险、失业保险、工伤保险和生育保险等社会保险费；</w:t>
      </w:r>
    </w:p>
    <w:p w14:paraId="080365D6">
      <w:pPr>
        <w:widowControl/>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（四）通过银行等金融机构向安置的每位残疾人，按月支付了不低于单位所在区县适用的经省级人民政府批准的月最低工资标准的工资；</w:t>
      </w:r>
    </w:p>
    <w:p w14:paraId="4D95F40E">
      <w:pPr>
        <w:widowControl/>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14:paraId="4F940550">
      <w:pPr>
        <w:widowControl/>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4A6E751">
      <w:pPr>
        <w:widowControl/>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具体以《财政部 民政部 中国残疾人联合会关于促进残疾人就业政府采购政策的通知》（财库〔2017〕141号）规定为准。</w:t>
      </w:r>
    </w:p>
    <w:p w14:paraId="65EC6D71">
      <w:pPr>
        <w:widowControl/>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说明：</w:t>
      </w:r>
    </w:p>
    <w:p w14:paraId="11430488">
      <w:pPr>
        <w:widowControl/>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中标、成交供应商为残疾人福利性单位的，采购人或者其委托的采购代理机构有权随中标、成交结果同时公告其《残疾人福利性单位声明函》，接受社会监督。</w:t>
      </w:r>
    </w:p>
    <w:p w14:paraId="38A1BD35">
      <w:pPr>
        <w:widowControl/>
        <w:jc w:val="left"/>
        <w:rPr>
          <w:rFonts w:ascii="宋体" w:hAnsi="宋体" w:cs="宋体"/>
          <w:b/>
          <w:color w:val="000000" w:themeColor="text1"/>
          <w:sz w:val="36"/>
          <w:szCs w:val="36"/>
          <w14:textFill>
            <w14:solidFill>
              <w14:schemeClr w14:val="tx1"/>
            </w14:solidFill>
          </w14:textFill>
        </w:rPr>
        <w:sectPr>
          <w:pgSz w:w="11906" w:h="16838"/>
          <w:pgMar w:top="1134" w:right="1797" w:bottom="1134" w:left="1797" w:header="851" w:footer="992" w:gutter="0"/>
          <w:cols w:space="1701" w:num="1"/>
          <w:titlePg/>
          <w:docGrid w:linePitch="360" w:charSpace="0"/>
        </w:sectPr>
      </w:pPr>
      <w:r>
        <w:rPr>
          <w:rFonts w:hint="eastAsia" w:ascii="宋体" w:hAnsi="宋体" w:cs="宋体"/>
          <w:color w:val="000000" w:themeColor="text1"/>
          <w:sz w:val="28"/>
          <w:szCs w:val="28"/>
          <w14:textFill>
            <w14:solidFill>
              <w14:schemeClr w14:val="tx1"/>
            </w14:solidFill>
          </w14:textFill>
        </w:rPr>
        <w:t>供应商提供的《残疾人福利性单位声明函》与事实不符的，依照《政府采购法》第七十七条第一款的规定追究法律责任。</w:t>
      </w:r>
    </w:p>
    <w:p w14:paraId="763BC40C">
      <w:pPr>
        <w:widowControl/>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lang w:val="en-US" w:eastAsia="zh-CN"/>
          <w14:textFill>
            <w14:solidFill>
              <w14:schemeClr w14:val="tx1"/>
            </w14:solidFill>
          </w14:textFill>
        </w:rPr>
        <w:t>13</w:t>
      </w:r>
      <w:r>
        <w:rPr>
          <w:rFonts w:hint="eastAsia" w:ascii="宋体" w:hAnsi="宋体" w:cs="宋体"/>
          <w:b/>
          <w:color w:val="000000" w:themeColor="text1"/>
          <w:sz w:val="36"/>
          <w:szCs w:val="36"/>
          <w14:textFill>
            <w14:solidFill>
              <w14:schemeClr w14:val="tx1"/>
            </w14:solidFill>
          </w14:textFill>
        </w:rPr>
        <w:t>、预付款保函支付条款模板</w:t>
      </w:r>
    </w:p>
    <w:p w14:paraId="6E54D33D">
      <w:pPr>
        <w:spacing w:line="480" w:lineRule="exact"/>
        <w:ind w:firstLine="565"/>
        <w:rPr>
          <w:rFonts w:ascii="宋体" w:hAnsi="宋体" w:cs="宋体"/>
          <w:b/>
          <w:color w:val="000000" w:themeColor="text1"/>
          <w:sz w:val="28"/>
          <w:szCs w:val="28"/>
          <w14:textFill>
            <w14:solidFill>
              <w14:schemeClr w14:val="tx1"/>
            </w14:solidFill>
          </w14:textFill>
        </w:rPr>
      </w:pPr>
    </w:p>
    <w:p w14:paraId="0746FDC5">
      <w:pPr>
        <w:spacing w:line="360" w:lineRule="auto"/>
        <w:ind w:firstLine="484"/>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符合条件一：提交预付款保函的</w:t>
      </w:r>
    </w:p>
    <w:p w14:paraId="6F54FFD9">
      <w:pPr>
        <w:spacing w:line="360" w:lineRule="auto"/>
        <w:ind w:firstLine="482"/>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（1）合同签订且乙方向甲方出具预付款保函后</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个工作日内，甲方应支付合同价款的百分之</w:t>
      </w:r>
      <w:r>
        <w:rPr>
          <w:rFonts w:hint="eastAsia" w:ascii="宋体" w:hAnsi="宋体" w:cs="宋体"/>
          <w:color w:val="000000" w:themeColor="text1"/>
          <w:sz w:val="28"/>
          <w:szCs w:val="28"/>
          <w:u w:val="single"/>
          <w14:textFill>
            <w14:solidFill>
              <w14:schemeClr w14:val="tx1"/>
            </w14:solidFill>
          </w14:textFill>
        </w:rPr>
        <w:t xml:space="preserve">        XX（    XX%），</w:t>
      </w:r>
      <w:r>
        <w:rPr>
          <w:rFonts w:hint="eastAsia" w:ascii="宋体" w:hAnsi="宋体" w:cs="宋体"/>
          <w:color w:val="000000" w:themeColor="text1"/>
          <w:sz w:val="28"/>
          <w:szCs w:val="28"/>
          <w14:textFill>
            <w14:solidFill>
              <w14:schemeClr w14:val="tx1"/>
            </w14:solidFill>
          </w14:textFill>
        </w:rPr>
        <w:t>小写￥</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大写：人民币</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w:t>
      </w:r>
    </w:p>
    <w:p w14:paraId="01C32C90">
      <w:pPr>
        <w:spacing w:line="360" w:lineRule="auto"/>
        <w:ind w:left="140" w:firstLine="482"/>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乙方需提交的支付文件：乙方出具的全额正式发票。</w:t>
      </w:r>
    </w:p>
    <w:p w14:paraId="2128815F">
      <w:pPr>
        <w:spacing w:line="360" w:lineRule="auto"/>
        <w:ind w:left="140" w:firstLine="482"/>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（2）验收合格后</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个工作日内，甲方应支付合同价款的百分之</w:t>
      </w:r>
      <w:r>
        <w:rPr>
          <w:rFonts w:hint="eastAsia" w:ascii="宋体" w:hAnsi="宋体" w:cs="宋体"/>
          <w:color w:val="000000" w:themeColor="text1"/>
          <w:sz w:val="28"/>
          <w:szCs w:val="28"/>
          <w:u w:val="single"/>
          <w14:textFill>
            <w14:solidFill>
              <w14:schemeClr w14:val="tx1"/>
            </w14:solidFill>
          </w14:textFill>
        </w:rPr>
        <w:t>XX（    XX%），</w:t>
      </w:r>
      <w:r>
        <w:rPr>
          <w:rFonts w:hint="eastAsia" w:ascii="宋体" w:hAnsi="宋体" w:cs="宋体"/>
          <w:color w:val="000000" w:themeColor="text1"/>
          <w:sz w:val="28"/>
          <w:szCs w:val="28"/>
          <w14:textFill>
            <w14:solidFill>
              <w14:schemeClr w14:val="tx1"/>
            </w14:solidFill>
          </w14:textFill>
        </w:rPr>
        <w:t>小写￥</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大写：人民币</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w:t>
      </w:r>
    </w:p>
    <w:p w14:paraId="00C368C8">
      <w:pPr>
        <w:spacing w:line="360" w:lineRule="auto"/>
        <w:ind w:firstLine="484"/>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w:t>
      </w:r>
    </w:p>
    <w:p w14:paraId="5C7D1545">
      <w:pPr>
        <w:spacing w:line="360" w:lineRule="auto"/>
        <w:ind w:firstLine="484"/>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符合条件二：不提交预付款保函的</w:t>
      </w:r>
    </w:p>
    <w:p w14:paraId="03C6D9F4">
      <w:pPr>
        <w:spacing w:line="360" w:lineRule="auto"/>
        <w:ind w:firstLine="482"/>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（1）合同签订后</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个工作日内，甲方应支付合同价款的百分之</w:t>
      </w:r>
      <w:r>
        <w:rPr>
          <w:rFonts w:hint="eastAsia" w:ascii="宋体" w:hAnsi="宋体" w:cs="宋体"/>
          <w:color w:val="000000" w:themeColor="text1"/>
          <w:sz w:val="28"/>
          <w:szCs w:val="28"/>
          <w:u w:val="single"/>
          <w14:textFill>
            <w14:solidFill>
              <w14:schemeClr w14:val="tx1"/>
            </w14:solidFill>
          </w14:textFill>
        </w:rPr>
        <w:t>XX（    XX%），</w:t>
      </w:r>
      <w:r>
        <w:rPr>
          <w:rFonts w:hint="eastAsia" w:ascii="宋体" w:hAnsi="宋体" w:cs="宋体"/>
          <w:color w:val="000000" w:themeColor="text1"/>
          <w:sz w:val="28"/>
          <w:szCs w:val="28"/>
          <w14:textFill>
            <w14:solidFill>
              <w14:schemeClr w14:val="tx1"/>
            </w14:solidFill>
          </w14:textFill>
        </w:rPr>
        <w:t>小写￥</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大写：人民币</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w:t>
      </w:r>
    </w:p>
    <w:p w14:paraId="59556B96">
      <w:pPr>
        <w:spacing w:line="360" w:lineRule="auto"/>
        <w:ind w:left="140" w:firstLine="482"/>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乙方需提交的支付文件：乙方出具的全额正式发票。</w:t>
      </w:r>
    </w:p>
    <w:p w14:paraId="015731B1">
      <w:pPr>
        <w:spacing w:line="360" w:lineRule="auto"/>
        <w:ind w:left="140" w:firstLine="482"/>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（2）验收合格后</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个工作日内，甲方应支付合同价款的百分之</w:t>
      </w:r>
      <w:r>
        <w:rPr>
          <w:rFonts w:hint="eastAsia" w:ascii="宋体" w:hAnsi="宋体" w:cs="宋体"/>
          <w:color w:val="000000" w:themeColor="text1"/>
          <w:sz w:val="28"/>
          <w:szCs w:val="28"/>
          <w:u w:val="single"/>
          <w14:textFill>
            <w14:solidFill>
              <w14:schemeClr w14:val="tx1"/>
            </w14:solidFill>
          </w14:textFill>
        </w:rPr>
        <w:t>XX（    XX%），</w:t>
      </w:r>
      <w:r>
        <w:rPr>
          <w:rFonts w:hint="eastAsia" w:ascii="宋体" w:hAnsi="宋体" w:cs="宋体"/>
          <w:color w:val="000000" w:themeColor="text1"/>
          <w:sz w:val="28"/>
          <w:szCs w:val="28"/>
          <w14:textFill>
            <w14:solidFill>
              <w14:schemeClr w14:val="tx1"/>
            </w14:solidFill>
          </w14:textFill>
        </w:rPr>
        <w:t>小写￥</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大写：人民币</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w:t>
      </w:r>
    </w:p>
    <w:p w14:paraId="337294C4">
      <w:pPr>
        <w:spacing w:line="360" w:lineRule="auto"/>
        <w:ind w:firstLine="484"/>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w:t>
      </w:r>
    </w:p>
    <w:p w14:paraId="1999798E">
      <w:pPr>
        <w:spacing w:line="360" w:lineRule="auto"/>
        <w:ind w:left="140" w:firstLine="484"/>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注:</w:t>
      </w:r>
    </w:p>
    <w:p w14:paraId="21D91DC5">
      <w:pPr>
        <w:spacing w:line="360" w:lineRule="auto"/>
        <w:ind w:left="140" w:firstLine="482"/>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1、付款条件一中，出具预付款保函后支付的合同款应当与保函金额一致。</w:t>
      </w:r>
    </w:p>
    <w:p w14:paraId="502F4606">
      <w:pPr>
        <w:spacing w:line="360" w:lineRule="auto"/>
        <w:ind w:left="140" w:firstLine="482"/>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2、付款条件二中，预付款比例设定应符合《关于做好政府采购支持企业发展有关事项的通知》(苏财购〔2020〕52号)要求。</w:t>
      </w:r>
    </w:p>
    <w:p w14:paraId="4BC22479">
      <w:pPr>
        <w:pStyle w:val="23"/>
        <w:rPr>
          <w:rFonts w:ascii="宋体" w:hAnsi="宋体" w:cs="宋体"/>
          <w:color w:val="000000" w:themeColor="text1"/>
          <w14:textFill>
            <w14:solidFill>
              <w14:schemeClr w14:val="tx1"/>
            </w14:solidFill>
          </w14:textFill>
        </w:rPr>
      </w:pPr>
    </w:p>
    <w:p w14:paraId="5AAAE086">
      <w:pPr>
        <w:widowControl/>
        <w:ind w:firstLine="480"/>
        <w:rPr>
          <w:rFonts w:ascii="宋体" w:hAnsi="宋体" w:cs="宋体"/>
          <w:color w:val="000000" w:themeColor="text1"/>
          <w:sz w:val="24"/>
          <w14:textFill>
            <w14:solidFill>
              <w14:schemeClr w14:val="tx1"/>
            </w14:solidFill>
          </w14:textFill>
        </w:rPr>
      </w:pPr>
    </w:p>
    <w:p w14:paraId="0FF4D43D"/>
    <w:p w14:paraId="0133E0B7"/>
    <w:p w14:paraId="431DBFAE"/>
    <w:p w14:paraId="7C24F4CB"/>
    <w:p w14:paraId="762455E1"/>
    <w:p w14:paraId="0D5027E7"/>
    <w:p w14:paraId="5A5B9444"/>
    <w:p w14:paraId="786E2897"/>
    <w:p w14:paraId="7B944563">
      <w:pPr>
        <w:pStyle w:val="21"/>
        <w:widowControl/>
        <w:spacing w:line="520" w:lineRule="exact"/>
        <w:jc w:val="center"/>
        <w:rPr>
          <w:rFonts w:hint="eastAsia" w:ascii="宋体" w:hAnsi="宋体" w:eastAsia="宋体" w:cs="宋体"/>
          <w:b/>
          <w:color w:val="000000"/>
          <w:spacing w:val="0"/>
          <w:sz w:val="30"/>
          <w:szCs w:val="30"/>
        </w:rPr>
      </w:pPr>
      <w:r>
        <w:rPr>
          <w:rFonts w:hint="eastAsia" w:ascii="宋体" w:hAnsi="宋体" w:eastAsia="宋体" w:cs="宋体"/>
          <w:b/>
          <w:color w:val="000000"/>
          <w:spacing w:val="0"/>
          <w:sz w:val="30"/>
          <w:szCs w:val="30"/>
          <w:lang w:val="en-US" w:eastAsia="zh-CN"/>
        </w:rPr>
        <w:t>14、</w:t>
      </w:r>
      <w:r>
        <w:rPr>
          <w:rFonts w:hint="eastAsia" w:ascii="宋体" w:hAnsi="宋体" w:eastAsia="宋体" w:cs="宋体"/>
          <w:b/>
          <w:color w:val="000000"/>
          <w:spacing w:val="0"/>
          <w:sz w:val="30"/>
          <w:szCs w:val="30"/>
        </w:rPr>
        <w:t>招标代理服务收费标准</w:t>
      </w:r>
    </w:p>
    <w:tbl>
      <w:tblPr>
        <w:tblStyle w:val="52"/>
        <w:tblW w:w="82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25"/>
        <w:gridCol w:w="2154"/>
      </w:tblGrid>
      <w:tr w14:paraId="140E8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6125" w:type="dxa"/>
            <w:noWrap w:val="0"/>
            <w:vAlign w:val="top"/>
          </w:tcPr>
          <w:p w14:paraId="1240D717">
            <w:pPr>
              <w:pStyle w:val="51"/>
              <w:spacing w:before="153" w:line="219" w:lineRule="auto"/>
              <w:rPr>
                <w:rFonts w:hint="eastAsia" w:ascii="宋体" w:hAnsi="宋体" w:eastAsia="宋体" w:cs="宋体"/>
                <w:spacing w:val="0"/>
                <w:sz w:val="28"/>
                <w:szCs w:val="28"/>
              </w:rPr>
            </w:pPr>
            <w:r>
              <w:rPr>
                <w:rFonts w:hint="eastAsia" w:ascii="宋体" w:hAnsi="宋体" w:eastAsia="宋体" w:cs="宋体"/>
                <w:b/>
                <w:bCs/>
                <w:spacing w:val="0"/>
                <w:sz w:val="28"/>
                <w:szCs w:val="28"/>
              </w:rPr>
              <w:t>中标或者成交金额</w:t>
            </w:r>
          </w:p>
        </w:tc>
        <w:tc>
          <w:tcPr>
            <w:tcW w:w="2154" w:type="dxa"/>
            <w:noWrap w:val="0"/>
            <w:vAlign w:val="top"/>
          </w:tcPr>
          <w:p w14:paraId="241B2B60">
            <w:pPr>
              <w:pStyle w:val="51"/>
              <w:spacing w:before="153" w:line="219" w:lineRule="auto"/>
              <w:rPr>
                <w:rFonts w:hint="eastAsia" w:ascii="宋体" w:hAnsi="宋体" w:eastAsia="宋体" w:cs="宋体"/>
                <w:spacing w:val="0"/>
                <w:sz w:val="28"/>
                <w:szCs w:val="28"/>
              </w:rPr>
            </w:pPr>
            <w:r>
              <w:rPr>
                <w:rFonts w:hint="eastAsia" w:ascii="宋体" w:hAnsi="宋体" w:eastAsia="宋体" w:cs="宋体"/>
                <w:b/>
                <w:bCs/>
                <w:spacing w:val="0"/>
                <w:sz w:val="28"/>
                <w:szCs w:val="28"/>
              </w:rPr>
              <w:t>费率</w:t>
            </w:r>
          </w:p>
        </w:tc>
      </w:tr>
      <w:tr w14:paraId="24B8E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6125" w:type="dxa"/>
            <w:noWrap w:val="0"/>
            <w:vAlign w:val="top"/>
          </w:tcPr>
          <w:p w14:paraId="038680C7">
            <w:pPr>
              <w:pStyle w:val="51"/>
              <w:spacing w:before="153" w:line="219" w:lineRule="auto"/>
              <w:ind w:left="114"/>
              <w:rPr>
                <w:rFonts w:hint="eastAsia" w:ascii="宋体" w:hAnsi="宋体" w:eastAsia="宋体" w:cs="宋体"/>
                <w:spacing w:val="0"/>
                <w:sz w:val="28"/>
                <w:szCs w:val="28"/>
              </w:rPr>
            </w:pPr>
            <w:r>
              <w:rPr>
                <w:rFonts w:hint="eastAsia" w:ascii="宋体" w:hAnsi="宋体" w:eastAsia="宋体" w:cs="宋体"/>
                <w:spacing w:val="0"/>
                <w:sz w:val="28"/>
                <w:szCs w:val="28"/>
              </w:rPr>
              <w:t>最低收费金额(每个委托项目)</w:t>
            </w:r>
          </w:p>
        </w:tc>
        <w:tc>
          <w:tcPr>
            <w:tcW w:w="2154" w:type="dxa"/>
            <w:noWrap w:val="0"/>
            <w:vAlign w:val="top"/>
          </w:tcPr>
          <w:p w14:paraId="15D61962">
            <w:pPr>
              <w:pStyle w:val="51"/>
              <w:spacing w:before="154" w:line="220" w:lineRule="auto"/>
              <w:ind w:left="87"/>
              <w:rPr>
                <w:rFonts w:hint="eastAsia" w:ascii="宋体" w:hAnsi="宋体" w:eastAsia="宋体" w:cs="宋体"/>
                <w:spacing w:val="0"/>
                <w:sz w:val="28"/>
                <w:szCs w:val="28"/>
              </w:rPr>
            </w:pPr>
            <w:r>
              <w:rPr>
                <w:rFonts w:hint="eastAsia" w:ascii="宋体" w:hAnsi="宋体" w:eastAsia="宋体" w:cs="宋体"/>
                <w:spacing w:val="0"/>
                <w:sz w:val="28"/>
                <w:szCs w:val="28"/>
              </w:rPr>
              <w:t>5000元</w:t>
            </w:r>
          </w:p>
        </w:tc>
      </w:tr>
      <w:tr w14:paraId="07C73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6125" w:type="dxa"/>
            <w:noWrap w:val="0"/>
            <w:vAlign w:val="top"/>
          </w:tcPr>
          <w:p w14:paraId="6454E185">
            <w:pPr>
              <w:pStyle w:val="51"/>
              <w:spacing w:before="164" w:line="219" w:lineRule="auto"/>
              <w:ind w:left="114"/>
              <w:rPr>
                <w:rFonts w:hint="eastAsia" w:ascii="宋体" w:hAnsi="宋体" w:eastAsia="宋体" w:cs="宋体"/>
                <w:spacing w:val="0"/>
                <w:sz w:val="28"/>
                <w:szCs w:val="28"/>
              </w:rPr>
            </w:pPr>
            <w:r>
              <w:rPr>
                <w:rFonts w:hint="eastAsia" w:ascii="宋体" w:hAnsi="宋体" w:eastAsia="宋体" w:cs="宋体"/>
                <w:spacing w:val="0"/>
                <w:sz w:val="28"/>
                <w:szCs w:val="28"/>
              </w:rPr>
              <w:t>50万元以下(含50万元)</w:t>
            </w:r>
          </w:p>
        </w:tc>
        <w:tc>
          <w:tcPr>
            <w:tcW w:w="2154" w:type="dxa"/>
            <w:noWrap w:val="0"/>
            <w:vAlign w:val="top"/>
          </w:tcPr>
          <w:p w14:paraId="389F047E">
            <w:pPr>
              <w:pStyle w:val="51"/>
              <w:spacing w:before="243" w:line="184" w:lineRule="auto"/>
              <w:ind w:left="87"/>
              <w:rPr>
                <w:rFonts w:hint="eastAsia" w:ascii="宋体" w:hAnsi="宋体" w:eastAsia="宋体" w:cs="宋体"/>
                <w:spacing w:val="0"/>
                <w:sz w:val="28"/>
                <w:szCs w:val="28"/>
              </w:rPr>
            </w:pPr>
            <w:r>
              <w:rPr>
                <w:rFonts w:hint="eastAsia" w:ascii="宋体" w:hAnsi="宋体" w:eastAsia="宋体" w:cs="宋体"/>
                <w:spacing w:val="0"/>
                <w:sz w:val="28"/>
                <w:szCs w:val="28"/>
              </w:rPr>
              <w:t>1.6%</w:t>
            </w:r>
          </w:p>
        </w:tc>
      </w:tr>
      <w:tr w14:paraId="0E6E7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6125" w:type="dxa"/>
            <w:noWrap w:val="0"/>
            <w:vAlign w:val="top"/>
          </w:tcPr>
          <w:p w14:paraId="5E58F27E">
            <w:pPr>
              <w:pStyle w:val="51"/>
              <w:spacing w:before="165" w:line="219" w:lineRule="auto"/>
              <w:ind w:left="114"/>
              <w:rPr>
                <w:rFonts w:hint="eastAsia" w:ascii="宋体" w:hAnsi="宋体" w:eastAsia="宋体" w:cs="宋体"/>
                <w:spacing w:val="0"/>
                <w:sz w:val="28"/>
                <w:szCs w:val="28"/>
              </w:rPr>
            </w:pPr>
            <w:r>
              <w:rPr>
                <w:rFonts w:hint="eastAsia" w:ascii="宋体" w:hAnsi="宋体" w:eastAsia="宋体" w:cs="宋体"/>
                <w:spacing w:val="0"/>
                <w:sz w:val="28"/>
                <w:szCs w:val="28"/>
              </w:rPr>
              <w:t>50-400万元(含400万元)</w:t>
            </w:r>
          </w:p>
        </w:tc>
        <w:tc>
          <w:tcPr>
            <w:tcW w:w="2154" w:type="dxa"/>
            <w:noWrap w:val="0"/>
            <w:vAlign w:val="top"/>
          </w:tcPr>
          <w:p w14:paraId="2D365D79">
            <w:pPr>
              <w:pStyle w:val="51"/>
              <w:spacing w:before="244" w:line="184" w:lineRule="auto"/>
              <w:ind w:left="87"/>
              <w:rPr>
                <w:rFonts w:hint="eastAsia" w:ascii="宋体" w:hAnsi="宋体" w:eastAsia="宋体" w:cs="宋体"/>
                <w:spacing w:val="0"/>
                <w:sz w:val="28"/>
                <w:szCs w:val="28"/>
              </w:rPr>
            </w:pPr>
            <w:r>
              <w:rPr>
                <w:rFonts w:hint="eastAsia" w:ascii="宋体" w:hAnsi="宋体" w:eastAsia="宋体" w:cs="宋体"/>
                <w:spacing w:val="0"/>
                <w:sz w:val="28"/>
                <w:szCs w:val="28"/>
              </w:rPr>
              <w:t>1.5%</w:t>
            </w:r>
          </w:p>
        </w:tc>
      </w:tr>
      <w:tr w14:paraId="79FBB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6125" w:type="dxa"/>
            <w:noWrap w:val="0"/>
            <w:vAlign w:val="top"/>
          </w:tcPr>
          <w:p w14:paraId="7ECBD9C2">
            <w:pPr>
              <w:pStyle w:val="51"/>
              <w:spacing w:before="166" w:line="219" w:lineRule="auto"/>
              <w:ind w:left="114"/>
              <w:rPr>
                <w:rFonts w:hint="eastAsia" w:ascii="宋体" w:hAnsi="宋体" w:eastAsia="宋体" w:cs="宋体"/>
                <w:spacing w:val="0"/>
                <w:sz w:val="28"/>
                <w:szCs w:val="28"/>
              </w:rPr>
            </w:pPr>
            <w:r>
              <w:rPr>
                <w:rFonts w:hint="eastAsia" w:ascii="宋体" w:hAnsi="宋体" w:eastAsia="宋体" w:cs="宋体"/>
                <w:spacing w:val="0"/>
                <w:sz w:val="28"/>
                <w:szCs w:val="28"/>
              </w:rPr>
              <w:t>400-1000万元(含1000万元)</w:t>
            </w:r>
          </w:p>
        </w:tc>
        <w:tc>
          <w:tcPr>
            <w:tcW w:w="2154" w:type="dxa"/>
            <w:noWrap w:val="0"/>
            <w:vAlign w:val="top"/>
          </w:tcPr>
          <w:p w14:paraId="4E087A55">
            <w:pPr>
              <w:pStyle w:val="51"/>
              <w:spacing w:before="245" w:line="184" w:lineRule="auto"/>
              <w:ind w:left="87"/>
              <w:rPr>
                <w:rFonts w:hint="eastAsia" w:ascii="宋体" w:hAnsi="宋体" w:eastAsia="宋体" w:cs="宋体"/>
                <w:spacing w:val="0"/>
                <w:sz w:val="28"/>
                <w:szCs w:val="28"/>
              </w:rPr>
            </w:pPr>
            <w:r>
              <w:rPr>
                <w:rFonts w:hint="eastAsia" w:ascii="宋体" w:hAnsi="宋体" w:eastAsia="宋体" w:cs="宋体"/>
                <w:spacing w:val="0"/>
                <w:sz w:val="28"/>
                <w:szCs w:val="28"/>
              </w:rPr>
              <w:t>1.1%</w:t>
            </w:r>
          </w:p>
        </w:tc>
      </w:tr>
      <w:tr w14:paraId="62E76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6125" w:type="dxa"/>
            <w:noWrap w:val="0"/>
            <w:vAlign w:val="top"/>
          </w:tcPr>
          <w:p w14:paraId="1D3D0DA6">
            <w:pPr>
              <w:pStyle w:val="51"/>
              <w:spacing w:before="157" w:line="219" w:lineRule="auto"/>
              <w:ind w:left="114"/>
              <w:rPr>
                <w:rFonts w:hint="eastAsia" w:ascii="宋体" w:hAnsi="宋体" w:eastAsia="宋体" w:cs="宋体"/>
                <w:spacing w:val="0"/>
                <w:sz w:val="28"/>
                <w:szCs w:val="28"/>
              </w:rPr>
            </w:pPr>
            <w:r>
              <w:rPr>
                <w:rFonts w:hint="eastAsia" w:ascii="宋体" w:hAnsi="宋体" w:eastAsia="宋体" w:cs="宋体"/>
                <w:spacing w:val="0"/>
                <w:sz w:val="28"/>
                <w:szCs w:val="28"/>
              </w:rPr>
              <w:t>1000-5000万元(含5000万元)</w:t>
            </w:r>
          </w:p>
        </w:tc>
        <w:tc>
          <w:tcPr>
            <w:tcW w:w="2154" w:type="dxa"/>
            <w:noWrap w:val="0"/>
            <w:vAlign w:val="top"/>
          </w:tcPr>
          <w:p w14:paraId="7F7DDC7C">
            <w:pPr>
              <w:pStyle w:val="51"/>
              <w:spacing w:before="237" w:line="183" w:lineRule="auto"/>
              <w:ind w:left="87"/>
              <w:rPr>
                <w:rFonts w:hint="eastAsia" w:ascii="宋体" w:hAnsi="宋体" w:eastAsia="宋体" w:cs="宋体"/>
                <w:spacing w:val="0"/>
                <w:sz w:val="28"/>
                <w:szCs w:val="28"/>
              </w:rPr>
            </w:pPr>
            <w:r>
              <w:rPr>
                <w:rFonts w:hint="eastAsia" w:ascii="宋体" w:hAnsi="宋体" w:eastAsia="宋体" w:cs="宋体"/>
                <w:spacing w:val="0"/>
                <w:sz w:val="28"/>
                <w:szCs w:val="28"/>
                <w:lang w:eastAsia="zh-CN"/>
              </w:rPr>
              <w:t>1</w:t>
            </w:r>
            <w:r>
              <w:rPr>
                <w:rFonts w:hint="eastAsia" w:ascii="宋体" w:hAnsi="宋体" w:eastAsia="宋体" w:cs="宋体"/>
                <w:spacing w:val="0"/>
                <w:sz w:val="28"/>
                <w:szCs w:val="28"/>
              </w:rPr>
              <w:t>%</w:t>
            </w:r>
          </w:p>
        </w:tc>
      </w:tr>
      <w:tr w14:paraId="326DA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6125" w:type="dxa"/>
            <w:noWrap w:val="0"/>
            <w:vAlign w:val="top"/>
          </w:tcPr>
          <w:p w14:paraId="5AD99162">
            <w:pPr>
              <w:pStyle w:val="51"/>
              <w:spacing w:before="168" w:line="219" w:lineRule="auto"/>
              <w:ind w:left="114"/>
              <w:rPr>
                <w:rFonts w:hint="eastAsia" w:ascii="宋体" w:hAnsi="宋体" w:eastAsia="宋体" w:cs="宋体"/>
                <w:spacing w:val="0"/>
                <w:sz w:val="28"/>
                <w:szCs w:val="28"/>
              </w:rPr>
            </w:pPr>
            <w:r>
              <w:rPr>
                <w:rFonts w:hint="eastAsia" w:ascii="宋体" w:hAnsi="宋体" w:eastAsia="宋体" w:cs="宋体"/>
                <w:spacing w:val="0"/>
                <w:sz w:val="28"/>
                <w:szCs w:val="28"/>
              </w:rPr>
              <w:t>5000-1亿元(含1亿元)</w:t>
            </w:r>
          </w:p>
        </w:tc>
        <w:tc>
          <w:tcPr>
            <w:tcW w:w="2154" w:type="dxa"/>
            <w:noWrap w:val="0"/>
            <w:vAlign w:val="top"/>
          </w:tcPr>
          <w:p w14:paraId="343297AE">
            <w:pPr>
              <w:pStyle w:val="51"/>
              <w:spacing w:before="248" w:line="183" w:lineRule="auto"/>
              <w:ind w:left="87"/>
              <w:rPr>
                <w:rFonts w:hint="eastAsia" w:ascii="宋体" w:hAnsi="宋体" w:eastAsia="宋体" w:cs="宋体"/>
                <w:spacing w:val="0"/>
                <w:sz w:val="28"/>
                <w:szCs w:val="28"/>
              </w:rPr>
            </w:pPr>
            <w:r>
              <w:rPr>
                <w:rFonts w:hint="eastAsia" w:ascii="宋体" w:hAnsi="宋体" w:eastAsia="宋体" w:cs="宋体"/>
                <w:spacing w:val="0"/>
                <w:sz w:val="28"/>
                <w:szCs w:val="28"/>
              </w:rPr>
              <w:t>0.25%</w:t>
            </w:r>
          </w:p>
        </w:tc>
      </w:tr>
      <w:tr w14:paraId="33AC7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125" w:type="dxa"/>
            <w:noWrap w:val="0"/>
            <w:vAlign w:val="top"/>
          </w:tcPr>
          <w:p w14:paraId="0F57CEBC">
            <w:pPr>
              <w:pStyle w:val="51"/>
              <w:spacing w:before="169" w:line="219" w:lineRule="auto"/>
              <w:ind w:left="114"/>
              <w:rPr>
                <w:rFonts w:hint="eastAsia" w:ascii="宋体" w:hAnsi="宋体" w:eastAsia="宋体" w:cs="宋体"/>
                <w:spacing w:val="0"/>
                <w:sz w:val="28"/>
                <w:szCs w:val="28"/>
              </w:rPr>
            </w:pPr>
            <w:r>
              <w:rPr>
                <w:rFonts w:hint="eastAsia" w:ascii="宋体" w:hAnsi="宋体" w:eastAsia="宋体" w:cs="宋体"/>
                <w:spacing w:val="0"/>
                <w:sz w:val="28"/>
                <w:szCs w:val="28"/>
              </w:rPr>
              <w:t>1-10亿元(含10亿元)</w:t>
            </w:r>
          </w:p>
        </w:tc>
        <w:tc>
          <w:tcPr>
            <w:tcW w:w="2154" w:type="dxa"/>
            <w:noWrap w:val="0"/>
            <w:vAlign w:val="top"/>
          </w:tcPr>
          <w:p w14:paraId="512D7E48">
            <w:pPr>
              <w:pStyle w:val="51"/>
              <w:spacing w:before="249" w:line="183" w:lineRule="auto"/>
              <w:ind w:left="87"/>
              <w:rPr>
                <w:rFonts w:hint="eastAsia" w:ascii="宋体" w:hAnsi="宋体" w:eastAsia="宋体" w:cs="宋体"/>
                <w:spacing w:val="0"/>
                <w:sz w:val="28"/>
                <w:szCs w:val="28"/>
              </w:rPr>
            </w:pPr>
            <w:r>
              <w:rPr>
                <w:rFonts w:hint="eastAsia" w:ascii="宋体" w:hAnsi="宋体" w:eastAsia="宋体" w:cs="宋体"/>
                <w:spacing w:val="0"/>
                <w:sz w:val="28"/>
                <w:szCs w:val="28"/>
              </w:rPr>
              <w:t>0.05%</w:t>
            </w:r>
          </w:p>
        </w:tc>
      </w:tr>
      <w:tr w14:paraId="05F1F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6125" w:type="dxa"/>
            <w:noWrap w:val="0"/>
            <w:vAlign w:val="top"/>
          </w:tcPr>
          <w:p w14:paraId="559DF327">
            <w:pPr>
              <w:pStyle w:val="51"/>
              <w:spacing w:before="160" w:line="219" w:lineRule="auto"/>
              <w:ind w:left="114"/>
              <w:rPr>
                <w:rFonts w:hint="eastAsia" w:ascii="宋体" w:hAnsi="宋体" w:eastAsia="宋体" w:cs="宋体"/>
                <w:spacing w:val="0"/>
                <w:sz w:val="28"/>
                <w:szCs w:val="28"/>
              </w:rPr>
            </w:pPr>
            <w:r>
              <w:rPr>
                <w:rFonts w:hint="eastAsia" w:ascii="宋体" w:hAnsi="宋体" w:eastAsia="宋体" w:cs="宋体"/>
                <w:spacing w:val="0"/>
                <w:sz w:val="28"/>
                <w:szCs w:val="28"/>
              </w:rPr>
              <w:t>10-50亿元(含50亿元)</w:t>
            </w:r>
          </w:p>
        </w:tc>
        <w:tc>
          <w:tcPr>
            <w:tcW w:w="2154" w:type="dxa"/>
            <w:noWrap w:val="0"/>
            <w:vAlign w:val="top"/>
          </w:tcPr>
          <w:p w14:paraId="64D36127">
            <w:pPr>
              <w:pStyle w:val="51"/>
              <w:spacing w:before="239" w:line="184" w:lineRule="auto"/>
              <w:ind w:left="87"/>
              <w:rPr>
                <w:rFonts w:hint="eastAsia" w:ascii="宋体" w:hAnsi="宋体" w:eastAsia="宋体" w:cs="宋体"/>
                <w:spacing w:val="0"/>
                <w:sz w:val="28"/>
                <w:szCs w:val="28"/>
              </w:rPr>
            </w:pPr>
            <w:r>
              <w:rPr>
                <w:rFonts w:hint="eastAsia" w:ascii="宋体" w:hAnsi="宋体" w:eastAsia="宋体" w:cs="宋体"/>
                <w:spacing w:val="0"/>
                <w:sz w:val="28"/>
                <w:szCs w:val="28"/>
              </w:rPr>
              <w:t>0.01%</w:t>
            </w:r>
          </w:p>
        </w:tc>
      </w:tr>
      <w:tr w14:paraId="3B5D0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6125" w:type="dxa"/>
            <w:noWrap w:val="0"/>
            <w:vAlign w:val="top"/>
          </w:tcPr>
          <w:p w14:paraId="7105B81A">
            <w:pPr>
              <w:pStyle w:val="51"/>
              <w:spacing w:before="172" w:line="220" w:lineRule="auto"/>
              <w:ind w:left="114"/>
              <w:rPr>
                <w:rFonts w:hint="eastAsia" w:ascii="宋体" w:hAnsi="宋体" w:eastAsia="宋体" w:cs="宋体"/>
                <w:spacing w:val="0"/>
                <w:sz w:val="28"/>
                <w:szCs w:val="28"/>
              </w:rPr>
            </w:pPr>
            <w:r>
              <w:rPr>
                <w:rFonts w:hint="eastAsia" w:ascii="宋体" w:hAnsi="宋体" w:eastAsia="宋体" w:cs="宋体"/>
                <w:spacing w:val="0"/>
                <w:sz w:val="28"/>
                <w:szCs w:val="28"/>
              </w:rPr>
              <w:t>50亿元以上</w:t>
            </w:r>
          </w:p>
        </w:tc>
        <w:tc>
          <w:tcPr>
            <w:tcW w:w="2154" w:type="dxa"/>
            <w:noWrap w:val="0"/>
            <w:vAlign w:val="top"/>
          </w:tcPr>
          <w:p w14:paraId="4C165337">
            <w:pPr>
              <w:pStyle w:val="51"/>
              <w:spacing w:before="251" w:line="183" w:lineRule="auto"/>
              <w:ind w:left="87"/>
              <w:rPr>
                <w:rFonts w:hint="eastAsia" w:ascii="宋体" w:hAnsi="宋体" w:eastAsia="宋体" w:cs="宋体"/>
                <w:spacing w:val="0"/>
                <w:sz w:val="28"/>
                <w:szCs w:val="28"/>
              </w:rPr>
            </w:pPr>
            <w:r>
              <w:rPr>
                <w:rFonts w:hint="eastAsia" w:ascii="宋体" w:hAnsi="宋体" w:eastAsia="宋体" w:cs="宋体"/>
                <w:spacing w:val="0"/>
                <w:sz w:val="28"/>
                <w:szCs w:val="28"/>
              </w:rPr>
              <w:t>0.005%</w:t>
            </w:r>
          </w:p>
        </w:tc>
      </w:tr>
    </w:tbl>
    <w:p w14:paraId="149A292B">
      <w:pPr>
        <w:pStyle w:val="3"/>
        <w:keepNext w:val="0"/>
        <w:keepLines w:val="0"/>
        <w:pageBreakBefore w:val="0"/>
        <w:widowControl w:val="0"/>
        <w:kinsoku/>
        <w:wordWrap/>
        <w:overflowPunct/>
        <w:topLinePunct w:val="0"/>
        <w:autoSpaceDE/>
        <w:autoSpaceDN/>
        <w:bidi w:val="0"/>
        <w:adjustRightInd/>
        <w:snapToGrid/>
        <w:spacing w:after="0" w:line="440" w:lineRule="exact"/>
        <w:ind w:left="0" w:right="0" w:firstLine="560" w:firstLineChars="200"/>
        <w:jc w:val="left"/>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说明：</w:t>
      </w:r>
    </w:p>
    <w:p w14:paraId="740B3552">
      <w:pPr>
        <w:pStyle w:val="3"/>
        <w:keepNext w:val="0"/>
        <w:keepLines w:val="0"/>
        <w:pageBreakBefore w:val="0"/>
        <w:widowControl w:val="0"/>
        <w:numPr>
          <w:ilvl w:val="0"/>
          <w:numId w:val="8"/>
        </w:numPr>
        <w:kinsoku/>
        <w:wordWrap/>
        <w:overflowPunct/>
        <w:topLinePunct w:val="0"/>
        <w:autoSpaceDE/>
        <w:autoSpaceDN/>
        <w:bidi w:val="0"/>
        <w:adjustRightInd/>
        <w:snapToGrid/>
        <w:spacing w:after="0" w:line="440" w:lineRule="exact"/>
        <w:ind w:left="0" w:right="0" w:firstLine="560" w:firstLineChars="200"/>
        <w:jc w:val="left"/>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按上表计算的收费为代理服务全过程的收费金额。</w:t>
      </w:r>
    </w:p>
    <w:p w14:paraId="441FD9F3">
      <w:pPr>
        <w:pStyle w:val="3"/>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right="0" w:rightChars="0" w:firstLine="560" w:firstLineChars="200"/>
        <w:jc w:val="left"/>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2.代理服务费按差额定率累进法计算。</w:t>
      </w:r>
    </w:p>
    <w:p w14:paraId="696ED318">
      <w:pPr>
        <w:pStyle w:val="3"/>
        <w:keepNext w:val="0"/>
        <w:keepLines w:val="0"/>
        <w:pageBreakBefore w:val="0"/>
        <w:widowControl w:val="0"/>
        <w:kinsoku/>
        <w:wordWrap/>
        <w:overflowPunct/>
        <w:topLinePunct w:val="0"/>
        <w:autoSpaceDE/>
        <w:autoSpaceDN/>
        <w:bidi w:val="0"/>
        <w:adjustRightInd/>
        <w:snapToGrid/>
        <w:spacing w:after="0" w:line="440" w:lineRule="exact"/>
        <w:ind w:left="0" w:right="0" w:firstLine="560" w:firstLineChars="200"/>
        <w:jc w:val="left"/>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3.代理服务费基准金额(按差额定率累进法计算的)=中标金额(按差额定率累进法计算的)*费率(%)。</w:t>
      </w:r>
    </w:p>
    <w:p w14:paraId="0ACFF5DB">
      <w:pPr>
        <w:pStyle w:val="3"/>
        <w:keepNext w:val="0"/>
        <w:keepLines w:val="0"/>
        <w:pageBreakBefore w:val="0"/>
        <w:widowControl w:val="0"/>
        <w:kinsoku/>
        <w:wordWrap/>
        <w:overflowPunct/>
        <w:topLinePunct w:val="0"/>
        <w:autoSpaceDE/>
        <w:autoSpaceDN/>
        <w:bidi w:val="0"/>
        <w:adjustRightInd/>
        <w:snapToGrid/>
        <w:spacing w:after="0" w:line="440" w:lineRule="exact"/>
        <w:ind w:left="0" w:right="0" w:firstLine="560" w:firstLineChars="200"/>
        <w:jc w:val="left"/>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4.代理服务费应收取金额=代理服务费基准金额(按差额定率累进法计算的)的合计数。</w:t>
      </w:r>
    </w:p>
    <w:p w14:paraId="729F3E7A">
      <w:pPr>
        <w:pStyle w:val="3"/>
        <w:keepNext w:val="0"/>
        <w:keepLines w:val="0"/>
        <w:pageBreakBefore w:val="0"/>
        <w:widowControl w:val="0"/>
        <w:kinsoku/>
        <w:wordWrap/>
        <w:overflowPunct/>
        <w:topLinePunct w:val="0"/>
        <w:autoSpaceDE/>
        <w:autoSpaceDN/>
        <w:bidi w:val="0"/>
        <w:adjustRightInd/>
        <w:snapToGrid/>
        <w:spacing w:after="0" w:line="440" w:lineRule="exact"/>
        <w:ind w:left="0" w:right="0" w:firstLine="560" w:firstLineChars="200"/>
        <w:jc w:val="left"/>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5.定点类等无金额或事先不能计算出价格总额的项目，按中标(成交)金额10</w:t>
      </w:r>
      <w:r>
        <w:rPr>
          <w:rFonts w:hint="eastAsia" w:ascii="宋体" w:hAnsi="宋体" w:eastAsia="宋体" w:cs="宋体"/>
          <w:spacing w:val="0"/>
          <w:sz w:val="28"/>
          <w:szCs w:val="28"/>
          <w:lang w:val="en-US" w:eastAsia="zh-CN"/>
        </w:rPr>
        <w:t>0</w:t>
      </w:r>
      <w:r>
        <w:rPr>
          <w:rFonts w:hint="eastAsia" w:ascii="宋体" w:hAnsi="宋体" w:eastAsia="宋体" w:cs="宋体"/>
          <w:spacing w:val="0"/>
          <w:sz w:val="28"/>
          <w:szCs w:val="28"/>
        </w:rPr>
        <w:t>万元计算。</w:t>
      </w:r>
    </w:p>
    <w:p w14:paraId="2F07FFF9">
      <w:pPr>
        <w:pStyle w:val="3"/>
        <w:keepNext w:val="0"/>
        <w:keepLines w:val="0"/>
        <w:pageBreakBefore w:val="0"/>
        <w:widowControl w:val="0"/>
        <w:kinsoku/>
        <w:wordWrap/>
        <w:overflowPunct/>
        <w:topLinePunct w:val="0"/>
        <w:autoSpaceDE/>
        <w:autoSpaceDN/>
        <w:bidi w:val="0"/>
        <w:adjustRightInd/>
        <w:snapToGrid/>
        <w:spacing w:after="0" w:line="440" w:lineRule="exact"/>
        <w:ind w:left="0" w:right="0" w:firstLine="560" w:firstLineChars="200"/>
        <w:jc w:val="left"/>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6.有分包(分标段)的按一个项目计算。</w:t>
      </w:r>
    </w:p>
    <w:p w14:paraId="188C42A2"/>
    <w:sectPr>
      <w:pgSz w:w="11906" w:h="16838"/>
      <w:pgMar w:top="1134" w:right="1797" w:bottom="1134" w:left="1797" w:header="851" w:footer="992" w:gutter="0"/>
      <w:cols w:space="1701"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27BFC">
    <w:pPr>
      <w:pStyle w:val="4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2D71D0A2">
                          <w:pPr>
                            <w:pStyle w:val="49"/>
                            <w:tabs>
                              <w:tab w:val="clear" w:pos="7143"/>
                              <w:tab w:val="clear" w:pos="14287"/>
                            </w:tabs>
                          </w:pPr>
                          <w:r>
                            <w:fldChar w:fldCharType="begin"/>
                          </w:r>
                          <w:r>
                            <w:instrText xml:space="preserve"> PAGE  \* MERGEFORMAT </w:instrText>
                          </w:r>
                          <w:r>
                            <w:fldChar w:fldCharType="separate"/>
                          </w:r>
                          <w:r>
                            <w:t>21</w:t>
                          </w:r>
                          <w:r>
                            <w:fldChar w:fldCharType="end"/>
                          </w:r>
                        </w:p>
                        <w:p w14:paraId="4013D96D"/>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0HXO7dMBAACpAwAADgAAAAAAAAABACAAAAAeAQAA&#10;ZHJzL2Uyb0RvYy54bWxQSwUGAAAAAAYABgBZAQAAYwUAAAAA&#10;">
              <v:fill on="f" focussize="0,0"/>
              <v:stroke on="f"/>
              <v:imagedata o:title=""/>
              <o:lock v:ext="edit" aspectratio="f"/>
              <v:textbox inset="0mm,0mm,0mm,0mm" style="mso-fit-shape-to-text:t;">
                <w:txbxContent>
                  <w:p w14:paraId="2D71D0A2">
                    <w:pPr>
                      <w:pStyle w:val="49"/>
                      <w:tabs>
                        <w:tab w:val="clear" w:pos="7143"/>
                        <w:tab w:val="clear" w:pos="14287"/>
                      </w:tabs>
                    </w:pPr>
                    <w:r>
                      <w:fldChar w:fldCharType="begin"/>
                    </w:r>
                    <w:r>
                      <w:instrText xml:space="preserve"> PAGE  \* MERGEFORMAT </w:instrText>
                    </w:r>
                    <w:r>
                      <w:fldChar w:fldCharType="separate"/>
                    </w:r>
                    <w:r>
                      <w:t>21</w:t>
                    </w:r>
                    <w:r>
                      <w:fldChar w:fldCharType="end"/>
                    </w:r>
                  </w:p>
                  <w:p w14:paraId="4013D96D"/>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03254">
    <w:pPr>
      <w:pStyle w:val="4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27F2BD14">
                          <w:pPr>
                            <w:pStyle w:val="49"/>
                            <w:tabs>
                              <w:tab w:val="clear" w:pos="7143"/>
                              <w:tab w:val="clear" w:pos="14287"/>
                            </w:tabs>
                          </w:pPr>
                          <w:r>
                            <w:fldChar w:fldCharType="begin"/>
                          </w:r>
                          <w:r>
                            <w:instrText xml:space="preserve"> PAGE  \* MERGEFORMAT </w:instrText>
                          </w:r>
                          <w:r>
                            <w:fldChar w:fldCharType="separate"/>
                          </w:r>
                          <w:r>
                            <w:t>23</w:t>
                          </w:r>
                          <w:r>
                            <w:fldChar w:fldCharType="end"/>
                          </w:r>
                        </w:p>
                        <w:p w14:paraId="369414F9"/>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pgg5+9MBAACpAwAADgAAAAAAAAABACAAAAAeAQAA&#10;ZHJzL2Uyb0RvYy54bWxQSwUGAAAAAAYABgBZAQAAYwUAAAAA&#10;">
              <v:fill on="f" focussize="0,0"/>
              <v:stroke on="f"/>
              <v:imagedata o:title=""/>
              <o:lock v:ext="edit" aspectratio="f"/>
              <v:textbox inset="0mm,0mm,0mm,0mm" style="mso-fit-shape-to-text:t;">
                <w:txbxContent>
                  <w:p w14:paraId="27F2BD14">
                    <w:pPr>
                      <w:pStyle w:val="49"/>
                      <w:tabs>
                        <w:tab w:val="clear" w:pos="7143"/>
                        <w:tab w:val="clear" w:pos="14287"/>
                      </w:tabs>
                    </w:pPr>
                    <w:r>
                      <w:fldChar w:fldCharType="begin"/>
                    </w:r>
                    <w:r>
                      <w:instrText xml:space="preserve"> PAGE  \* MERGEFORMAT </w:instrText>
                    </w:r>
                    <w:r>
                      <w:fldChar w:fldCharType="separate"/>
                    </w:r>
                    <w:r>
                      <w:t>23</w:t>
                    </w:r>
                    <w:r>
                      <w:fldChar w:fldCharType="end"/>
                    </w:r>
                  </w:p>
                  <w:p w14:paraId="369414F9"/>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E0669">
    <w:pPr>
      <w:pStyle w:val="44"/>
      <w:jc w:val="center"/>
      <w:rPr>
        <w:rFonts w:eastAsia="仿宋_GB2312"/>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22355DF7">
                          <w:pPr>
                            <w:pStyle w:val="49"/>
                            <w:tabs>
                              <w:tab w:val="clear" w:pos="7143"/>
                              <w:tab w:val="clear" w:pos="14287"/>
                            </w:tabs>
                          </w:pPr>
                          <w:r>
                            <w:fldChar w:fldCharType="begin"/>
                          </w:r>
                          <w:r>
                            <w:instrText xml:space="preserve"> PAGE  \* MERGEFORMAT </w:instrText>
                          </w:r>
                          <w:r>
                            <w:fldChar w:fldCharType="separate"/>
                          </w:r>
                          <w:r>
                            <w:t>24</w:t>
                          </w:r>
                          <w:r>
                            <w:fldChar w:fldCharType="end"/>
                          </w:r>
                        </w:p>
                        <w:p w14:paraId="79F6C8C9"/>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PcbYqTUAQAApwMAAA4AAAAAAAAAAQAgAAAAHgEA&#10;AGRycy9lMm9Eb2MueG1sUEsFBgAAAAAGAAYAWQEAAGQFAAAAAA==&#10;">
              <v:fill on="f" focussize="0,0"/>
              <v:stroke on="f"/>
              <v:imagedata o:title=""/>
              <o:lock v:ext="edit" aspectratio="f"/>
              <v:textbox inset="0mm,0mm,0mm,0mm" style="mso-fit-shape-to-text:t;">
                <w:txbxContent>
                  <w:p w14:paraId="22355DF7">
                    <w:pPr>
                      <w:pStyle w:val="49"/>
                      <w:tabs>
                        <w:tab w:val="clear" w:pos="7143"/>
                        <w:tab w:val="clear" w:pos="14287"/>
                      </w:tabs>
                    </w:pPr>
                    <w:r>
                      <w:fldChar w:fldCharType="begin"/>
                    </w:r>
                    <w:r>
                      <w:instrText xml:space="preserve"> PAGE  \* MERGEFORMAT </w:instrText>
                    </w:r>
                    <w:r>
                      <w:fldChar w:fldCharType="separate"/>
                    </w:r>
                    <w:r>
                      <w:t>24</w:t>
                    </w:r>
                    <w:r>
                      <w:fldChar w:fldCharType="end"/>
                    </w:r>
                  </w:p>
                  <w:p w14:paraId="79F6C8C9"/>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CFA0B">
    <w:pPr>
      <w:pStyle w:val="4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9235" cy="147955"/>
              <wp:effectExtent l="0" t="0" r="0" b="0"/>
              <wp:wrapNone/>
              <wp:docPr id="4" name="文本框 4"/>
              <wp:cNvGraphicFramePr/>
              <a:graphic xmlns:a="http://schemas.openxmlformats.org/drawingml/2006/main">
                <a:graphicData uri="http://schemas.microsoft.com/office/word/2010/wordprocessingShape">
                  <wps:wsp>
                    <wps:cNvSpPr txBox="1"/>
                    <wps:spPr bwMode="auto">
                      <a:xfrm>
                        <a:off x="0" y="0"/>
                        <a:ext cx="229235" cy="147955"/>
                      </a:xfrm>
                      <a:prstGeom prst="rect">
                        <a:avLst/>
                      </a:prstGeom>
                      <a:noFill/>
                      <a:ln>
                        <a:noFill/>
                      </a:ln>
                    </wps:spPr>
                    <wps:txbx>
                      <w:txbxContent>
                        <w:p w14:paraId="158C55A0">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w:t>
                          </w:r>
                          <w:r>
                            <w:rPr>
                              <w:rFonts w:hint="eastAsia"/>
                              <w:sz w:val="18"/>
                            </w:rPr>
                            <w:fldChar w:fldCharType="end"/>
                          </w:r>
                        </w:p>
                        <w:p w14:paraId="7F516068"/>
                        <w:p w14:paraId="4AA956FA"/>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18.05pt;mso-position-horizontal:center;mso-position-horizontal-relative:margin;mso-wrap-style:none;z-index:251659264;mso-width-relative:page;mso-height-relative:page;" filled="f" stroked="f" coordsize="21600,21600" o:gfxdata="UEsDBAoAAAAAAIdO4kAAAAAAAAAAAAAAAAAEAAAAZHJzL1BLAwQUAAAACACHTuJAhfGjwd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Xxo8HRAAAAAwEAAA8AAAAAAAAAAQAgAAAA&#10;IgAAAGRycy9kb3ducmV2LnhtbFBLAQIUABQAAAAIAIdO4kAbexjp2QEAAKUDAAAOAAAAAAAAAAEA&#10;IAAAACABAABkcnMvZTJvRG9jLnhtbFBLBQYAAAAABgAGAFkBAABrBQAAAAA=&#10;">
              <v:fill on="f" focussize="0,0"/>
              <v:stroke on="f"/>
              <v:imagedata o:title=""/>
              <o:lock v:ext="edit" aspectratio="f"/>
              <v:textbox inset="0mm,0mm,0mm,0mm" style="mso-fit-shape-to-text:t;">
                <w:txbxContent>
                  <w:p w14:paraId="158C55A0">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w:t>
                    </w:r>
                    <w:r>
                      <w:rPr>
                        <w:rFonts w:hint="eastAsia"/>
                        <w:sz w:val="18"/>
                      </w:rPr>
                      <w:fldChar w:fldCharType="end"/>
                    </w:r>
                  </w:p>
                  <w:p w14:paraId="7F516068"/>
                  <w:p w14:paraId="4AA956FA"/>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32478">
    <w:pPr>
      <w:pStyle w:val="49"/>
      <w:tabs>
        <w:tab w:val="center" w:pos="4153"/>
        <w:tab w:val="right" w:pos="8306"/>
      </w:tabs>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04F3B04A">
                          <w:pPr>
                            <w:pStyle w:val="49"/>
                            <w:tabs>
                              <w:tab w:val="clear" w:pos="7143"/>
                              <w:tab w:val="clear" w:pos="14287"/>
                            </w:tabs>
                          </w:pPr>
                          <w:r>
                            <w:fldChar w:fldCharType="begin"/>
                          </w:r>
                          <w:r>
                            <w:instrText xml:space="preserve"> PAGE  \* MERGEFORMAT </w:instrText>
                          </w:r>
                          <w:r>
                            <w:fldChar w:fldCharType="separate"/>
                          </w:r>
                          <w:r>
                            <w:t>33</w:t>
                          </w:r>
                          <w:r>
                            <w:fldChar w:fldCharType="end"/>
                          </w:r>
                        </w:p>
                        <w:p w14:paraId="012DB6AD"/>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77ZTcdMBAACnAwAADgAAAAAAAAABACAAAAAeAQAA&#10;ZHJzL2Uyb0RvYy54bWxQSwUGAAAAAAYABgBZAQAAYwUAAAAA&#10;">
              <v:fill on="f" focussize="0,0"/>
              <v:stroke on="f"/>
              <v:imagedata o:title=""/>
              <o:lock v:ext="edit" aspectratio="f"/>
              <v:textbox inset="0mm,0mm,0mm,0mm" style="mso-fit-shape-to-text:t;">
                <w:txbxContent>
                  <w:p w14:paraId="04F3B04A">
                    <w:pPr>
                      <w:pStyle w:val="49"/>
                      <w:tabs>
                        <w:tab w:val="clear" w:pos="7143"/>
                        <w:tab w:val="clear" w:pos="14287"/>
                      </w:tabs>
                    </w:pPr>
                    <w:r>
                      <w:fldChar w:fldCharType="begin"/>
                    </w:r>
                    <w:r>
                      <w:instrText xml:space="preserve"> PAGE  \* MERGEFORMAT </w:instrText>
                    </w:r>
                    <w:r>
                      <w:fldChar w:fldCharType="separate"/>
                    </w:r>
                    <w:r>
                      <w:t>33</w:t>
                    </w:r>
                    <w:r>
                      <w:fldChar w:fldCharType="end"/>
                    </w:r>
                  </w:p>
                  <w:p w14:paraId="012DB6AD"/>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09F7F">
    <w:pPr>
      <w:pStyle w:val="47"/>
      <w:pBdr>
        <w:bottom w:val="none" w:color="000000" w:sz="0" w:space="0"/>
      </w:pBdr>
      <w:jc w:val="left"/>
      <w:rPr>
        <w:rFonts w:ascii="仿宋" w:hAnsi="仿宋"/>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2D4DE">
    <w:pPr>
      <w:pStyle w:val="47"/>
      <w:pBdr>
        <w:bottom w:val="none" w:color="000000" w:sz="0" w:space="1"/>
      </w:pBdr>
      <w:ind w:left="5866" w:hanging="5866"/>
      <w:jc w:val="left"/>
    </w:pP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25E2A">
    <w:pPr>
      <w:pStyle w:val="47"/>
      <w:pBdr>
        <w:bottom w:val="none" w:color="000000"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D76DD">
    <w:pPr>
      <w:pStyle w:val="50"/>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7726B5"/>
    <w:multiLevelType w:val="singleLevel"/>
    <w:tmpl w:val="A47726B5"/>
    <w:lvl w:ilvl="0" w:tentative="0">
      <w:start w:val="1"/>
      <w:numFmt w:val="decimal"/>
      <w:lvlText w:val="%1."/>
      <w:lvlJc w:val="left"/>
      <w:pPr>
        <w:tabs>
          <w:tab w:val="left" w:pos="312"/>
        </w:tabs>
      </w:pPr>
    </w:lvl>
  </w:abstractNum>
  <w:abstractNum w:abstractNumId="1">
    <w:nsid w:val="CF092B84"/>
    <w:multiLevelType w:val="multilevel"/>
    <w:tmpl w:val="CF092B84"/>
    <w:lvl w:ilvl="0" w:tentative="0">
      <w:start w:val="1"/>
      <w:numFmt w:val="decimal"/>
      <w:suff w:val="nothing"/>
      <w:lvlText w:val="%1、"/>
      <w:lvlJc w:val="left"/>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2">
    <w:nsid w:val="0053208E"/>
    <w:multiLevelType w:val="multilevel"/>
    <w:tmpl w:val="0053208E"/>
    <w:lvl w:ilvl="0" w:tentative="0">
      <w:start w:val="1"/>
      <w:numFmt w:val="decimal"/>
      <w:pStyle w:val="25"/>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C7567E6"/>
    <w:multiLevelType w:val="multilevel"/>
    <w:tmpl w:val="1C7567E6"/>
    <w:lvl w:ilvl="0" w:tentative="0">
      <w:start w:val="1"/>
      <w:numFmt w:val="decimal"/>
      <w:lvlText w:val="（%1）"/>
      <w:lvlJc w:val="left"/>
      <w:pPr>
        <w:tabs>
          <w:tab w:val="left" w:pos="2579"/>
        </w:tabs>
        <w:ind w:left="2579" w:hanging="420"/>
      </w:pPr>
      <w:rPr>
        <w:rFonts w:hint="eastAsia"/>
      </w:rPr>
    </w:lvl>
    <w:lvl w:ilvl="1" w:tentative="0">
      <w:start w:val="1"/>
      <w:numFmt w:val="lowerLetter"/>
      <w:lvlText w:val="%2)"/>
      <w:lvlJc w:val="left"/>
      <w:pPr>
        <w:tabs>
          <w:tab w:val="left" w:pos="2579"/>
        </w:tabs>
        <w:ind w:left="2579" w:hanging="420"/>
      </w:pPr>
    </w:lvl>
    <w:lvl w:ilvl="2" w:tentative="0">
      <w:start w:val="1"/>
      <w:numFmt w:val="lowerRoman"/>
      <w:lvlText w:val="%3."/>
      <w:lvlJc w:val="right"/>
      <w:pPr>
        <w:tabs>
          <w:tab w:val="left" w:pos="2999"/>
        </w:tabs>
        <w:ind w:left="2999" w:hanging="420"/>
      </w:pPr>
    </w:lvl>
    <w:lvl w:ilvl="3" w:tentative="0">
      <w:start w:val="1"/>
      <w:numFmt w:val="decimal"/>
      <w:lvlText w:val="%4."/>
      <w:lvlJc w:val="left"/>
      <w:pPr>
        <w:tabs>
          <w:tab w:val="left" w:pos="3419"/>
        </w:tabs>
        <w:ind w:left="3419" w:hanging="420"/>
      </w:pPr>
    </w:lvl>
    <w:lvl w:ilvl="4" w:tentative="0">
      <w:start w:val="1"/>
      <w:numFmt w:val="lowerLetter"/>
      <w:lvlText w:val="%5)"/>
      <w:lvlJc w:val="left"/>
      <w:pPr>
        <w:tabs>
          <w:tab w:val="left" w:pos="3839"/>
        </w:tabs>
        <w:ind w:left="3839" w:hanging="420"/>
      </w:pPr>
    </w:lvl>
    <w:lvl w:ilvl="5" w:tentative="0">
      <w:start w:val="1"/>
      <w:numFmt w:val="lowerRoman"/>
      <w:lvlText w:val="%6."/>
      <w:lvlJc w:val="right"/>
      <w:pPr>
        <w:tabs>
          <w:tab w:val="left" w:pos="4259"/>
        </w:tabs>
        <w:ind w:left="4259" w:hanging="420"/>
      </w:pPr>
    </w:lvl>
    <w:lvl w:ilvl="6" w:tentative="0">
      <w:start w:val="1"/>
      <w:numFmt w:val="decimal"/>
      <w:lvlText w:val="%7."/>
      <w:lvlJc w:val="left"/>
      <w:pPr>
        <w:tabs>
          <w:tab w:val="left" w:pos="4679"/>
        </w:tabs>
        <w:ind w:left="4679" w:hanging="420"/>
      </w:pPr>
    </w:lvl>
    <w:lvl w:ilvl="7" w:tentative="0">
      <w:start w:val="1"/>
      <w:numFmt w:val="lowerLetter"/>
      <w:lvlText w:val="%8)"/>
      <w:lvlJc w:val="left"/>
      <w:pPr>
        <w:tabs>
          <w:tab w:val="left" w:pos="5099"/>
        </w:tabs>
        <w:ind w:left="5099" w:hanging="420"/>
      </w:pPr>
    </w:lvl>
    <w:lvl w:ilvl="8" w:tentative="0">
      <w:start w:val="1"/>
      <w:numFmt w:val="lowerRoman"/>
      <w:lvlText w:val="%9."/>
      <w:lvlJc w:val="right"/>
      <w:pPr>
        <w:tabs>
          <w:tab w:val="left" w:pos="5519"/>
        </w:tabs>
        <w:ind w:left="5519" w:hanging="420"/>
      </w:pPr>
    </w:lvl>
  </w:abstractNum>
  <w:abstractNum w:abstractNumId="4">
    <w:nsid w:val="31E55D1C"/>
    <w:multiLevelType w:val="multilevel"/>
    <w:tmpl w:val="31E55D1C"/>
    <w:lvl w:ilvl="0" w:tentative="0">
      <w:start w:val="1"/>
      <w:numFmt w:val="decimal"/>
      <w:lvlText w:val="（%1）"/>
      <w:lvlJc w:val="left"/>
      <w:pPr>
        <w:tabs>
          <w:tab w:val="left" w:pos="2579"/>
        </w:tabs>
        <w:ind w:left="2579" w:hanging="420"/>
      </w:pPr>
      <w:rPr>
        <w:rFonts w:hint="eastAsia"/>
      </w:rPr>
    </w:lvl>
    <w:lvl w:ilvl="1" w:tentative="0">
      <w:start w:val="1"/>
      <w:numFmt w:val="lowerLetter"/>
      <w:lvlText w:val="%2)"/>
      <w:lvlJc w:val="left"/>
      <w:pPr>
        <w:tabs>
          <w:tab w:val="left" w:pos="2579"/>
        </w:tabs>
        <w:ind w:left="2579" w:hanging="420"/>
      </w:pPr>
    </w:lvl>
    <w:lvl w:ilvl="2" w:tentative="0">
      <w:start w:val="1"/>
      <w:numFmt w:val="lowerRoman"/>
      <w:lvlText w:val="%3."/>
      <w:lvlJc w:val="right"/>
      <w:pPr>
        <w:tabs>
          <w:tab w:val="left" w:pos="2999"/>
        </w:tabs>
        <w:ind w:left="2999" w:hanging="420"/>
      </w:pPr>
    </w:lvl>
    <w:lvl w:ilvl="3" w:tentative="0">
      <w:start w:val="1"/>
      <w:numFmt w:val="decimal"/>
      <w:lvlText w:val="%4."/>
      <w:lvlJc w:val="left"/>
      <w:pPr>
        <w:tabs>
          <w:tab w:val="left" w:pos="3419"/>
        </w:tabs>
        <w:ind w:left="3419" w:hanging="420"/>
      </w:pPr>
    </w:lvl>
    <w:lvl w:ilvl="4" w:tentative="0">
      <w:start w:val="1"/>
      <w:numFmt w:val="lowerLetter"/>
      <w:lvlText w:val="%5)"/>
      <w:lvlJc w:val="left"/>
      <w:pPr>
        <w:tabs>
          <w:tab w:val="left" w:pos="3839"/>
        </w:tabs>
        <w:ind w:left="3839" w:hanging="420"/>
      </w:pPr>
    </w:lvl>
    <w:lvl w:ilvl="5" w:tentative="0">
      <w:start w:val="1"/>
      <w:numFmt w:val="lowerRoman"/>
      <w:lvlText w:val="%6."/>
      <w:lvlJc w:val="right"/>
      <w:pPr>
        <w:tabs>
          <w:tab w:val="left" w:pos="4259"/>
        </w:tabs>
        <w:ind w:left="4259" w:hanging="420"/>
      </w:pPr>
    </w:lvl>
    <w:lvl w:ilvl="6" w:tentative="0">
      <w:start w:val="1"/>
      <w:numFmt w:val="decimal"/>
      <w:lvlText w:val="%7."/>
      <w:lvlJc w:val="left"/>
      <w:pPr>
        <w:tabs>
          <w:tab w:val="left" w:pos="4679"/>
        </w:tabs>
        <w:ind w:left="4679" w:hanging="420"/>
      </w:pPr>
    </w:lvl>
    <w:lvl w:ilvl="7" w:tentative="0">
      <w:start w:val="1"/>
      <w:numFmt w:val="lowerLetter"/>
      <w:lvlText w:val="%8)"/>
      <w:lvlJc w:val="left"/>
      <w:pPr>
        <w:tabs>
          <w:tab w:val="left" w:pos="5099"/>
        </w:tabs>
        <w:ind w:left="5099" w:hanging="420"/>
      </w:pPr>
    </w:lvl>
    <w:lvl w:ilvl="8" w:tentative="0">
      <w:start w:val="1"/>
      <w:numFmt w:val="lowerRoman"/>
      <w:lvlText w:val="%9."/>
      <w:lvlJc w:val="right"/>
      <w:pPr>
        <w:tabs>
          <w:tab w:val="left" w:pos="5519"/>
        </w:tabs>
        <w:ind w:left="5519" w:hanging="420"/>
      </w:pPr>
    </w:lvl>
  </w:abstractNum>
  <w:abstractNum w:abstractNumId="5">
    <w:nsid w:val="54503CD0"/>
    <w:multiLevelType w:val="multilevel"/>
    <w:tmpl w:val="54503CD0"/>
    <w:lvl w:ilvl="0" w:tentative="0">
      <w:start w:val="1"/>
      <w:numFmt w:val="decimal"/>
      <w:lvlText w:val="%1."/>
      <w:lvlJc w:val="left"/>
      <w:pPr>
        <w:ind w:left="425" w:hanging="425"/>
      </w:pPr>
    </w:lvl>
    <w:lvl w:ilvl="1" w:tentative="0">
      <w:start w:val="1"/>
      <w:numFmt w:val="decimal"/>
      <w:lvlText w:val="%1.%2."/>
      <w:lvlJc w:val="left"/>
      <w:pPr>
        <w:ind w:left="567" w:hanging="567"/>
      </w:pPr>
      <w:rPr>
        <w:rFonts w:ascii="宋体" w:hAnsi="宋体" w:eastAsia="宋体"/>
        <w:b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6">
    <w:nsid w:val="60572B89"/>
    <w:multiLevelType w:val="multilevel"/>
    <w:tmpl w:val="60572B89"/>
    <w:lvl w:ilvl="0" w:tentative="0">
      <w:start w:val="1"/>
      <w:numFmt w:val="decimal"/>
      <w:lvlText w:val="（%1）"/>
      <w:lvlJc w:val="left"/>
      <w:pPr>
        <w:tabs>
          <w:tab w:val="left" w:pos="1739"/>
        </w:tabs>
        <w:ind w:left="1739" w:hanging="420"/>
      </w:pPr>
      <w:rPr>
        <w:rFonts w:hint="eastAsia"/>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rPr>
        <w:rFonts w:hint="eastAsia"/>
      </w:r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7">
    <w:nsid w:val="61F13226"/>
    <w:multiLevelType w:val="multilevel"/>
    <w:tmpl w:val="61F13226"/>
    <w:lvl w:ilvl="0" w:tentative="0">
      <w:start w:val="1"/>
      <w:numFmt w:val="decimal"/>
      <w:lvlText w:val="（%1）"/>
      <w:lvlJc w:val="left"/>
      <w:pPr>
        <w:tabs>
          <w:tab w:val="left" w:pos="2579"/>
        </w:tabs>
        <w:ind w:left="2579" w:hanging="420"/>
      </w:pPr>
      <w:rPr>
        <w:rFonts w:hint="eastAsia"/>
      </w:rPr>
    </w:lvl>
    <w:lvl w:ilvl="1" w:tentative="0">
      <w:start w:val="1"/>
      <w:numFmt w:val="lowerLetter"/>
      <w:lvlText w:val="%2)"/>
      <w:lvlJc w:val="left"/>
      <w:pPr>
        <w:tabs>
          <w:tab w:val="left" w:pos="2579"/>
        </w:tabs>
        <w:ind w:left="2579" w:hanging="420"/>
      </w:pPr>
    </w:lvl>
    <w:lvl w:ilvl="2" w:tentative="0">
      <w:start w:val="1"/>
      <w:numFmt w:val="lowerRoman"/>
      <w:lvlText w:val="%3."/>
      <w:lvlJc w:val="right"/>
      <w:pPr>
        <w:tabs>
          <w:tab w:val="left" w:pos="2999"/>
        </w:tabs>
        <w:ind w:left="2999" w:hanging="420"/>
      </w:pPr>
    </w:lvl>
    <w:lvl w:ilvl="3" w:tentative="0">
      <w:start w:val="1"/>
      <w:numFmt w:val="decimal"/>
      <w:lvlText w:val="%4."/>
      <w:lvlJc w:val="left"/>
      <w:pPr>
        <w:tabs>
          <w:tab w:val="left" w:pos="3419"/>
        </w:tabs>
        <w:ind w:left="3419" w:hanging="420"/>
      </w:pPr>
    </w:lvl>
    <w:lvl w:ilvl="4" w:tentative="0">
      <w:start w:val="1"/>
      <w:numFmt w:val="lowerLetter"/>
      <w:lvlText w:val="%5)"/>
      <w:lvlJc w:val="left"/>
      <w:pPr>
        <w:tabs>
          <w:tab w:val="left" w:pos="3839"/>
        </w:tabs>
        <w:ind w:left="3839" w:hanging="420"/>
      </w:pPr>
    </w:lvl>
    <w:lvl w:ilvl="5" w:tentative="0">
      <w:start w:val="1"/>
      <w:numFmt w:val="lowerRoman"/>
      <w:lvlText w:val="%6."/>
      <w:lvlJc w:val="right"/>
      <w:pPr>
        <w:tabs>
          <w:tab w:val="left" w:pos="4259"/>
        </w:tabs>
        <w:ind w:left="4259" w:hanging="420"/>
      </w:pPr>
    </w:lvl>
    <w:lvl w:ilvl="6" w:tentative="0">
      <w:start w:val="1"/>
      <w:numFmt w:val="decimal"/>
      <w:lvlText w:val="%7."/>
      <w:lvlJc w:val="left"/>
      <w:pPr>
        <w:tabs>
          <w:tab w:val="left" w:pos="4679"/>
        </w:tabs>
        <w:ind w:left="4679" w:hanging="420"/>
      </w:pPr>
    </w:lvl>
    <w:lvl w:ilvl="7" w:tentative="0">
      <w:start w:val="1"/>
      <w:numFmt w:val="lowerLetter"/>
      <w:lvlText w:val="%8)"/>
      <w:lvlJc w:val="left"/>
      <w:pPr>
        <w:tabs>
          <w:tab w:val="left" w:pos="5099"/>
        </w:tabs>
        <w:ind w:left="5099" w:hanging="420"/>
      </w:pPr>
    </w:lvl>
    <w:lvl w:ilvl="8" w:tentative="0">
      <w:start w:val="1"/>
      <w:numFmt w:val="lowerRoman"/>
      <w:lvlText w:val="%9."/>
      <w:lvlJc w:val="right"/>
      <w:pPr>
        <w:tabs>
          <w:tab w:val="left" w:pos="5519"/>
        </w:tabs>
        <w:ind w:left="5519" w:hanging="420"/>
      </w:pPr>
    </w:lvl>
  </w:abstractNum>
  <w:num w:numId="1">
    <w:abstractNumId w:val="2"/>
  </w:num>
  <w:num w:numId="2">
    <w:abstractNumId w:val="1"/>
  </w:num>
  <w:num w:numId="3">
    <w:abstractNumId w:val="5"/>
  </w:num>
  <w:num w:numId="4">
    <w:abstractNumId w:val="6"/>
  </w:num>
  <w:num w:numId="5">
    <w:abstractNumId w:val="7"/>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E5D35"/>
    <w:rsid w:val="074E1F9E"/>
    <w:rsid w:val="0AD5115F"/>
    <w:rsid w:val="0C711B61"/>
    <w:rsid w:val="0C833DEE"/>
    <w:rsid w:val="0FD3668F"/>
    <w:rsid w:val="10831E63"/>
    <w:rsid w:val="1735086C"/>
    <w:rsid w:val="175E7186"/>
    <w:rsid w:val="17800EAB"/>
    <w:rsid w:val="17BC177E"/>
    <w:rsid w:val="1C136791"/>
    <w:rsid w:val="1CCE090A"/>
    <w:rsid w:val="1EDB6CF5"/>
    <w:rsid w:val="1FA37E2C"/>
    <w:rsid w:val="1FFE1506"/>
    <w:rsid w:val="23582CDC"/>
    <w:rsid w:val="249064A5"/>
    <w:rsid w:val="251D41DD"/>
    <w:rsid w:val="30EB33E1"/>
    <w:rsid w:val="313034EA"/>
    <w:rsid w:val="33B201E6"/>
    <w:rsid w:val="375F0685"/>
    <w:rsid w:val="38CD161E"/>
    <w:rsid w:val="38D77E74"/>
    <w:rsid w:val="3B9F54F4"/>
    <w:rsid w:val="3CF278A5"/>
    <w:rsid w:val="3F980BD8"/>
    <w:rsid w:val="42317A80"/>
    <w:rsid w:val="46B75DE7"/>
    <w:rsid w:val="49E669E4"/>
    <w:rsid w:val="4CBE1552"/>
    <w:rsid w:val="4D73233C"/>
    <w:rsid w:val="50D2381E"/>
    <w:rsid w:val="52A15B9E"/>
    <w:rsid w:val="543F566E"/>
    <w:rsid w:val="5A1A010D"/>
    <w:rsid w:val="6022031E"/>
    <w:rsid w:val="66C61564"/>
    <w:rsid w:val="6A3C022E"/>
    <w:rsid w:val="6E6733A0"/>
    <w:rsid w:val="6F2A1893"/>
    <w:rsid w:val="704936A5"/>
    <w:rsid w:val="706C7393"/>
    <w:rsid w:val="761756AB"/>
    <w:rsid w:val="794C7D62"/>
    <w:rsid w:val="798017B9"/>
    <w:rsid w:val="7B7E5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8"/>
    <w:qFormat/>
    <w:uiPriority w:val="0"/>
    <w:pPr>
      <w:widowControl w:val="0"/>
      <w:jc w:val="both"/>
    </w:pPr>
    <w:rPr>
      <w:rFonts w:hint="default" w:ascii="Times New Roman" w:hAnsi="Times New Roman" w:eastAsia="宋体" w:cs="Times New Roman"/>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Body Text"/>
    <w:basedOn w:val="1"/>
    <w:next w:val="4"/>
    <w:qFormat/>
    <w:uiPriority w:val="99"/>
    <w:pPr>
      <w:spacing w:after="120"/>
    </w:pPr>
  </w:style>
  <w:style w:type="paragraph" w:styleId="4">
    <w:name w:val="Body Text First Indent"/>
    <w:basedOn w:val="3"/>
    <w:next w:val="5"/>
    <w:unhideWhenUsed/>
    <w:qFormat/>
    <w:uiPriority w:val="99"/>
    <w:pPr>
      <w:ind w:firstLine="420" w:firstLineChars="100"/>
    </w:pPr>
  </w:style>
  <w:style w:type="paragraph" w:customStyle="1" w:styleId="5">
    <w:name w:val="样式 正文首行缩进 + 首行缩进:  1 字符"/>
    <w:basedOn w:val="1"/>
    <w:next w:val="1"/>
    <w:qFormat/>
    <w:uiPriority w:val="0"/>
    <w:pPr>
      <w:adjustRightInd w:val="0"/>
      <w:snapToGrid w:val="0"/>
      <w:spacing w:line="360" w:lineRule="auto"/>
      <w:ind w:firstLine="200" w:firstLineChars="200"/>
    </w:pPr>
    <w:rPr>
      <w:rFonts w:cs="宋体"/>
      <w:sz w:val="24"/>
      <w:szCs w:val="20"/>
    </w:rPr>
  </w:style>
  <w:style w:type="paragraph" w:styleId="6">
    <w:name w:val="Body Text Indent"/>
    <w:basedOn w:val="1"/>
    <w:next w:val="1"/>
    <w:qFormat/>
    <w:uiPriority w:val="0"/>
    <w:pPr>
      <w:spacing w:line="360" w:lineRule="auto"/>
      <w:ind w:firstLine="570"/>
    </w:pPr>
    <w:rPr>
      <w:sz w:val="24"/>
    </w:rPr>
  </w:style>
  <w:style w:type="paragraph" w:styleId="7">
    <w:name w:val="Block Text"/>
    <w:basedOn w:val="1"/>
    <w:unhideWhenUsed/>
    <w:qFormat/>
    <w:uiPriority w:val="99"/>
    <w:pPr>
      <w:spacing w:after="120"/>
      <w:ind w:left="1440" w:right="1440"/>
    </w:pPr>
  </w:style>
  <w:style w:type="paragraph" w:styleId="8">
    <w:name w:val="footer"/>
    <w:basedOn w:val="1"/>
    <w:uiPriority w:val="0"/>
    <w:pPr>
      <w:tabs>
        <w:tab w:val="center" w:pos="4153"/>
        <w:tab w:val="right" w:pos="8306"/>
      </w:tabs>
      <w:snapToGrid w:val="0"/>
      <w:jc w:val="left"/>
    </w:pPr>
    <w:rPr>
      <w:sz w:val="18"/>
    </w:rPr>
  </w:style>
  <w:style w:type="paragraph" w:styleId="9">
    <w:name w:val="Normal (Web)"/>
    <w:basedOn w:val="1"/>
    <w:qFormat/>
    <w:uiPriority w:val="0"/>
    <w:pPr>
      <w:spacing w:before="0" w:beforeAutospacing="1" w:after="0" w:afterAutospacing="1"/>
      <w:ind w:left="0" w:right="0"/>
      <w:jc w:val="left"/>
    </w:pPr>
    <w:rPr>
      <w:sz w:val="24"/>
      <w:lang w:val="en-US" w:eastAsia="zh-CN" w:bidi="ar"/>
    </w:rPr>
  </w:style>
  <w:style w:type="paragraph" w:styleId="10">
    <w:name w:val="Body Text First Indent 2"/>
    <w:basedOn w:val="6"/>
    <w:next w:val="1"/>
    <w:qFormat/>
    <w:uiPriority w:val="0"/>
    <w:pPr>
      <w:spacing w:after="120" w:line="480" w:lineRule="exact"/>
      <w:ind w:left="420" w:leftChars="200" w:firstLine="420" w:firstLineChars="200"/>
    </w:pPr>
    <w:rPr>
      <w:szCs w:val="20"/>
    </w:rPr>
  </w:style>
  <w:style w:type="table" w:styleId="12">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4">
    <w:name w:val="正文首行缩进 21"/>
    <w:basedOn w:val="15"/>
    <w:next w:val="1"/>
    <w:qFormat/>
    <w:uiPriority w:val="0"/>
    <w:pPr>
      <w:ind w:firstLine="420"/>
    </w:pPr>
  </w:style>
  <w:style w:type="paragraph" w:customStyle="1" w:styleId="15">
    <w:name w:val="正文文本缩进11"/>
    <w:basedOn w:val="1"/>
    <w:qFormat/>
    <w:uiPriority w:val="0"/>
    <w:pPr>
      <w:spacing w:after="120"/>
      <w:ind w:left="420"/>
    </w:pPr>
    <w:rPr>
      <w:rFonts w:ascii="Calibri" w:hAnsi="Calibri"/>
    </w:rPr>
  </w:style>
  <w:style w:type="paragraph" w:customStyle="1" w:styleId="16">
    <w:name w:val="寄信人地址1"/>
    <w:basedOn w:val="17"/>
    <w:qFormat/>
    <w:uiPriority w:val="0"/>
    <w:rPr>
      <w:rFonts w:ascii="Arial" w:hAnsi="Arial"/>
    </w:rPr>
  </w:style>
  <w:style w:type="paragraph" w:customStyle="1" w:styleId="17">
    <w:name w:val="正文11"/>
    <w:next w:val="18"/>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8">
    <w:name w:val="目录 11"/>
    <w:basedOn w:val="19"/>
    <w:next w:val="21"/>
    <w:unhideWhenUsed/>
    <w:qFormat/>
    <w:uiPriority w:val="39"/>
    <w:pPr>
      <w:spacing w:after="57"/>
    </w:pPr>
  </w:style>
  <w:style w:type="paragraph" w:customStyle="1" w:styleId="19">
    <w:name w:val="正文12"/>
    <w:next w:val="20"/>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 w:type="paragraph" w:customStyle="1" w:styleId="20">
    <w:name w:val="Default"/>
    <w:qFormat/>
    <w:uiPriority w:val="0"/>
    <w:pPr>
      <w:widowControl w:val="0"/>
    </w:pPr>
    <w:rPr>
      <w:rFonts w:hint="default" w:ascii="Times New Roman" w:hAnsi="Times New Roman" w:eastAsia="宋体" w:cs="Times New Roman"/>
      <w:sz w:val="24"/>
    </w:rPr>
  </w:style>
  <w:style w:type="paragraph" w:customStyle="1" w:styleId="21">
    <w:name w:val="正文1"/>
    <w:basedOn w:val="22"/>
    <w:next w:val="26"/>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2">
    <w:name w:val="正文111"/>
    <w:next w:val="23"/>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3">
    <w:name w:val="正文文本缩进1"/>
    <w:basedOn w:val="24"/>
    <w:next w:val="16"/>
    <w:qFormat/>
    <w:uiPriority w:val="0"/>
    <w:pPr>
      <w:spacing w:after="120"/>
      <w:ind w:left="420"/>
    </w:pPr>
  </w:style>
  <w:style w:type="paragraph" w:customStyle="1" w:styleId="24">
    <w:name w:val="正文1111"/>
    <w:next w:val="25"/>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5">
    <w:name w:val="标题 21"/>
    <w:basedOn w:val="17"/>
    <w:next w:val="17"/>
    <w:qFormat/>
    <w:uiPriority w:val="0"/>
    <w:pPr>
      <w:keepNext/>
      <w:keepLines/>
      <w:numPr>
        <w:ilvl w:val="0"/>
        <w:numId w:val="1"/>
      </w:numPr>
      <w:spacing w:before="260" w:after="260" w:line="416" w:lineRule="auto"/>
      <w:outlineLvl w:val="1"/>
    </w:pPr>
    <w:rPr>
      <w:rFonts w:ascii="Cambria" w:hAnsi="Cambria"/>
      <w:b/>
      <w:bCs/>
      <w:sz w:val="28"/>
      <w:szCs w:val="32"/>
    </w:rPr>
  </w:style>
  <w:style w:type="paragraph" w:customStyle="1" w:styleId="26">
    <w:name w:val="正文文本1"/>
    <w:basedOn w:val="21"/>
    <w:next w:val="27"/>
    <w:autoRedefine/>
    <w:qFormat/>
    <w:uiPriority w:val="0"/>
    <w:pPr>
      <w:spacing w:after="120"/>
    </w:pPr>
    <w:rPr>
      <w:rFonts w:ascii="Calibri" w:hAnsi="Calibri"/>
    </w:rPr>
  </w:style>
  <w:style w:type="paragraph" w:customStyle="1" w:styleId="27">
    <w:name w:val="一级条标题"/>
    <w:basedOn w:val="28"/>
    <w:next w:val="29"/>
    <w:autoRedefine/>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28">
    <w:name w:val="章标题"/>
    <w:next w:val="21"/>
    <w:autoRedefine/>
    <w:qFormat/>
    <w:uiPriority w:val="0"/>
    <w:pPr>
      <w:tabs>
        <w:tab w:val="left" w:pos="810"/>
        <w:tab w:val="left" w:pos="1265"/>
      </w:tabs>
      <w:spacing w:before="50" w:after="50"/>
      <w:ind w:left="810" w:hanging="810"/>
      <w:jc w:val="both"/>
      <w:outlineLvl w:val="1"/>
    </w:pPr>
    <w:rPr>
      <w:rFonts w:hint="default" w:ascii="黑体" w:hAnsi="Calibri" w:eastAsia="黑体" w:cs="Times New Roman"/>
      <w:sz w:val="21"/>
      <w:szCs w:val="22"/>
      <w:lang w:val="en-US" w:eastAsia="zh-CN" w:bidi="ar-SA"/>
    </w:rPr>
  </w:style>
  <w:style w:type="paragraph" w:customStyle="1" w:styleId="29">
    <w:name w:val="段"/>
    <w:basedOn w:val="21"/>
    <w:next w:val="21"/>
    <w:autoRedefine/>
    <w:qFormat/>
    <w:uiPriority w:val="0"/>
    <w:pPr>
      <w:widowControl/>
      <w:ind w:firstLine="200"/>
    </w:pPr>
    <w:rPr>
      <w:sz w:val="20"/>
    </w:rPr>
  </w:style>
  <w:style w:type="paragraph" w:customStyle="1" w:styleId="30">
    <w:name w:val="文本块1"/>
    <w:basedOn w:val="22"/>
    <w:unhideWhenUsed/>
    <w:qFormat/>
    <w:uiPriority w:val="99"/>
    <w:pPr>
      <w:widowControl/>
      <w:ind w:left="567" w:right="454" w:firstLine="498"/>
      <w:jc w:val="left"/>
    </w:pPr>
    <w:rPr>
      <w:rFonts w:ascii="仿宋_GB2312" w:eastAsia="仿宋_GB2312"/>
      <w:sz w:val="30"/>
      <w:szCs w:val="20"/>
    </w:rPr>
  </w:style>
  <w:style w:type="character" w:customStyle="1" w:styleId="31">
    <w:name w:val="NormalCharacter"/>
    <w:semiHidden/>
    <w:qFormat/>
    <w:uiPriority w:val="0"/>
  </w:style>
  <w:style w:type="paragraph" w:customStyle="1" w:styleId="32">
    <w:name w:val="正文文本111"/>
    <w:basedOn w:val="19"/>
    <w:next w:val="19"/>
    <w:qFormat/>
    <w:uiPriority w:val="0"/>
    <w:pPr>
      <w:spacing w:after="120"/>
    </w:pPr>
  </w:style>
  <w:style w:type="paragraph" w:customStyle="1" w:styleId="33">
    <w:name w:val="UserStyle_0"/>
    <w:next w:val="34"/>
    <w:qFormat/>
    <w:uiPriority w:val="0"/>
    <w:pPr>
      <w:jc w:val="both"/>
    </w:pPr>
    <w:rPr>
      <w:rFonts w:hint="default" w:ascii="Times New Roman" w:hAnsi="Times New Roman" w:eastAsia="宋体" w:cs="Times New Roman"/>
      <w:sz w:val="21"/>
      <w:szCs w:val="24"/>
      <w:lang w:val="en-US" w:eastAsia="zh-CN" w:bidi="ar-SA"/>
    </w:rPr>
  </w:style>
  <w:style w:type="paragraph" w:customStyle="1" w:styleId="34">
    <w:name w:val="UserStyle_1"/>
    <w:basedOn w:val="33"/>
    <w:next w:val="35"/>
    <w:qFormat/>
    <w:uiPriority w:val="0"/>
    <w:pPr>
      <w:spacing w:after="120"/>
    </w:pPr>
    <w:rPr>
      <w:lang w:eastAsia="en-US"/>
    </w:rPr>
  </w:style>
  <w:style w:type="paragraph" w:customStyle="1" w:styleId="35">
    <w:name w:val="UserStyle_3"/>
    <w:basedOn w:val="36"/>
    <w:next w:val="37"/>
    <w:qFormat/>
    <w:uiPriority w:val="0"/>
    <w:pPr>
      <w:tabs>
        <w:tab w:val="left" w:pos="810"/>
        <w:tab w:val="left" w:pos="907"/>
        <w:tab w:val="left" w:pos="1265"/>
      </w:tabs>
      <w:spacing w:before="0" w:after="0"/>
      <w:ind w:left="907" w:hanging="907"/>
    </w:pPr>
    <w:rPr>
      <w:rFonts w:hAnsi="宋体"/>
      <w:sz w:val="20"/>
      <w:szCs w:val="20"/>
    </w:rPr>
  </w:style>
  <w:style w:type="paragraph" w:customStyle="1" w:styleId="36">
    <w:name w:val="UserStyle_4"/>
    <w:next w:val="1"/>
    <w:qFormat/>
    <w:uiPriority w:val="0"/>
    <w:pPr>
      <w:tabs>
        <w:tab w:val="left" w:pos="810"/>
        <w:tab w:val="left" w:pos="1265"/>
      </w:tabs>
      <w:spacing w:before="50" w:after="50"/>
      <w:ind w:left="810" w:hanging="810"/>
      <w:jc w:val="both"/>
    </w:pPr>
    <w:rPr>
      <w:rFonts w:hint="default" w:ascii="黑体" w:hAnsi="Times New Roman" w:eastAsia="黑体" w:cs="Times New Roman"/>
      <w:sz w:val="21"/>
      <w:szCs w:val="22"/>
      <w:lang w:val="en-US" w:eastAsia="zh-CN" w:bidi="ar-SA"/>
    </w:rPr>
  </w:style>
  <w:style w:type="paragraph" w:customStyle="1" w:styleId="37">
    <w:name w:val="UserStyle_5"/>
    <w:basedOn w:val="1"/>
    <w:next w:val="1"/>
    <w:qFormat/>
    <w:uiPriority w:val="0"/>
    <w:pPr>
      <w:ind w:firstLine="200"/>
    </w:pPr>
    <w:rPr>
      <w:rFonts w:ascii="宋体"/>
      <w:szCs w:val="20"/>
    </w:rPr>
  </w:style>
  <w:style w:type="character" w:customStyle="1" w:styleId="38">
    <w:name w:val="NormalCharacter1"/>
    <w:link w:val="1"/>
    <w:semiHidden/>
    <w:qFormat/>
    <w:uiPriority w:val="0"/>
    <w:rPr>
      <w:rFonts w:hint="default" w:ascii="Times New Roman" w:hAnsi="Times New Roman" w:eastAsia="宋体" w:cs="Times New Roman"/>
      <w:sz w:val="21"/>
      <w:szCs w:val="24"/>
      <w:lang w:val="en-US" w:eastAsia="zh-CN" w:bidi="ar-SA"/>
    </w:rPr>
  </w:style>
  <w:style w:type="paragraph" w:customStyle="1" w:styleId="39">
    <w:name w:val="p0"/>
    <w:basedOn w:val="1"/>
    <w:qFormat/>
    <w:uiPriority w:val="0"/>
    <w:pPr>
      <w:widowControl/>
    </w:pPr>
    <w:rPr>
      <w:szCs w:val="21"/>
    </w:rPr>
  </w:style>
  <w:style w:type="paragraph" w:customStyle="1" w:styleId="40">
    <w:name w:val="正文文本11"/>
    <w:basedOn w:val="17"/>
    <w:next w:val="1"/>
    <w:qFormat/>
    <w:uiPriority w:val="0"/>
    <w:pPr>
      <w:spacing w:after="120"/>
    </w:pPr>
  </w:style>
  <w:style w:type="paragraph" w:customStyle="1" w:styleId="41">
    <w:name w:val="纯文本1"/>
    <w:basedOn w:val="1"/>
    <w:qFormat/>
    <w:uiPriority w:val="0"/>
    <w:rPr>
      <w:rFonts w:ascii="宋体" w:hAnsi="Courier New"/>
      <w:szCs w:val="21"/>
    </w:rPr>
  </w:style>
  <w:style w:type="paragraph" w:customStyle="1" w:styleId="42">
    <w:name w:val="正文_0"/>
    <w:qFormat/>
    <w:uiPriority w:val="0"/>
    <w:pPr>
      <w:widowControl w:val="0"/>
      <w:jc w:val="both"/>
    </w:pPr>
    <w:rPr>
      <w:rFonts w:hint="default" w:ascii="Times New Roman" w:hAnsi="Times New Roman" w:eastAsia="宋体" w:cs="Times New Roman"/>
      <w:sz w:val="21"/>
      <w:szCs w:val="22"/>
      <w:lang w:val="en-US" w:eastAsia="zh-CN" w:bidi="ar-SA"/>
    </w:rPr>
  </w:style>
  <w:style w:type="paragraph" w:styleId="43">
    <w:name w:val="List Paragraph"/>
    <w:basedOn w:val="1"/>
    <w:qFormat/>
    <w:uiPriority w:val="34"/>
    <w:pPr>
      <w:ind w:left="720"/>
      <w:contextualSpacing/>
    </w:pPr>
  </w:style>
  <w:style w:type="paragraph" w:customStyle="1" w:styleId="44">
    <w:name w:val="页脚1"/>
    <w:basedOn w:val="1"/>
    <w:qFormat/>
    <w:uiPriority w:val="0"/>
    <w:pPr>
      <w:tabs>
        <w:tab w:val="center" w:pos="4153"/>
        <w:tab w:val="right" w:pos="8306"/>
      </w:tabs>
      <w:jc w:val="left"/>
    </w:pPr>
    <w:rPr>
      <w:sz w:val="18"/>
      <w:szCs w:val="18"/>
    </w:rPr>
  </w:style>
  <w:style w:type="paragraph" w:customStyle="1" w:styleId="45">
    <w:name w:val="正文文本缩进2"/>
    <w:basedOn w:val="1"/>
    <w:qFormat/>
    <w:uiPriority w:val="0"/>
    <w:pPr>
      <w:spacing w:after="120"/>
      <w:ind w:left="420"/>
    </w:pPr>
    <w:rPr>
      <w:rFonts w:ascii="Calibri" w:hAnsi="Calibri"/>
    </w:rPr>
  </w:style>
  <w:style w:type="paragraph" w:customStyle="1" w:styleId="46">
    <w:name w:val="普通(网站)1"/>
    <w:basedOn w:val="1"/>
    <w:qFormat/>
    <w:uiPriority w:val="99"/>
    <w:pPr>
      <w:widowControl/>
      <w:spacing w:before="100" w:beforeAutospacing="1" w:after="100" w:afterAutospacing="1"/>
      <w:jc w:val="left"/>
    </w:pPr>
    <w:rPr>
      <w:rFonts w:ascii="宋体" w:hAnsi="宋体" w:cs="宋体"/>
      <w:sz w:val="24"/>
    </w:rPr>
  </w:style>
  <w:style w:type="paragraph" w:customStyle="1" w:styleId="47">
    <w:name w:val="页眉1"/>
    <w:basedOn w:val="1"/>
    <w:qFormat/>
    <w:uiPriority w:val="0"/>
    <w:pPr>
      <w:pBdr>
        <w:bottom w:val="single" w:color="000000" w:sz="6" w:space="1"/>
      </w:pBdr>
      <w:tabs>
        <w:tab w:val="center" w:pos="4153"/>
        <w:tab w:val="right" w:pos="8306"/>
      </w:tabs>
      <w:jc w:val="center"/>
    </w:pPr>
    <w:rPr>
      <w:sz w:val="18"/>
      <w:szCs w:val="18"/>
    </w:rPr>
  </w:style>
  <w:style w:type="character" w:customStyle="1" w:styleId="48">
    <w:name w:val="页码1"/>
    <w:link w:val="1"/>
    <w:qFormat/>
    <w:uiPriority w:val="0"/>
  </w:style>
  <w:style w:type="paragraph" w:customStyle="1" w:styleId="49">
    <w:name w:val="页脚11"/>
    <w:basedOn w:val="1"/>
    <w:unhideWhenUsed/>
    <w:qFormat/>
    <w:uiPriority w:val="99"/>
    <w:pPr>
      <w:tabs>
        <w:tab w:val="center" w:pos="7143"/>
        <w:tab w:val="right" w:pos="14287"/>
      </w:tabs>
    </w:pPr>
  </w:style>
  <w:style w:type="paragraph" w:customStyle="1" w:styleId="50">
    <w:name w:val="页眉11"/>
    <w:basedOn w:val="1"/>
    <w:unhideWhenUsed/>
    <w:qFormat/>
    <w:uiPriority w:val="99"/>
    <w:pPr>
      <w:tabs>
        <w:tab w:val="center" w:pos="7143"/>
        <w:tab w:val="right" w:pos="14287"/>
      </w:tabs>
    </w:pPr>
  </w:style>
  <w:style w:type="paragraph" w:customStyle="1" w:styleId="51">
    <w:name w:val="Table Text"/>
    <w:qFormat/>
    <w:uiPriority w:val="0"/>
    <w:pPr>
      <w:spacing w:before="80" w:after="80"/>
    </w:pPr>
    <w:rPr>
      <w:rFonts w:hint="default" w:ascii="Arial" w:hAnsi="Arial" w:eastAsia="Times New Roman" w:cs="Times New Roman"/>
      <w:sz w:val="18"/>
      <w:szCs w:val="18"/>
    </w:rPr>
  </w:style>
  <w:style w:type="table" w:customStyle="1" w:styleId="52">
    <w:name w:val="Table Normal"/>
    <w:semiHidden/>
    <w:unhideWhenUsed/>
    <w:qFormat/>
    <w:uiPriority w:val="0"/>
    <w:tblPr>
      <w:tblCellMar>
        <w:top w:w="0" w:type="dxa"/>
        <w:left w:w="0" w:type="dxa"/>
        <w:bottom w:w="0" w:type="dxa"/>
        <w:right w:w="0" w:type="dxa"/>
      </w:tblCellMar>
    </w:tblPr>
  </w:style>
  <w:style w:type="paragraph" w:customStyle="1" w:styleId="53">
    <w:name w:val="style4"/>
    <w:basedOn w:val="1"/>
    <w:next w:val="54"/>
    <w:qFormat/>
    <w:uiPriority w:val="0"/>
    <w:pPr>
      <w:widowControl/>
      <w:spacing w:before="280" w:after="280"/>
    </w:pPr>
    <w:rPr>
      <w:rFonts w:ascii="宋体"/>
      <w:sz w:val="18"/>
    </w:rPr>
  </w:style>
  <w:style w:type="paragraph" w:customStyle="1" w:styleId="54">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5">
    <w:name w:val="表格文字"/>
    <w:next w:val="3"/>
    <w:qFormat/>
    <w:uiPriority w:val="0"/>
    <w:pPr>
      <w:widowControl w:val="0"/>
      <w:adjustRightInd w:val="0"/>
      <w:snapToGrid w:val="0"/>
      <w:spacing w:before="120" w:after="120"/>
      <w:jc w:val="center"/>
    </w:pPr>
    <w:rPr>
      <w:rFonts w:ascii="Arial" w:hAnsi="Arial" w:eastAsia="宋体" w:cs="Arial"/>
      <w:bCs/>
      <w:spacing w:val="20"/>
      <w:kern w:val="2"/>
      <w:sz w:val="21"/>
      <w:szCs w:val="24"/>
      <w:lang w:val="en-US" w:eastAsia="zh-CN" w:bidi="ar-SA"/>
    </w:rPr>
  </w:style>
  <w:style w:type="paragraph" w:customStyle="1" w:styleId="56">
    <w:name w:val="正文（缩进）"/>
    <w:basedOn w:val="1"/>
    <w:next w:val="1"/>
    <w:qFormat/>
    <w:uiPriority w:val="0"/>
    <w:pPr>
      <w:spacing w:before="156" w:after="156"/>
      <w:ind w:firstLine="48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11207</Words>
  <Characters>11874</Characters>
  <Lines>0</Lines>
  <Paragraphs>0</Paragraphs>
  <TotalTime>22</TotalTime>
  <ScaleCrop>false</ScaleCrop>
  <LinksUpToDate>false</LinksUpToDate>
  <CharactersWithSpaces>12188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2025-08-04T01:30:00Z</dcterms:created>
  <dc:creator> A。c</dc:creator>
  <cp:lastModifiedBy> A。c</cp:lastModifiedBy>
  <dcterms:modified xsi:type="dcterms:W3CDTF">2025-08-12T00:43:48Z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A9252067079349E6A175CC572297E79D_13</vt:lpwstr>
  </property>
  <property fmtid="{D5CDD505-2E9C-101B-9397-08002B2CF9AE}" pid="4" name="KSOTemplateDocerSaveRecord">
    <vt:lpwstr>eyJoZGlkIjoiMWI0NmRmYjBiNmY5MzE0YWJlYTk1N2JmNmFlOGRkYWIiLCJ1c2VySWQiOiIzNjU0NzE5ODYifQ==</vt:lpwstr>
  </property>
</Properties>
</file>