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1271A">
      <w:pPr>
        <w:pStyle w:val="2"/>
        <w:ind w:firstLine="5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如有建议或意见，请以书面形式并加盖公章、注明联系人、联系方式，于</w:t>
      </w:r>
      <w:r>
        <w:rPr>
          <w:rFonts w:hint="eastAsia" w:ascii="宋体" w:hAnsi="宋体" w:eastAsia="宋体" w:cs="宋体"/>
          <w:lang w:eastAsia="zh-CN"/>
        </w:rPr>
        <w:t>2025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日17:00之前送至我单位，逾期不受理（如邮寄，</w:t>
      </w:r>
      <w:r>
        <w:rPr>
          <w:rFonts w:hint="eastAsia" w:ascii="宋体" w:hAnsi="宋体" w:eastAsia="宋体" w:cs="宋体"/>
          <w:lang w:eastAsia="zh-CN"/>
        </w:rPr>
        <w:t>2025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</w:rPr>
        <w:t>日17:00之后到达本公司的邮件将不再受理）。</w:t>
      </w:r>
    </w:p>
    <w:p w14:paraId="73861B7B"/>
    <w:p w14:paraId="719E506C"/>
    <w:p w14:paraId="1CAFA3BE"/>
    <w:p w14:paraId="46B3873D"/>
    <w:p w14:paraId="28FCA71E"/>
    <w:p w14:paraId="0D2CFDA9"/>
    <w:p w14:paraId="3BF96894"/>
    <w:p w14:paraId="275D42AE"/>
    <w:p w14:paraId="697D4A35"/>
    <w:p w14:paraId="06BED96B"/>
    <w:p w14:paraId="475EB1E4"/>
    <w:p w14:paraId="23F5F570"/>
    <w:p w14:paraId="5DB1192C"/>
    <w:p w14:paraId="2E2026BE"/>
    <w:p w14:paraId="30684D53"/>
    <w:p w14:paraId="73BF37B6"/>
    <w:p w14:paraId="7127EF56"/>
    <w:p w14:paraId="371C3D51"/>
    <w:p w14:paraId="4FF650FF"/>
    <w:p w14:paraId="2DE7A79C"/>
    <w:p w14:paraId="706EFEA6"/>
    <w:p w14:paraId="7E4F31CA"/>
    <w:p w14:paraId="38E5A2EE"/>
    <w:p w14:paraId="05480397"/>
    <w:p w14:paraId="72332E86"/>
    <w:p w14:paraId="088F60C4"/>
    <w:p w14:paraId="47B5FC0F"/>
    <w:p w14:paraId="1D3C87BA"/>
    <w:p w14:paraId="0D26A7AF"/>
    <w:p w14:paraId="13D66FFD"/>
    <w:p w14:paraId="6467AD57"/>
    <w:p w14:paraId="2BAD6078"/>
    <w:p w14:paraId="7219BCC3"/>
    <w:p w14:paraId="5FB7E56E"/>
    <w:p w14:paraId="63B19266"/>
    <w:p w14:paraId="45F548F9"/>
    <w:p w14:paraId="5E5856A9"/>
    <w:p w14:paraId="449BCE9D"/>
    <w:p w14:paraId="071E734B">
      <w:pPr>
        <w:tabs>
          <w:tab w:val="left" w:pos="1703"/>
        </w:tabs>
        <w:jc w:val="center"/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sz w:val="36"/>
          <w:szCs w:val="36"/>
        </w:rPr>
        <w:t>2、项目要求（采购需求）</w:t>
      </w:r>
    </w:p>
    <w:p w14:paraId="1ACFC0BF">
      <w:pPr>
        <w:pStyle w:val="15"/>
        <w:ind w:firstLine="420"/>
        <w:rPr>
          <w:rFonts w:ascii="宋体" w:hAnsi="宋体" w:cs="宋体"/>
        </w:rPr>
      </w:pPr>
    </w:p>
    <w:p w14:paraId="08EC49A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一、项目名称和地点</w:t>
      </w:r>
    </w:p>
    <w:p w14:paraId="6BD208B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2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项目名称：造物于用—邳州六十年考古成果精品展</w:t>
      </w:r>
    </w:p>
    <w:p w14:paraId="73A65E0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2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地 点：</w:t>
      </w:r>
      <w:r>
        <w:rPr>
          <w:rFonts w:hint="eastAsia" w:hAnsi="宋体"/>
          <w:sz w:val="24"/>
          <w:szCs w:val="24"/>
          <w:lang w:val="en-US" w:eastAsia="zh-CN"/>
        </w:rPr>
        <w:t>邳州</w:t>
      </w:r>
      <w:r>
        <w:rPr>
          <w:rFonts w:hint="eastAsia" w:hAnsi="宋体"/>
          <w:sz w:val="24"/>
          <w:szCs w:val="24"/>
        </w:rPr>
        <w:t>市博物馆</w:t>
      </w:r>
    </w:p>
    <w:p w14:paraId="5071254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二、项目概况</w:t>
      </w:r>
    </w:p>
    <w:p w14:paraId="1FB0EC3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2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造物于用—邳州六十年考古成果精品展位于</w:t>
      </w:r>
      <w:r>
        <w:rPr>
          <w:rFonts w:hint="eastAsia" w:hAnsi="宋体"/>
          <w:sz w:val="24"/>
          <w:szCs w:val="24"/>
          <w:lang w:val="en-US" w:eastAsia="zh-CN"/>
        </w:rPr>
        <w:t>邳州市</w:t>
      </w:r>
      <w:r>
        <w:rPr>
          <w:rFonts w:hint="eastAsia" w:hAnsi="宋体"/>
          <w:sz w:val="24"/>
          <w:szCs w:val="24"/>
        </w:rPr>
        <w:t>市博物馆一层一号临展厅，布展面积384平方米，为了展示</w:t>
      </w:r>
      <w:r>
        <w:rPr>
          <w:rFonts w:hint="eastAsia" w:hAnsi="宋体"/>
          <w:sz w:val="24"/>
          <w:szCs w:val="24"/>
          <w:lang w:val="en-US" w:eastAsia="zh-CN"/>
        </w:rPr>
        <w:t>邳州市</w:t>
      </w:r>
      <w:r>
        <w:rPr>
          <w:rFonts w:hint="eastAsia" w:hAnsi="宋体"/>
          <w:sz w:val="24"/>
          <w:szCs w:val="24"/>
        </w:rPr>
        <w:t>考古60周年成果，特在一号临展厅策划“造物于用—邳州六十年考古成果精品展”</w:t>
      </w:r>
      <w:r>
        <w:rPr>
          <w:rFonts w:hint="eastAsia" w:hAnsi="宋体"/>
          <w:sz w:val="24"/>
          <w:szCs w:val="24"/>
          <w:lang w:eastAsia="zh-CN"/>
        </w:rPr>
        <w:t>，</w:t>
      </w:r>
      <w:r>
        <w:rPr>
          <w:rFonts w:hint="eastAsia" w:hAnsi="宋体"/>
          <w:sz w:val="24"/>
          <w:szCs w:val="24"/>
        </w:rPr>
        <w:t>具体项目需求和指标如下：</w:t>
      </w:r>
    </w:p>
    <w:p w14:paraId="6161D8E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三、项目服务要求</w:t>
      </w:r>
    </w:p>
    <w:p w14:paraId="01CA421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int="eastAsia" w:hAnsi="宋体"/>
          <w:sz w:val="24"/>
          <w:szCs w:val="24"/>
        </w:rPr>
        <w:t>、</w:t>
      </w: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展陈策划要求</w:t>
      </w:r>
    </w:p>
    <w:p w14:paraId="4755A2E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2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《造物于用—邳州六十年考古成果精品展》，精选</w:t>
      </w:r>
      <w:r>
        <w:rPr>
          <w:rFonts w:hint="eastAsia" w:hAnsi="宋体"/>
          <w:sz w:val="24"/>
          <w:szCs w:val="24"/>
          <w:lang w:eastAsia="zh-CN"/>
        </w:rPr>
        <w:t>邳州市</w:t>
      </w:r>
      <w:r>
        <w:rPr>
          <w:rFonts w:hint="eastAsia" w:hAnsi="宋体"/>
          <w:sz w:val="24"/>
          <w:szCs w:val="24"/>
        </w:rPr>
        <w:t>考古近六十年三大国宝遗址——刘林遗址、大墩子遗址、梁王城遗址及全国唯一未被盗扰西晋煎药庙遗址等出土的文物，在历史的时空下，释放其在衣食住行、仪礼教化、生活娱乐等维度的当时当地价值，溯源寻根，解密文明的密码，探寻文化的原初，从最接地气的维度，回应“文化是什么？文化在哪里？文化向何处？”的哲学问题。投标人需深入研究项目基础内容资料，在对展示目的有较深理解的基础上，深化展陈内容。展陈内容要严谨科学准确、文化解读符合史实，引用资料要注明来源。展陈策划方案要有系统性，各个章节之间的关系要合乎逻辑、结构完整有层次性，不能出现时间冲突、内容冲突等问题。</w:t>
      </w:r>
    </w:p>
    <w:p w14:paraId="3B5837A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int="eastAsia" w:hAnsi="宋体"/>
          <w:sz w:val="24"/>
          <w:szCs w:val="24"/>
        </w:rPr>
        <w:t xml:space="preserve">、展陈设计要求 </w:t>
      </w:r>
    </w:p>
    <w:p w14:paraId="425B5B6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深入的理解展陈大纲主题和内容，明确展览主题定位，对展览内容有宏观的理解和把握，造物为用做突出展示，思想性和教育性有清晰的概括和升华，表明展览的传播导向和目的。做到主题突出，形式多样，内容与形式完美统一。对各重点、亮点的把握与处理的要紧扣主题，展示形式独特、创新。艺术创意新颖，设计风格现代、雅致，符合最新展览潮流，有强烈的艺术感染力。要充分考虑利用原有临展厅展柜、灯光，并在不能破坏原有临展厅设备设施（消防、空调、地面、强面、顶面、安防设施、展柜等）的基础上进行设计，方便撤展与恢复原有临展厅原貌。展厅环境设计和气氛营造力求大气大方，与空间完美结合。根据展示内容，合理的划分各分展区和功能空间，空间利用合理、充分；丰富展示空间，各展区间以及各展区与公共部位之间过渡自然，无死板分割，与各区紧密结合，能为参观者提供一个舒适、和谐的参展环境。</w:t>
      </w:r>
    </w:p>
    <w:p w14:paraId="45CD790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>
        <w:rPr>
          <w:rFonts w:hint="eastAsia" w:hAnsi="宋体"/>
          <w:sz w:val="24"/>
          <w:szCs w:val="24"/>
        </w:rPr>
        <w:t xml:space="preserve">、施工图设计要求 </w:t>
      </w:r>
    </w:p>
    <w:p w14:paraId="76A98EE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完成并制作本项目全部专业的施工图设计文件。</w:t>
      </w:r>
    </w:p>
    <w:p w14:paraId="11E2B35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4、布展彩立面要求</w:t>
      </w:r>
    </w:p>
    <w:p w14:paraId="28A8628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完成并绘制本项目全部专业的布展彩立面图纸，准确体现布展各立面色彩、材质、图文、字体字号以及制作规范。</w:t>
      </w:r>
    </w:p>
    <w:p w14:paraId="61DC5A6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四、布展搭建要求</w:t>
      </w:r>
    </w:p>
    <w:p w14:paraId="5D8538F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int="eastAsia" w:hAnsi="宋体"/>
          <w:sz w:val="24"/>
          <w:szCs w:val="24"/>
        </w:rPr>
        <w:t>、投标人在制作期内，要完成整个展厅的空间设计、版面图文设计制作、多媒体演示设计制作、专业灯光照明设计安装调试等工作。</w:t>
      </w:r>
    </w:p>
    <w:p w14:paraId="5AE87A1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int="eastAsia" w:hAnsi="宋体"/>
          <w:sz w:val="24"/>
          <w:szCs w:val="24"/>
        </w:rPr>
        <w:t>、图文展板等展面内容的工艺制作要运用新材料、新工艺，提高布展制作中的科技含量；运用节能、环保材料和环保技术，充分考虑材料的安全性、通用性、牢固性、美观性。</w:t>
      </w:r>
    </w:p>
    <w:p w14:paraId="23A0639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>
        <w:rPr>
          <w:rFonts w:hint="eastAsia" w:hAnsi="宋体"/>
          <w:sz w:val="24"/>
          <w:szCs w:val="24"/>
        </w:rPr>
        <w:t>、多媒体交互的主要硬件设备要充分考虑设备性能，利于长期使用；互动系统软件要能够实现视觉效果与内容相结合，画面美观，体验感强；脚本创作要真实性与艺术性相结合，创意独特，形式新颖，增加展示的趣味性和生动性。</w:t>
      </w:r>
    </w:p>
    <w:p w14:paraId="5B19DAF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4</w:t>
      </w:r>
      <w:r>
        <w:rPr>
          <w:rFonts w:hint="eastAsia" w:hAnsi="宋体"/>
          <w:sz w:val="24"/>
          <w:szCs w:val="24"/>
        </w:rPr>
        <w:t xml:space="preserve">、利用原有展柜进行文物陈列布展，提供布展陈列所需的道具托架，注重文物的安全。 </w:t>
      </w:r>
    </w:p>
    <w:p w14:paraId="09F235A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>5</w:t>
      </w:r>
      <w:r>
        <w:rPr>
          <w:rFonts w:hint="eastAsia" w:hAnsi="宋体"/>
          <w:sz w:val="24"/>
          <w:szCs w:val="24"/>
        </w:rPr>
        <w:t>、展示照明要根据总体形式设计，强调灯光设计艺术性，达到为总体陈列艺术效果做渲染的目的。陈列照明应严格防止直接眩光和反射眩光，并使用冷光源等先进的照明设备；工作照明应采用 LED 节能灯，并满足对“光损害”的消除与控制的要求。展品照明设备应符合展厅的需求。</w:t>
      </w:r>
    </w:p>
    <w:p w14:paraId="2609B0F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四、售后服务</w:t>
      </w:r>
    </w:p>
    <w:p w14:paraId="5CD6C07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本项目设备在运维期内出现任何质量问题，中标人须在48小时内到达现场免费提供修理及更换服务。</w:t>
      </w:r>
    </w:p>
    <w:p w14:paraId="280C5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五、其他要求</w:t>
      </w:r>
    </w:p>
    <w:p w14:paraId="7D247BF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、本项目所形成的成果归采购人所有。项目实施中涉及到的相关保密数据、资料、文档等按照相应相关保密规定执行，中标人有对资料保密的义务。若中标人违反保密要求，采购人除按照有关规定追究中标人及个人经济上的赔偿责任外，还有权提请司法机关追究有关人员及单位的法律责任。</w:t>
      </w:r>
    </w:p>
    <w:p w14:paraId="7BB4A75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240" w:firstLineChars="10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</w:t>
      </w:r>
      <w:r>
        <w:rPr>
          <w:rFonts w:hint="eastAsia" w:hAnsi="宋体"/>
          <w:sz w:val="24"/>
          <w:szCs w:val="24"/>
          <w:lang w:eastAsia="zh-CN"/>
        </w:rPr>
        <w:t>、</w:t>
      </w:r>
      <w:r>
        <w:rPr>
          <w:rFonts w:hint="eastAsia" w:hAnsi="宋体"/>
          <w:sz w:val="24"/>
          <w:szCs w:val="24"/>
        </w:rPr>
        <w:t>投标报价为从事本项目服务应包括所有的费用：人员工资、法定的社会保险、医疗保险、住房公积金、法定税费、管理费等（含为完成竞争性磋商文件规定的服务工作所涉及到的防暑降温费、节假日福利、加班费、服装费、意外伤害险、工具折旧费、日常耗材费等所有相关费用），投标人在报价时应考虑各种风险因素，相关风险因素费用包含在投标总价中。（提供承诺函，格式自拟）</w:t>
      </w:r>
    </w:p>
    <w:p w14:paraId="68D9E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、各投标人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自行勘探现场</w:t>
      </w:r>
      <w:r>
        <w:rPr>
          <w:rFonts w:hint="eastAsia" w:ascii="宋体" w:hAnsi="宋体" w:cs="宋体"/>
          <w:sz w:val="24"/>
          <w:szCs w:val="24"/>
        </w:rPr>
        <w:t>，结合本项目实际情况，综合设计、布置。</w:t>
      </w:r>
    </w:p>
    <w:p w14:paraId="66643803">
      <w:pP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六、其他要求</w:t>
      </w:r>
    </w:p>
    <w:p w14:paraId="3C12F788">
      <w:pP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见《磋商文件》附件：6、《拟签订的合同文本》。</w:t>
      </w:r>
    </w:p>
    <w:p w14:paraId="52F1EC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E2871"/>
    <w:rsid w:val="17B81DCC"/>
    <w:rsid w:val="446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723" w:firstLineChars="200"/>
    </w:pPr>
    <w:rPr>
      <w:rFonts w:ascii="楷体_GB2312" w:hAnsi="楷体_GB2312" w:eastAsia="楷体_GB2312"/>
      <w:sz w:val="28"/>
      <w:szCs w:val="28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basedOn w:val="6"/>
    <w:next w:val="1"/>
    <w:qFormat/>
    <w:uiPriority w:val="0"/>
    <w:pPr>
      <w:widowControl/>
      <w:ind w:firstLine="200"/>
    </w:pPr>
    <w:rPr>
      <w:sz w:val="20"/>
    </w:rPr>
  </w:style>
  <w:style w:type="paragraph" w:customStyle="1" w:styleId="6">
    <w:name w:val="正文1"/>
    <w:basedOn w:val="7"/>
    <w:next w:val="8"/>
    <w:qFormat/>
    <w:uiPriority w:val="0"/>
    <w:pPr>
      <w:adjustRightInd w:val="0"/>
      <w:spacing w:line="360" w:lineRule="atLeast"/>
      <w:textAlignment w:val="baseline"/>
    </w:pPr>
    <w:rPr>
      <w:rFonts w:ascii="宋体"/>
      <w:sz w:val="24"/>
      <w:szCs w:val="20"/>
    </w:rPr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正文文本1"/>
    <w:basedOn w:val="9"/>
    <w:next w:val="6"/>
    <w:qFormat/>
    <w:uiPriority w:val="0"/>
    <w:rPr>
      <w:rFonts w:eastAsia="黑体"/>
      <w:b/>
      <w:bCs/>
      <w:spacing w:val="20"/>
      <w:kern w:val="2"/>
      <w:sz w:val="56"/>
    </w:rPr>
  </w:style>
  <w:style w:type="paragraph" w:customStyle="1" w:styleId="9">
    <w:name w:val="正文11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首行缩进 21"/>
    <w:basedOn w:val="11"/>
    <w:next w:val="1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customStyle="1" w:styleId="11">
    <w:name w:val="正文文本缩进1"/>
    <w:basedOn w:val="9"/>
    <w:next w:val="12"/>
    <w:qFormat/>
    <w:uiPriority w:val="0"/>
    <w:pPr>
      <w:spacing w:after="120"/>
      <w:ind w:left="420"/>
    </w:pPr>
  </w:style>
  <w:style w:type="paragraph" w:customStyle="1" w:styleId="12">
    <w:name w:val="寄信人地址1"/>
    <w:basedOn w:val="9"/>
    <w:qFormat/>
    <w:uiPriority w:val="0"/>
    <w:rPr>
      <w:rFonts w:ascii="Arial" w:hAnsi="Arial"/>
    </w:rPr>
  </w:style>
  <w:style w:type="paragraph" w:customStyle="1" w:styleId="15">
    <w:name w:val="Fließtext"/>
    <w:basedOn w:val="1"/>
    <w:qFormat/>
    <w:uiPriority w:val="99"/>
    <w:rPr>
      <w:rFonts w:ascii="Calibri" w:hAnsi="Calibri"/>
    </w:rPr>
  </w:style>
  <w:style w:type="paragraph" w:customStyle="1" w:styleId="16">
    <w:name w:val="纯文本11"/>
    <w:basedOn w:val="1"/>
    <w:qFormat/>
    <w:uiPriority w:val="99"/>
    <w:rPr>
      <w:rFonts w:ascii="宋体" w:hAnsi="Courier New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1844</Words>
  <Characters>1866</Characters>
  <Lines>0</Lines>
  <Paragraphs>0</Paragraphs>
  <TotalTime>0</TotalTime>
  <ScaleCrop>false</ScaleCrop>
  <LinksUpToDate>false</LinksUpToDate>
  <CharactersWithSpaces>1873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2025-08-06T06:21:00Z</dcterms:created>
  <dc:creator>青儿的小白兔</dc:creator>
  <cp:lastModifiedBy>青儿的小白兔</cp:lastModifiedBy>
  <dcterms:modified xsi:type="dcterms:W3CDTF">2025-08-06T06:57:54Z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050DAB8F9D7D4318A2180532EF35E720_11</vt:lpwstr>
  </property>
  <property fmtid="{D5CDD505-2E9C-101B-9397-08002B2CF9AE}" pid="4" name="KSOTemplateDocerSaveRecord">
    <vt:lpwstr>eyJoZGlkIjoiYzJmZDA5YzZjZjcyOWFmNjk2MmU4OTRmZWNhNDZjZWUiLCJ1c2VySWQiOiI1MzMxMDc1MzQifQ==</vt:lpwstr>
  </property>
</Properties>
</file>