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2AB12">
      <w:pPr>
        <w:widowControl w:val="0"/>
        <w:numPr>
          <w:ilvl w:val="0"/>
          <w:numId w:val="0"/>
        </w:numPr>
        <w:spacing w:line="360" w:lineRule="auto"/>
        <w:jc w:val="left"/>
        <w:outlineLvl w:val="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如有建议或意见，请以书面形式并加盖公章、注明联系人、联系方式，于2025年</w:t>
      </w:r>
      <w:r>
        <w:rPr>
          <w:rFonts w:hint="eastAsia" w:ascii="宋体" w:hAnsi="Times New Roman" w:eastAsia="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月</w:t>
      </w:r>
      <w:r>
        <w:rPr>
          <w:rFonts w:hint="eastAsia" w:ascii="宋体" w:hAnsi="Times New Roman" w:eastAsia="宋体" w:cs="宋体"/>
          <w:color w:val="auto"/>
          <w:sz w:val="24"/>
          <w:szCs w:val="24"/>
          <w:highlight w:val="none"/>
          <w:lang w:val="en-US" w:eastAsia="zh-CN" w:bidi="ar-SA"/>
        </w:rPr>
        <w:t>12</w:t>
      </w:r>
      <w:r>
        <w:rPr>
          <w:rFonts w:hint="eastAsia" w:ascii="宋体" w:hAnsi="宋体" w:eastAsia="宋体" w:cs="宋体"/>
          <w:color w:val="auto"/>
          <w:sz w:val="24"/>
          <w:szCs w:val="24"/>
          <w:highlight w:val="none"/>
          <w:lang w:val="en-US" w:eastAsia="zh-CN" w:bidi="ar-SA"/>
        </w:rPr>
        <w:t>日17:00之前送至我单位，逾期不受理（如邮寄，2025年</w:t>
      </w:r>
      <w:r>
        <w:rPr>
          <w:rFonts w:hint="eastAsia" w:ascii="宋体" w:hAnsi="Times New Roman" w:eastAsia="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月</w:t>
      </w:r>
      <w:r>
        <w:rPr>
          <w:rFonts w:hint="eastAsia" w:ascii="宋体" w:hAnsi="Times New Roman" w:eastAsia="宋体" w:cs="宋体"/>
          <w:color w:val="auto"/>
          <w:sz w:val="24"/>
          <w:szCs w:val="24"/>
          <w:highlight w:val="none"/>
          <w:lang w:val="en-US" w:eastAsia="zh-CN" w:bidi="ar-SA"/>
        </w:rPr>
        <w:t>12</w:t>
      </w:r>
      <w:r>
        <w:rPr>
          <w:rFonts w:hint="eastAsia" w:ascii="宋体" w:hAnsi="宋体" w:eastAsia="宋体" w:cs="宋体"/>
          <w:color w:val="auto"/>
          <w:sz w:val="24"/>
          <w:szCs w:val="24"/>
          <w:highlight w:val="none"/>
          <w:lang w:val="en-US" w:eastAsia="zh-CN" w:bidi="ar-SA"/>
        </w:rPr>
        <w:t>日17:00之后到达本单位的邮件将不再受理）。</w:t>
      </w:r>
    </w:p>
    <w:p w14:paraId="5F165FC5">
      <w:pPr>
        <w:widowControl/>
        <w:bidi w:val="0"/>
        <w:jc w:val="left"/>
        <w:rPr>
          <w:rFonts w:hint="eastAsia" w:ascii="Times New Roman" w:hAnsi="Times New Roman" w:eastAsia="宋体" w:cs="Times New Roman"/>
          <w:color w:val="auto"/>
          <w:kern w:val="0"/>
          <w:sz w:val="20"/>
          <w:szCs w:val="20"/>
          <w:highlight w:val="none"/>
          <w:lang w:val="en-US" w:eastAsia="zh-CN"/>
        </w:rPr>
      </w:pPr>
    </w:p>
    <w:p w14:paraId="59740086">
      <w:pPr>
        <w:numPr>
          <w:ilvl w:val="0"/>
          <w:numId w:val="0"/>
        </w:numPr>
        <w:spacing w:line="360" w:lineRule="auto"/>
        <w:jc w:val="center"/>
        <w:outlineLvl w:val="0"/>
        <w:rPr>
          <w:rFonts w:hint="eastAsia" w:eastAsia="宋体" w:cs="宋体"/>
          <w:b/>
          <w:color w:val="auto"/>
          <w:sz w:val="30"/>
          <w:szCs w:val="30"/>
          <w:highlight w:val="none"/>
          <w:lang w:val="en-US" w:eastAsia="zh-CN" w:bidi="ar-SA"/>
        </w:rPr>
        <w:sectPr>
          <w:pgSz w:w="11906" w:h="16838"/>
          <w:pgMar w:top="1440" w:right="1800" w:bottom="1440" w:left="1800" w:header="851" w:footer="992" w:gutter="0"/>
          <w:cols w:space="720" w:num="1"/>
          <w:docGrid w:type="lines" w:linePitch="312" w:charSpace="0"/>
        </w:sectPr>
      </w:pPr>
    </w:p>
    <w:p w14:paraId="312BEA25">
      <w:pPr>
        <w:widowControl w:val="0"/>
        <w:spacing w:line="240" w:lineRule="auto"/>
        <w:ind w:firstLine="723"/>
        <w:jc w:val="center"/>
        <w:rPr>
          <w:rFonts w:hint="default" w:ascii="宋体" w:hAnsi="宋体" w:eastAsia="宋体" w:cs="Times New Roman"/>
          <w:b/>
          <w:bCs/>
          <w:sz w:val="32"/>
          <w:szCs w:val="32"/>
          <w:highlight w:val="none"/>
          <w:lang w:val="en-US" w:eastAsia="zh-CN" w:bidi="ar-SA"/>
        </w:rPr>
      </w:pPr>
      <w:r>
        <w:rPr>
          <w:rFonts w:hint="default" w:ascii="宋体" w:hAnsi="宋体" w:eastAsia="宋体" w:cs="Times New Roman"/>
          <w:b/>
          <w:bCs/>
          <w:sz w:val="32"/>
          <w:szCs w:val="32"/>
          <w:highlight w:val="none"/>
          <w:lang w:val="en-US" w:eastAsia="zh-CN" w:bidi="ar-SA"/>
        </w:rPr>
        <w:t>采购需求</w:t>
      </w:r>
    </w:p>
    <w:p w14:paraId="190D7598">
      <w:pPr>
        <w:widowControl w:val="0"/>
        <w:numPr>
          <w:ilvl w:val="0"/>
          <w:numId w:val="1"/>
        </w:numPr>
        <w:spacing w:line="360" w:lineRule="auto"/>
        <w:ind w:left="256" w:right="6" w:firstLine="482"/>
        <w:jc w:val="both"/>
        <w:rPr>
          <w:rFonts w:hint="default" w:ascii="宋体" w:hAnsi="宋体" w:eastAsia="宋体" w:cs="Times New Roman"/>
          <w:b/>
          <w:bCs/>
          <w:sz w:val="24"/>
          <w:szCs w:val="24"/>
          <w:highlight w:val="none"/>
          <w:lang w:val="en-US" w:eastAsia="zh-CN" w:bidi="ar-SA"/>
        </w:rPr>
      </w:pPr>
      <w:r>
        <w:rPr>
          <w:rFonts w:hint="default" w:ascii="宋体" w:hAnsi="宋体" w:eastAsia="宋体" w:cs="Times New Roman"/>
          <w:b/>
          <w:bCs/>
          <w:sz w:val="24"/>
          <w:szCs w:val="24"/>
          <w:highlight w:val="none"/>
          <w:lang w:val="en-US" w:eastAsia="zh-CN" w:bidi="ar-SA"/>
        </w:rPr>
        <w:t>采购标的</w:t>
      </w:r>
    </w:p>
    <w:p w14:paraId="77841B65">
      <w:pPr>
        <w:widowControl w:val="0"/>
        <w:numPr>
          <w:ilvl w:val="0"/>
          <w:numId w:val="2"/>
        </w:numPr>
        <w:spacing w:line="360" w:lineRule="auto"/>
        <w:ind w:firstLine="819"/>
        <w:jc w:val="both"/>
        <w:rPr>
          <w:rFonts w:hint="eastAsia"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项目名称:</w:t>
      </w:r>
      <w:r>
        <w:rPr>
          <w:rFonts w:hint="eastAsia" w:ascii="宋体" w:hAnsi="宋体" w:eastAsia="宋体" w:cs="Times New Roman"/>
          <w:sz w:val="24"/>
          <w:szCs w:val="24"/>
          <w:highlight w:val="none"/>
          <w:lang w:val="en-US" w:eastAsia="zh-CN" w:bidi="ar-SA"/>
        </w:rPr>
        <w:t>沛县2023年农村道路（镇镇之间）路面黑化工程（敬安镇新敬线、敬梁线）</w:t>
      </w:r>
    </w:p>
    <w:p w14:paraId="0E2BB098">
      <w:pPr>
        <w:widowControl w:val="0"/>
        <w:numPr>
          <w:ilvl w:val="0"/>
          <w:numId w:val="0"/>
        </w:numPr>
        <w:spacing w:line="360" w:lineRule="auto"/>
        <w:ind w:firstLine="723"/>
        <w:jc w:val="both"/>
        <w:rPr>
          <w:rFonts w:hint="default" w:ascii="宋体" w:hAnsi="宋体" w:eastAsia="宋体" w:cs="Times New Roman"/>
          <w:b/>
          <w:bCs/>
          <w:sz w:val="24"/>
          <w:szCs w:val="24"/>
          <w:highlight w:val="none"/>
          <w:lang w:val="en-US" w:eastAsia="zh-CN" w:bidi="ar-SA"/>
        </w:rPr>
      </w:pPr>
      <w:r>
        <w:rPr>
          <w:rFonts w:hint="eastAsia" w:ascii="宋体" w:hAnsi="宋体" w:eastAsia="宋体" w:cs="Times New Roman"/>
          <w:b/>
          <w:bCs/>
          <w:sz w:val="24"/>
          <w:szCs w:val="24"/>
          <w:highlight w:val="none"/>
          <w:lang w:val="en-US" w:eastAsia="zh-CN" w:bidi="ar-SA"/>
        </w:rPr>
        <w:t>2.</w:t>
      </w:r>
      <w:r>
        <w:rPr>
          <w:rFonts w:hint="default" w:ascii="宋体" w:hAnsi="宋体" w:eastAsia="宋体" w:cs="Times New Roman"/>
          <w:b/>
          <w:bCs/>
          <w:sz w:val="24"/>
          <w:szCs w:val="24"/>
          <w:highlight w:val="none"/>
          <w:lang w:val="en-US" w:eastAsia="zh-CN" w:bidi="ar-SA"/>
        </w:rPr>
        <w:t>本项目</w:t>
      </w:r>
      <w:r>
        <w:rPr>
          <w:rFonts w:hint="eastAsia" w:ascii="宋体" w:hAnsi="宋体" w:eastAsia="宋体" w:cs="Times New Roman"/>
          <w:b/>
          <w:bCs/>
          <w:sz w:val="24"/>
          <w:szCs w:val="24"/>
          <w:highlight w:val="none"/>
          <w:lang w:val="en-US" w:eastAsia="zh-CN" w:bidi="ar-SA"/>
        </w:rPr>
        <w:t>采购预算价1992870.62元人民币，最高限价1992870.62元人民币，</w:t>
      </w:r>
      <w:r>
        <w:rPr>
          <w:rFonts w:hint="default" w:ascii="宋体" w:hAnsi="宋体" w:eastAsia="宋体" w:cs="Times New Roman"/>
          <w:b/>
          <w:bCs/>
          <w:sz w:val="24"/>
          <w:szCs w:val="24"/>
          <w:highlight w:val="none"/>
          <w:lang w:val="en-US" w:eastAsia="zh-CN" w:bidi="ar-SA"/>
        </w:rPr>
        <w:t>不接受超过</w:t>
      </w:r>
      <w:r>
        <w:rPr>
          <w:rFonts w:hint="eastAsia" w:ascii="宋体" w:hAnsi="宋体" w:eastAsia="宋体" w:cs="Times New Roman"/>
          <w:b/>
          <w:bCs/>
          <w:sz w:val="24"/>
          <w:szCs w:val="24"/>
          <w:highlight w:val="none"/>
          <w:lang w:val="en-US" w:eastAsia="zh-CN" w:bidi="ar-SA"/>
        </w:rPr>
        <w:t>最高限价1992870.62元人民币</w:t>
      </w:r>
      <w:r>
        <w:rPr>
          <w:rFonts w:hint="default" w:ascii="宋体" w:hAnsi="宋体" w:eastAsia="宋体" w:cs="Times New Roman"/>
          <w:b/>
          <w:bCs/>
          <w:sz w:val="24"/>
          <w:szCs w:val="24"/>
          <w:highlight w:val="none"/>
          <w:lang w:val="en-US" w:eastAsia="zh-CN" w:bidi="ar-SA"/>
        </w:rPr>
        <w:t>的报价</w:t>
      </w:r>
      <w:r>
        <w:rPr>
          <w:rFonts w:hint="default" w:ascii="宋体" w:hAnsi="宋体" w:eastAsia="宋体" w:cs="Times New Roman"/>
          <w:b/>
          <w:sz w:val="24"/>
          <w:szCs w:val="24"/>
          <w:highlight w:val="none"/>
          <w:lang w:val="en-US" w:eastAsia="zh-CN" w:bidi="ar-SA"/>
        </w:rPr>
        <w:t>。</w:t>
      </w:r>
      <w:r>
        <w:rPr>
          <w:rFonts w:hint="default" w:ascii="宋体" w:hAnsi="宋体" w:eastAsia="宋体" w:cs="Times New Roman"/>
          <w:b/>
          <w:bCs/>
          <w:sz w:val="24"/>
          <w:szCs w:val="24"/>
          <w:highlight w:val="none"/>
          <w:lang w:val="en-US" w:eastAsia="zh-CN" w:bidi="ar-SA"/>
        </w:rPr>
        <w:t>报价包括但不限于产品价、税金、运费、</w:t>
      </w:r>
      <w:r>
        <w:rPr>
          <w:rFonts w:hint="eastAsia" w:ascii="宋体" w:hAnsi="宋体" w:eastAsia="宋体" w:cs="Times New Roman"/>
          <w:b/>
          <w:bCs/>
          <w:sz w:val="24"/>
          <w:szCs w:val="24"/>
          <w:highlight w:val="none"/>
          <w:lang w:val="en-US" w:eastAsia="zh-CN" w:bidi="ar-SA"/>
        </w:rPr>
        <w:t>人工费</w:t>
      </w:r>
      <w:r>
        <w:rPr>
          <w:rFonts w:hint="default" w:ascii="宋体" w:hAnsi="宋体" w:eastAsia="宋体" w:cs="Times New Roman"/>
          <w:b/>
          <w:bCs/>
          <w:sz w:val="24"/>
          <w:szCs w:val="24"/>
          <w:highlight w:val="none"/>
          <w:lang w:val="en-US" w:eastAsia="zh-CN" w:bidi="ar-SA"/>
        </w:rPr>
        <w:t>、供应商的利润、</w:t>
      </w:r>
      <w:r>
        <w:rPr>
          <w:rFonts w:hint="eastAsia" w:ascii="宋体" w:hAnsi="宋体" w:eastAsia="宋体" w:cs="Times New Roman"/>
          <w:b/>
          <w:bCs/>
          <w:sz w:val="24"/>
          <w:szCs w:val="24"/>
          <w:highlight w:val="none"/>
          <w:lang w:val="en-US" w:eastAsia="zh-CN" w:bidi="ar-SA"/>
        </w:rPr>
        <w:t>扬尘、措施费、安全文明施工费</w:t>
      </w:r>
      <w:r>
        <w:rPr>
          <w:rFonts w:hint="default" w:ascii="宋体" w:hAnsi="宋体" w:eastAsia="宋体" w:cs="Times New Roman"/>
          <w:b/>
          <w:bCs/>
          <w:sz w:val="24"/>
          <w:szCs w:val="24"/>
          <w:highlight w:val="none"/>
          <w:lang w:val="en-US" w:eastAsia="zh-CN" w:bidi="ar-SA"/>
        </w:rPr>
        <w:t>等</w:t>
      </w:r>
      <w:r>
        <w:rPr>
          <w:rFonts w:hint="eastAsia" w:ascii="宋体" w:hAnsi="宋体" w:eastAsia="宋体" w:cs="Times New Roman"/>
          <w:b/>
          <w:bCs/>
          <w:sz w:val="24"/>
          <w:szCs w:val="24"/>
          <w:highlight w:val="none"/>
          <w:lang w:val="en-US" w:eastAsia="zh-CN" w:bidi="ar-SA"/>
        </w:rPr>
        <w:t>完成本项目所需要的</w:t>
      </w:r>
      <w:r>
        <w:rPr>
          <w:rFonts w:hint="default" w:ascii="宋体" w:hAnsi="宋体" w:eastAsia="宋体" w:cs="Times New Roman"/>
          <w:b/>
          <w:bCs/>
          <w:sz w:val="24"/>
          <w:szCs w:val="24"/>
          <w:highlight w:val="none"/>
          <w:lang w:val="en-US" w:eastAsia="zh-CN" w:bidi="ar-SA"/>
        </w:rPr>
        <w:t>全部费用。采购人不再支付报价以外的任何费用。</w:t>
      </w:r>
    </w:p>
    <w:p w14:paraId="4DD7CF71">
      <w:pPr>
        <w:widowControl w:val="0"/>
        <w:numPr>
          <w:ilvl w:val="0"/>
          <w:numId w:val="1"/>
        </w:numPr>
        <w:spacing w:line="360" w:lineRule="auto"/>
        <w:ind w:left="256" w:right="6" w:firstLine="482"/>
        <w:jc w:val="both"/>
        <w:rPr>
          <w:rFonts w:hint="default" w:ascii="宋体" w:hAnsi="宋体" w:eastAsia="宋体" w:cs="Times New Roman"/>
          <w:b/>
          <w:bCs/>
          <w:sz w:val="24"/>
          <w:szCs w:val="24"/>
          <w:highlight w:val="none"/>
          <w:lang w:val="en-US" w:eastAsia="zh-CN" w:bidi="ar-SA"/>
        </w:rPr>
      </w:pPr>
      <w:r>
        <w:rPr>
          <w:rFonts w:hint="default" w:ascii="宋体" w:hAnsi="宋体" w:eastAsia="宋体" w:cs="Times New Roman"/>
          <w:b/>
          <w:bCs/>
          <w:sz w:val="24"/>
          <w:szCs w:val="24"/>
          <w:highlight w:val="none"/>
          <w:lang w:val="en-US" w:eastAsia="zh-CN" w:bidi="ar-SA"/>
        </w:rPr>
        <w:t>项目具体要求：</w:t>
      </w:r>
    </w:p>
    <w:p w14:paraId="3ADCC6F0">
      <w:pPr>
        <w:widowControl w:val="0"/>
        <w:tabs>
          <w:tab w:val="left" w:pos="312"/>
        </w:tabs>
        <w:spacing w:line="360" w:lineRule="auto"/>
        <w:ind w:left="0" w:right="6" w:firstLine="480"/>
        <w:jc w:val="both"/>
        <w:rPr>
          <w:rFonts w:hint="default"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2.1工程概况</w:t>
      </w:r>
    </w:p>
    <w:p w14:paraId="0B3A910A">
      <w:pPr>
        <w:widowControl w:val="0"/>
        <w:tabs>
          <w:tab w:val="left" w:pos="312"/>
        </w:tabs>
        <w:spacing w:line="360" w:lineRule="auto"/>
        <w:ind w:left="0" w:right="6" w:firstLine="480"/>
        <w:jc w:val="both"/>
        <w:rPr>
          <w:rFonts w:hint="default"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2.1.1建设地点：</w:t>
      </w:r>
      <w:r>
        <w:rPr>
          <w:rFonts w:hint="eastAsia" w:ascii="宋体" w:hAnsi="宋体" w:eastAsia="宋体" w:cs="Times New Roman"/>
          <w:sz w:val="24"/>
          <w:szCs w:val="24"/>
          <w:highlight w:val="none"/>
          <w:lang w:val="en-US" w:eastAsia="zh-CN" w:bidi="ar-SA"/>
        </w:rPr>
        <w:t>沛县敬安镇</w:t>
      </w:r>
      <w:r>
        <w:rPr>
          <w:rFonts w:hint="default" w:ascii="宋体" w:hAnsi="宋体" w:eastAsia="宋体" w:cs="Times New Roman"/>
          <w:sz w:val="24"/>
          <w:szCs w:val="24"/>
          <w:highlight w:val="none"/>
          <w:lang w:val="en-US" w:eastAsia="zh-CN" w:bidi="ar-SA"/>
        </w:rPr>
        <w:t>。</w:t>
      </w:r>
    </w:p>
    <w:p w14:paraId="09D65EAB">
      <w:pPr>
        <w:widowControl w:val="0"/>
        <w:numPr>
          <w:ilvl w:val="0"/>
          <w:numId w:val="0"/>
        </w:numPr>
        <w:spacing w:line="360" w:lineRule="auto"/>
        <w:ind w:left="256" w:right="6" w:firstLine="480" w:firstLineChars="200"/>
        <w:jc w:val="both"/>
        <w:rPr>
          <w:rFonts w:hint="eastAsia"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2.1.2主要工程内容：</w:t>
      </w:r>
      <w:r>
        <w:rPr>
          <w:rFonts w:hint="eastAsia" w:ascii="宋体" w:hAnsi="宋体" w:eastAsia="宋体" w:cs="Times New Roman"/>
          <w:sz w:val="24"/>
          <w:szCs w:val="24"/>
          <w:highlight w:val="none"/>
          <w:lang w:val="en-US" w:eastAsia="zh-CN" w:bidi="ar-SA"/>
        </w:rPr>
        <w:t>本次招标为沛县2023年农村道路（镇镇之间）路面黑化工程（敬安镇新敬线、敬梁线），位于沛县敬安镇内，具体详情如下：C374新敬线位于敬安镇，老路为水泥路混凝土路面，设计起点接C836韩郭线，宽6.0m，为四级公路，水泥路面，起点桩号：K0+120；设计终点顺接Y290敬梁线K1+475，宽6.0m，为四级公路，水泥路面，终点桩号：K0+277，设计长度为0.157Km。</w:t>
      </w:r>
    </w:p>
    <w:p w14:paraId="25C5BCAB">
      <w:pPr>
        <w:widowControl w:val="0"/>
        <w:numPr>
          <w:ilvl w:val="0"/>
          <w:numId w:val="0"/>
        </w:numPr>
        <w:spacing w:line="360" w:lineRule="auto"/>
        <w:ind w:left="256" w:right="6" w:firstLine="480" w:firstLineChars="200"/>
        <w:jc w:val="both"/>
        <w:rPr>
          <w:rFonts w:hint="eastAsia" w:ascii="宋体" w:hAnsi="宋体" w:eastAsia="宋体" w:cs="Times New Roman"/>
          <w:sz w:val="24"/>
          <w:szCs w:val="24"/>
          <w:highlight w:val="none"/>
          <w:lang w:val="en-US" w:eastAsia="zh-CN" w:bidi="ar-SA"/>
        </w:rPr>
      </w:pPr>
      <w:r>
        <w:rPr>
          <w:rFonts w:hint="eastAsia" w:ascii="宋体" w:hAnsi="宋体" w:eastAsia="宋体" w:cs="Times New Roman"/>
          <w:sz w:val="24"/>
          <w:szCs w:val="24"/>
          <w:highlight w:val="none"/>
          <w:lang w:val="en-US" w:eastAsia="zh-CN" w:bidi="ar-SA"/>
        </w:rPr>
        <w:t>Y290敬梁线位于敬安镇，老路为水泥路混凝土路面，设计起点接C374新敬线，宽6.0m，为四级水泥路，设计起点桩号：K1+475；设计终点止于Y014梁朱线，宽6.0m，为四级水泥路，终点桩号：K3+627，设计长度为2.152Km。</w:t>
      </w:r>
    </w:p>
    <w:p w14:paraId="0DF7F421">
      <w:pPr>
        <w:widowControl w:val="0"/>
        <w:numPr>
          <w:ilvl w:val="0"/>
          <w:numId w:val="0"/>
        </w:numPr>
        <w:spacing w:line="360" w:lineRule="auto"/>
        <w:ind w:left="256" w:right="6" w:firstLine="480" w:firstLineChars="200"/>
        <w:jc w:val="both"/>
        <w:rPr>
          <w:rFonts w:hint="eastAsia" w:ascii="宋体" w:hAnsi="宋体" w:eastAsia="宋体" w:cs="Times New Roman"/>
          <w:sz w:val="24"/>
          <w:szCs w:val="24"/>
          <w:highlight w:val="none"/>
          <w:lang w:val="en-US" w:eastAsia="zh-CN" w:bidi="ar-SA"/>
        </w:rPr>
      </w:pPr>
      <w:r>
        <w:rPr>
          <w:rFonts w:hint="eastAsia" w:ascii="宋体" w:hAnsi="宋体" w:eastAsia="宋体" w:cs="Times New Roman"/>
          <w:sz w:val="24"/>
          <w:szCs w:val="24"/>
          <w:highlight w:val="none"/>
          <w:lang w:val="en-US" w:eastAsia="zh-CN" w:bidi="ar-SA"/>
        </w:rPr>
        <w:t>主要内容为路面黑化、路基、标志、标线、标牌、绿化、交安设施、破碎板修复等工程，具体详见图纸及工程量清单全部内容，最终满足采购方要求。</w:t>
      </w:r>
    </w:p>
    <w:p w14:paraId="04DA1FFC">
      <w:pPr>
        <w:widowControl w:val="0"/>
        <w:tabs>
          <w:tab w:val="left" w:pos="312"/>
        </w:tabs>
        <w:spacing w:line="360" w:lineRule="auto"/>
        <w:ind w:left="0" w:right="6" w:firstLine="480"/>
        <w:jc w:val="both"/>
        <w:rPr>
          <w:rFonts w:hint="default"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2.1.3 工程质量要求：合格。</w:t>
      </w:r>
    </w:p>
    <w:p w14:paraId="5005A9DB">
      <w:pPr>
        <w:widowControl w:val="0"/>
        <w:tabs>
          <w:tab w:val="left" w:pos="312"/>
        </w:tabs>
        <w:spacing w:line="360" w:lineRule="auto"/>
        <w:ind w:left="0" w:right="6" w:firstLine="480"/>
        <w:jc w:val="both"/>
        <w:rPr>
          <w:rFonts w:hint="default" w:ascii="宋体" w:hAnsi="宋体" w:eastAsia="宋体" w:cs="Times New Roman"/>
          <w:b/>
          <w:bCs/>
          <w:sz w:val="24"/>
          <w:szCs w:val="24"/>
          <w:highlight w:val="none"/>
          <w:lang w:val="en-US" w:eastAsia="zh-CN" w:bidi="ar-SA"/>
        </w:rPr>
      </w:pPr>
      <w:r>
        <w:rPr>
          <w:rFonts w:hint="default" w:ascii="宋体" w:hAnsi="宋体" w:eastAsia="宋体" w:cs="Times New Roman"/>
          <w:b/>
          <w:bCs/>
          <w:sz w:val="24"/>
          <w:szCs w:val="24"/>
          <w:highlight w:val="none"/>
          <w:lang w:val="en-US" w:eastAsia="zh-CN" w:bidi="ar-SA"/>
        </w:rPr>
        <w:t>2.1.4工期要求：</w:t>
      </w:r>
      <w:r>
        <w:rPr>
          <w:rFonts w:hint="eastAsia" w:ascii="宋体" w:hAnsi="宋体" w:eastAsia="宋体" w:cs="Times New Roman"/>
          <w:b/>
          <w:bCs/>
          <w:color w:val="auto"/>
          <w:sz w:val="24"/>
          <w:szCs w:val="24"/>
          <w:highlight w:val="none"/>
          <w:lang w:val="en-US" w:eastAsia="zh-CN" w:bidi="ar-SA"/>
        </w:rPr>
        <w:t>60</w:t>
      </w:r>
      <w:r>
        <w:rPr>
          <w:rFonts w:hint="eastAsia" w:ascii="宋体" w:hAnsi="宋体" w:eastAsia="宋体" w:cs="Times New Roman"/>
          <w:b/>
          <w:bCs/>
          <w:sz w:val="24"/>
          <w:szCs w:val="24"/>
          <w:highlight w:val="none"/>
          <w:lang w:val="en-US" w:eastAsia="zh-CN" w:bidi="ar-SA"/>
        </w:rPr>
        <w:t>日历天（具体以双方实际签订合同为准）</w:t>
      </w:r>
      <w:r>
        <w:rPr>
          <w:rFonts w:hint="default" w:ascii="宋体" w:hAnsi="宋体" w:eastAsia="宋体" w:cs="Times New Roman"/>
          <w:b/>
          <w:bCs/>
          <w:sz w:val="24"/>
          <w:szCs w:val="24"/>
          <w:highlight w:val="none"/>
          <w:lang w:val="en-US" w:eastAsia="zh-CN" w:bidi="ar-SA"/>
        </w:rPr>
        <w:t>。</w:t>
      </w:r>
    </w:p>
    <w:p w14:paraId="44539DF9">
      <w:pPr>
        <w:widowControl w:val="0"/>
        <w:tabs>
          <w:tab w:val="left" w:pos="312"/>
        </w:tabs>
        <w:spacing w:line="360" w:lineRule="auto"/>
        <w:ind w:left="0" w:right="6" w:firstLine="480"/>
        <w:jc w:val="both"/>
        <w:rPr>
          <w:rFonts w:hint="default"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2.1.5验收标准：满足采购需求要求。</w:t>
      </w:r>
    </w:p>
    <w:p w14:paraId="0D5B427D">
      <w:pPr>
        <w:widowControl w:val="0"/>
        <w:tabs>
          <w:tab w:val="left" w:pos="312"/>
        </w:tabs>
        <w:spacing w:line="360" w:lineRule="auto"/>
        <w:ind w:left="0" w:right="6" w:firstLine="480"/>
        <w:jc w:val="both"/>
        <w:rPr>
          <w:rFonts w:hint="default"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2.1.6项目承包方式：包工包料，不得分包与转包。</w:t>
      </w:r>
    </w:p>
    <w:p w14:paraId="071B41FC">
      <w:pPr>
        <w:widowControl w:val="0"/>
        <w:tabs>
          <w:tab w:val="left" w:pos="312"/>
        </w:tabs>
        <w:spacing w:line="360" w:lineRule="auto"/>
        <w:ind w:left="0" w:right="6" w:firstLine="480"/>
        <w:jc w:val="both"/>
        <w:rPr>
          <w:rFonts w:hint="default" w:ascii="宋体" w:hAnsi="宋体" w:eastAsia="宋体" w:cs="Times New Roman"/>
          <w:b/>
          <w:bCs/>
          <w:sz w:val="24"/>
          <w:szCs w:val="24"/>
          <w:highlight w:val="none"/>
          <w:lang w:val="en-US" w:eastAsia="zh-CN" w:bidi="ar-SA"/>
        </w:rPr>
      </w:pPr>
      <w:r>
        <w:rPr>
          <w:rFonts w:hint="default" w:ascii="宋体" w:hAnsi="宋体" w:eastAsia="宋体" w:cs="Times New Roman"/>
          <w:b/>
          <w:bCs/>
          <w:sz w:val="24"/>
          <w:szCs w:val="24"/>
          <w:highlight w:val="none"/>
          <w:lang w:val="en-US" w:eastAsia="zh-CN" w:bidi="ar-SA"/>
        </w:rPr>
        <w:t>2.1.7质量保修期限：</w:t>
      </w:r>
      <w:r>
        <w:rPr>
          <w:rFonts w:hint="eastAsia" w:ascii="宋体" w:hAnsi="宋体" w:eastAsia="宋体" w:cs="Times New Roman"/>
          <w:b/>
          <w:bCs/>
          <w:sz w:val="24"/>
          <w:szCs w:val="24"/>
          <w:highlight w:val="none"/>
          <w:lang w:val="en-US" w:eastAsia="zh-CN" w:bidi="ar-SA"/>
        </w:rPr>
        <w:t>24个月</w:t>
      </w:r>
      <w:r>
        <w:rPr>
          <w:rFonts w:hint="default" w:ascii="宋体" w:hAnsi="宋体" w:eastAsia="宋体" w:cs="Times New Roman"/>
          <w:b/>
          <w:bCs/>
          <w:sz w:val="24"/>
          <w:szCs w:val="24"/>
          <w:highlight w:val="none"/>
          <w:lang w:val="en-US" w:eastAsia="zh-CN" w:bidi="ar-SA"/>
        </w:rPr>
        <w:t>。</w:t>
      </w:r>
    </w:p>
    <w:p w14:paraId="7F57AEA8">
      <w:pPr>
        <w:widowControl w:val="0"/>
        <w:tabs>
          <w:tab w:val="left" w:pos="312"/>
        </w:tabs>
        <w:spacing w:line="360" w:lineRule="auto"/>
        <w:ind w:left="0" w:right="6" w:firstLine="480"/>
        <w:jc w:val="both"/>
        <w:rPr>
          <w:rFonts w:hint="default"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2.1.</w:t>
      </w:r>
      <w:r>
        <w:rPr>
          <w:rFonts w:hint="eastAsia" w:ascii="宋体" w:hAnsi="宋体" w:eastAsia="宋体" w:cs="Times New Roman"/>
          <w:sz w:val="24"/>
          <w:szCs w:val="24"/>
          <w:highlight w:val="none"/>
          <w:lang w:val="en-US" w:eastAsia="zh-CN" w:bidi="ar-SA"/>
        </w:rPr>
        <w:t>8</w:t>
      </w:r>
      <w:r>
        <w:rPr>
          <w:rFonts w:hint="default" w:ascii="宋体" w:hAnsi="宋体" w:eastAsia="宋体" w:cs="Times New Roman"/>
          <w:sz w:val="24"/>
          <w:szCs w:val="24"/>
          <w:highlight w:val="none"/>
          <w:lang w:val="en-US" w:eastAsia="zh-CN" w:bidi="ar-SA"/>
        </w:rPr>
        <w:t xml:space="preserve"> 其他: 本工程共分一个标段。</w:t>
      </w:r>
    </w:p>
    <w:p w14:paraId="4E9732AA">
      <w:pPr>
        <w:widowControl w:val="0"/>
        <w:tabs>
          <w:tab w:val="left" w:pos="312"/>
        </w:tabs>
        <w:spacing w:line="360" w:lineRule="auto"/>
        <w:ind w:left="0" w:right="6" w:firstLine="480"/>
        <w:jc w:val="both"/>
        <w:rPr>
          <w:rFonts w:hint="default" w:ascii="宋体" w:hAnsi="宋体" w:eastAsia="宋体" w:cs="Times New Roman"/>
          <w:sz w:val="24"/>
          <w:szCs w:val="24"/>
          <w:highlight w:val="none"/>
          <w:lang w:val="en-US" w:eastAsia="zh-CN" w:bidi="ar-SA"/>
        </w:rPr>
      </w:pPr>
      <w:r>
        <w:rPr>
          <w:rFonts w:hint="default" w:ascii="宋体" w:hAnsi="宋体" w:eastAsia="宋体" w:cs="Times New Roman"/>
          <w:sz w:val="24"/>
          <w:szCs w:val="24"/>
          <w:highlight w:val="none"/>
          <w:lang w:val="en-US" w:eastAsia="zh-CN" w:bidi="ar-SA"/>
        </w:rPr>
        <w:t>2.2技术标准和要求：符合现行国家技术、施工及验收规范规程，对施工工艺的特殊要求，按国家有关规定执行。</w:t>
      </w:r>
    </w:p>
    <w:p w14:paraId="77A35AD8">
      <w:pPr>
        <w:widowControl w:val="0"/>
        <w:numPr>
          <w:ilvl w:val="0"/>
          <w:numId w:val="1"/>
        </w:numPr>
        <w:spacing w:line="360" w:lineRule="auto"/>
        <w:ind w:left="256" w:right="6" w:firstLine="482"/>
        <w:jc w:val="both"/>
        <w:rPr>
          <w:rFonts w:hint="default" w:ascii="宋体" w:hAnsi="宋体" w:eastAsia="宋体" w:cs="Times New Roman"/>
          <w:b/>
          <w:bCs/>
          <w:sz w:val="24"/>
          <w:szCs w:val="24"/>
          <w:highlight w:val="none"/>
          <w:lang w:val="en-US" w:eastAsia="zh-CN" w:bidi="ar-SA"/>
        </w:rPr>
      </w:pPr>
      <w:r>
        <w:rPr>
          <w:rFonts w:hint="default" w:ascii="宋体" w:hAnsi="宋体" w:eastAsia="宋体" w:cs="Times New Roman"/>
          <w:b/>
          <w:bCs/>
          <w:sz w:val="24"/>
          <w:szCs w:val="24"/>
          <w:highlight w:val="none"/>
          <w:lang w:val="en-US" w:eastAsia="zh-CN" w:bidi="ar-SA"/>
        </w:rPr>
        <w:t>报价要求：</w:t>
      </w:r>
    </w:p>
    <w:p w14:paraId="29025DA9">
      <w:pPr>
        <w:widowControl w:val="0"/>
        <w:tabs>
          <w:tab w:val="left" w:pos="312"/>
        </w:tabs>
        <w:spacing w:line="360" w:lineRule="auto"/>
        <w:ind w:left="0" w:right="6" w:firstLine="480"/>
        <w:jc w:val="both"/>
        <w:rPr>
          <w:rFonts w:hint="default" w:ascii="宋体" w:hAnsi="宋体" w:eastAsia="宋体" w:cs="Times New Roman"/>
          <w:kern w:val="0"/>
          <w:sz w:val="24"/>
          <w:szCs w:val="24"/>
          <w:highlight w:val="none"/>
          <w:lang w:val="en-US" w:eastAsia="zh-CN" w:bidi="ar-SA"/>
        </w:rPr>
      </w:pPr>
      <w:r>
        <w:rPr>
          <w:rFonts w:hint="default" w:ascii="宋体" w:hAnsi="宋体" w:eastAsia="宋体" w:cs="Times New Roman"/>
          <w:kern w:val="0"/>
          <w:sz w:val="24"/>
          <w:szCs w:val="24"/>
          <w:highlight w:val="none"/>
          <w:lang w:val="en-US" w:eastAsia="zh-CN" w:bidi="ar-SA"/>
        </w:rPr>
        <w:t xml:space="preserve">1、报价内容 </w:t>
      </w:r>
    </w:p>
    <w:p w14:paraId="4008D6A0">
      <w:pPr>
        <w:widowControl w:val="0"/>
        <w:spacing w:line="360" w:lineRule="auto"/>
        <w:ind w:firstLine="422"/>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 工程量清单以及图纸详见本项目磋商文件附件（后附）</w:t>
      </w:r>
    </w:p>
    <w:p w14:paraId="58EC222B">
      <w:pPr>
        <w:widowControl w:val="0"/>
        <w:spacing w:line="360" w:lineRule="auto"/>
        <w:ind w:firstLine="422"/>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 《已标价的工程量清单》报价要求</w:t>
      </w:r>
    </w:p>
    <w:p w14:paraId="648689B0">
      <w:pPr>
        <w:widowControl w:val="0"/>
        <w:spacing w:line="360" w:lineRule="auto"/>
        <w:ind w:firstLine="422"/>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1、报价内容</w:t>
      </w:r>
    </w:p>
    <w:p w14:paraId="19FC421D">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 响应报价应包括磋商文件中所确定的范围内工程量清单以及施工图中所含的全部内容，以及为完成上述内容所需的全部费用。</w:t>
      </w:r>
    </w:p>
    <w:p w14:paraId="17D3036B">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注：供应商必须按采购人提供的工程量清单进行报价，否则视为对竞争性磋商文件商务条款的实质性偏离。供应商不得修改工程量清单中的分布分项内容及数量，否则视为不响应磋商文件。</w:t>
      </w:r>
    </w:p>
    <w:p w14:paraId="6B9D46D5">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1.2供应商应按采购人提供的工程量清单填报价格。填写的项目名称、项目特征、计量单位、工程量必须与采购人提供的一致。</w:t>
      </w:r>
    </w:p>
    <w:p w14:paraId="4A6E4658">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1.3供应商应按采购人提供的工程量计算工程项目的单价和合价。工程量清单中的每一单项均需计算填写单价和合价，供应商没有填写单价和合价的项目将被认为此项费用已包括在工程量清单的其他单价和合价中。</w:t>
      </w:r>
    </w:p>
    <w:p w14:paraId="7018446B">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1.4响应的供应商必须按统一的工程量清单报价，成交后，在施工过程中，不论由于工程量清单有误或漏项，还是由于设计变更、现场变更、签证引起的工程量清单项目或清单项目工程数量的增减，均按实调整。</w:t>
      </w:r>
    </w:p>
    <w:p w14:paraId="587ED27D">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1.5技术参数、项目实施方案所描述的技术措施所发生的费用，视为已体现在供应商报价的非实体性消耗所发生的费用中。</w:t>
      </w:r>
    </w:p>
    <w:p w14:paraId="5B1C32B9">
      <w:pPr>
        <w:keepNext w:val="0"/>
        <w:keepLines w:val="0"/>
        <w:pageBreakBefore w:val="0"/>
        <w:widowControl w:val="0"/>
        <w:kinsoku/>
        <w:wordWrap/>
        <w:overflowPunct/>
        <w:topLinePunct w:val="0"/>
        <w:autoSpaceDE/>
        <w:autoSpaceDN/>
        <w:bidi w:val="0"/>
        <w:adjustRightInd w:val="0"/>
        <w:snapToGrid w:val="0"/>
        <w:spacing w:line="440" w:lineRule="exact"/>
        <w:ind w:firstLine="48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供应商自行勘察，了解周边原有建筑、设施，事先视察工地，充分了解工程位置、邻近建筑物、工地情况，通路、储存空间、起卸限制、及任何其它足以影响报价之情况，供应商须按接收工地日的现况，接收工地及自费清理任何遗留在工地上之废物，施工过程中因工地特殊情况而引起二次搬运、安全防护等。供应商在响应报价时应考虑这样因素，并在响应报价中予以考虑，采购人不接受供应商关于此类费用的任何诉讼或索赔。</w:t>
      </w:r>
    </w:p>
    <w:p w14:paraId="565C63C8">
      <w:pPr>
        <w:widowControl w:val="0"/>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安全文明施工是供应商的责任，采购人不接受任何由于供应商施工而导致的扰民或民扰引起的诉讼或索赔。供应商应在其响应报价时充分考虑因扰民与民扰而造成的工期影响与费用增加，在报价予以考虑，采购人不接受任何由于供应商考虑不周为由而提出的任何索赔。</w:t>
      </w:r>
    </w:p>
    <w:p w14:paraId="38E69B1A">
      <w:pPr>
        <w:widowControl w:val="0"/>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1.8由供应商负责办理相关建设、城管、市政、安全、环保等部门的手续，施工供应商在响应报价时应考虑这样因素，费用包含在报价中，采购人不接受供应商关于此类费用的任何诉讼或索赔。</w:t>
      </w:r>
    </w:p>
    <w:p w14:paraId="2E627291">
      <w:pPr>
        <w:widowControl w:val="0"/>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1.9垃圾外运，在报价中综合考虑。</w:t>
      </w:r>
    </w:p>
    <w:p w14:paraId="6A98E59F">
      <w:pPr>
        <w:widowControl w:val="0"/>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1.10辅助工程部分：综合单价中应包括招标人提供的施工图所含内容，以及工程量清单报价中的价格，应包括完成清单项目的人工费、材料费、机械费、管理费及利润等费用。政策性文件规定及施工进程中包含的所有风险、责任等各项应有费用，并含相应的平整场地、地基处理调整等图纸及建设方要求的工程施工全部内容的全部费用。</w:t>
      </w:r>
    </w:p>
    <w:p w14:paraId="1EEA0EBE">
      <w:pPr>
        <w:widowControl w:val="0"/>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1.11地方关系协调费供应商自行考虑，就此项招标人不支付任何费用。</w:t>
      </w:r>
    </w:p>
    <w:p w14:paraId="436B2C34">
      <w:pPr>
        <w:widowControl w:val="0"/>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1.12施工时需做好防护措施保证周边安全，因中标人保障不利对招标人或第三方造成损失的，赔偿责任全部由中标人承担，若因此会增加费用，控制价不计取，供应商自行考虑在报价中，结算时不予调整。</w:t>
      </w:r>
    </w:p>
    <w:p w14:paraId="3D118134">
      <w:pPr>
        <w:widowControl w:val="0"/>
        <w:spacing w:line="360" w:lineRule="auto"/>
        <w:ind w:firstLine="482"/>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2、报价方式</w:t>
      </w:r>
    </w:p>
    <w:p w14:paraId="4D8B177A">
      <w:pPr>
        <w:widowControl w:val="0"/>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2.1报价方式为总价（磋商报价表中填报总价，工程量清单中填报综合单价），供应商在计算报价时应考虑一定的风险系数。</w:t>
      </w:r>
    </w:p>
    <w:p w14:paraId="53D71A88">
      <w:pPr>
        <w:widowControl w:val="0"/>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2.2材料风险约定：</w:t>
      </w:r>
    </w:p>
    <w:p w14:paraId="361012F2">
      <w:pPr>
        <w:widowControl w:val="0"/>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2.2.1对于法律、法规、规章或有关政策出台导致工程税金、规费等发生变化的，应按照有关规定执行。</w:t>
      </w:r>
    </w:p>
    <w:p w14:paraId="0CAFED50">
      <w:pPr>
        <w:widowControl w:val="0"/>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2.2.2本工程对材料风险约定如下：供应商应充分考虑施工期间各类建材的市场风险，充分考虑政策性关于人工、机械费用等方面调整，并计入总报价，供应商所填写的单价在合同实施期间不因市场变化因素而变动，结算不再调整。</w:t>
      </w:r>
    </w:p>
    <w:p w14:paraId="718EDB29">
      <w:pPr>
        <w:widowControl w:val="0"/>
        <w:spacing w:line="360" w:lineRule="auto"/>
        <w:ind w:firstLine="482"/>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3、报价的计价方法</w:t>
      </w:r>
    </w:p>
    <w:p w14:paraId="0F731AE5">
      <w:pPr>
        <w:widowControl w:val="0"/>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工程项目采用工程量清单计价。供应商应根据采购人提供的工程量清单计算工程项目的单价、合价。工程量清单中每一个子目和单项均需计算填写单价、合价。若供应商没有填写单价、合价的项目采购人将不予支付，并认为此项费用已包括在工程量清单的其它单价、合价中。</w:t>
      </w:r>
    </w:p>
    <w:p w14:paraId="3C2CCF5F">
      <w:pPr>
        <w:widowControl w:val="0"/>
        <w:spacing w:line="360" w:lineRule="auto"/>
        <w:ind w:firstLine="482"/>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4、报价编制依据及要求：详见工程量清单。</w:t>
      </w:r>
    </w:p>
    <w:p w14:paraId="24E2FFB8">
      <w:pPr>
        <w:widowControl w:val="0"/>
        <w:spacing w:line="360" w:lineRule="auto"/>
        <w:ind w:firstLine="482"/>
        <w:jc w:val="both"/>
        <w:outlineLvl w:val="1"/>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五、低于成本报价：</w:t>
      </w:r>
    </w:p>
    <w:p w14:paraId="61D40906">
      <w:pPr>
        <w:widowControl w:val="0"/>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专家小组认为供应商的报价明显低于其他通过符合性审查供应商的报价，有可能影响工程质量或者不能诚信履约的，磋商专家小组通过“苏采云”“系统中的视频会议”要求供应商人作出必要的说明，并规定回复时间。供应商说明应当采用通过“苏采云”“系统中的视频会议”系统（扫描件，加盖签章）形式回复。供应商不能证明其报价合理性的，磋商专家小组会应当将其作为不响应磋商文件作无效处理。</w:t>
      </w:r>
    </w:p>
    <w:p w14:paraId="10579701">
      <w:pPr>
        <w:widowControl w:val="0"/>
        <w:spacing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标委员会全体成员三分之二以上认为该供应商不能合理说明或者不能提供相关证明材料的，认定该供应商以低于成本报价，其响应文件应作无效响应文件处理。持有异议的评标委员会成员可以书面方式阐述其不同意见和理由，拒绝签字且不陈述其不同意见和理由的，视为同意。</w:t>
      </w:r>
    </w:p>
    <w:p w14:paraId="67C5DC71">
      <w:pPr>
        <w:widowControl w:val="0"/>
        <w:pBdr>
          <w:top w:val="none" w:color="000000" w:sz="0" w:space="0"/>
          <w:left w:val="none" w:color="000000" w:sz="0" w:space="0"/>
          <w:bottom w:val="none" w:color="000000" w:sz="0" w:space="0"/>
          <w:right w:val="none" w:color="000000" w:sz="0" w:space="0"/>
        </w:pBdr>
        <w:spacing w:line="360" w:lineRule="auto"/>
        <w:ind w:firstLine="482"/>
        <w:jc w:val="both"/>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六、响应文件要求</w:t>
      </w:r>
    </w:p>
    <w:p w14:paraId="683831D5">
      <w:pPr>
        <w:widowControl w:val="0"/>
        <w:pBdr>
          <w:top w:val="none" w:color="000000" w:sz="0" w:space="0"/>
          <w:left w:val="none" w:color="000000" w:sz="0" w:space="0"/>
          <w:bottom w:val="none" w:color="000000" w:sz="0" w:space="0"/>
          <w:right w:val="none" w:color="000000" w:sz="0" w:space="0"/>
        </w:pBdr>
        <w:spacing w:line="360" w:lineRule="auto"/>
        <w:ind w:firstLine="480"/>
        <w:jc w:val="both"/>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1.首次响应文件中提供《已标价的工程量清单》文件。</w:t>
      </w:r>
    </w:p>
    <w:p w14:paraId="6EF47A52">
      <w:pPr>
        <w:widowControl w:val="0"/>
        <w:pBdr>
          <w:top w:val="none" w:color="000000" w:sz="0" w:space="0"/>
          <w:left w:val="none" w:color="000000" w:sz="0" w:space="0"/>
          <w:bottom w:val="none" w:color="000000" w:sz="0" w:space="0"/>
          <w:right w:val="none" w:color="000000" w:sz="0" w:space="0"/>
        </w:pBdr>
        <w:spacing w:line="360" w:lineRule="auto"/>
        <w:ind w:firstLine="480"/>
        <w:jc w:val="both"/>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2.按照《工程量清单》编制《已标价的工程量清单》。</w:t>
      </w:r>
    </w:p>
    <w:p w14:paraId="629E02AA">
      <w:pPr>
        <w:widowControl w:val="0"/>
        <w:pBdr>
          <w:top w:val="none" w:color="000000" w:sz="0" w:space="0"/>
          <w:left w:val="none" w:color="000000" w:sz="0" w:space="0"/>
          <w:bottom w:val="none" w:color="000000" w:sz="0" w:space="0"/>
          <w:right w:val="none" w:color="000000" w:sz="0" w:space="0"/>
        </w:pBdr>
        <w:spacing w:line="360" w:lineRule="auto"/>
        <w:ind w:firstLine="482"/>
        <w:jc w:val="both"/>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供应商必须说明其是否响应采购文件中提出的全部服务内容与要求，如果其中某些条款不响应时，应在文件中逐条列出，未列出的视同响应。</w:t>
      </w:r>
    </w:p>
    <w:p w14:paraId="3C4D844D">
      <w:pPr>
        <w:widowControl w:val="0"/>
        <w:pBdr>
          <w:top w:val="none" w:color="000000" w:sz="0" w:space="0"/>
          <w:left w:val="none" w:color="000000" w:sz="0" w:space="0"/>
          <w:bottom w:val="none" w:color="000000" w:sz="0" w:space="0"/>
          <w:right w:val="none" w:color="000000" w:sz="0" w:space="0"/>
        </w:pBdr>
        <w:spacing w:line="360" w:lineRule="auto"/>
        <w:ind w:firstLine="482"/>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七、服务要求</w:t>
      </w:r>
    </w:p>
    <w:p w14:paraId="3F2C06B8">
      <w:pPr>
        <w:keepNext w:val="0"/>
        <w:keepLines w:val="0"/>
        <w:pageBreakBefore w:val="0"/>
        <w:widowControl w:val="0"/>
        <w:spacing w:after="0" w:line="360" w:lineRule="auto"/>
        <w:ind w:firstLine="48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 xml:space="preserve">1、质保及售后服务：整体工程质保期为2年。质保期从本项目验收合格之日起计算。质保期外，工程质量出现问题，成交供应商应主动提供维修方案，只收取材料费。 </w:t>
      </w:r>
    </w:p>
    <w:p w14:paraId="46E4AF1A">
      <w:pPr>
        <w:keepNext w:val="0"/>
        <w:keepLines w:val="0"/>
        <w:pageBreakBefore w:val="0"/>
        <w:widowControl w:val="0"/>
        <w:spacing w:after="0"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2、质保期内，如发生故障，采购人通知成交供应商售后服务人员时，相关服务人员要在2小时内到达现场配合采购人处理问题，进行更换或进行必要的维修。 </w:t>
      </w:r>
    </w:p>
    <w:p w14:paraId="2DB655A5">
      <w:pPr>
        <w:keepNext w:val="0"/>
        <w:keepLines w:val="0"/>
        <w:pageBreakBefore w:val="0"/>
        <w:widowControl w:val="0"/>
        <w:spacing w:after="0"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3、供应商需根据本项目特征及自身情况编制施工方案。</w:t>
      </w:r>
    </w:p>
    <w:p w14:paraId="43127B70">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br w:type="page"/>
      </w:r>
      <w:bookmarkStart w:id="0" w:name="_GoBack"/>
      <w:bookmarkEnd w:id="0"/>
    </w:p>
    <w:p w14:paraId="54B147D8">
      <w:pPr>
        <w:keepNext w:val="0"/>
        <w:keepLines w:val="0"/>
        <w:pageBreakBefore w:val="0"/>
        <w:widowControl w:val="0"/>
        <w:spacing w:after="0" w:line="360" w:lineRule="auto"/>
        <w:ind w:firstLine="480"/>
        <w:jc w:val="both"/>
        <w:rPr>
          <w:rFonts w:hint="eastAsia" w:ascii="宋体" w:hAnsi="宋体" w:eastAsia="宋体" w:cs="宋体"/>
          <w:color w:val="auto"/>
          <w:kern w:val="0"/>
          <w:sz w:val="24"/>
          <w:szCs w:val="24"/>
          <w:highlight w:val="none"/>
          <w:lang w:val="en-US" w:eastAsia="zh-CN" w:bidi="ar-SA"/>
        </w:rPr>
      </w:pPr>
    </w:p>
    <w:p w14:paraId="25E16361">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本项目资格条件要求如下：</w:t>
      </w:r>
    </w:p>
    <w:p w14:paraId="74EB5C82">
      <w:pPr>
        <w:pStyle w:val="4"/>
        <w:spacing w:line="360" w:lineRule="auto"/>
        <w:ind w:firstLine="480"/>
        <w:rPr>
          <w:rFonts w:ascii="宋体" w:hAnsi="宋体"/>
          <w:sz w:val="24"/>
          <w:highlight w:val="none"/>
        </w:rPr>
      </w:pPr>
      <w:r>
        <w:rPr>
          <w:rFonts w:ascii="宋体" w:hAnsi="宋体"/>
          <w:sz w:val="24"/>
          <w:highlight w:val="none"/>
        </w:rPr>
        <w:t>1.符合《中华人民共和国政府采购法》第二十二条规定。</w:t>
      </w:r>
    </w:p>
    <w:p w14:paraId="1EA86E2E">
      <w:pPr>
        <w:pStyle w:val="4"/>
        <w:spacing w:line="360" w:lineRule="auto"/>
        <w:ind w:firstLine="480"/>
        <w:rPr>
          <w:rFonts w:ascii="宋体" w:hAnsi="宋体"/>
          <w:sz w:val="24"/>
          <w:highlight w:val="none"/>
        </w:rPr>
      </w:pPr>
      <w:r>
        <w:rPr>
          <w:rFonts w:ascii="宋体" w:hAnsi="宋体"/>
          <w:sz w:val="24"/>
          <w:highlight w:val="none"/>
        </w:rPr>
        <w:t>2.落实政府采购政策需满足的资格要求：此项目属于专门面向中小微企业采购的项目,供应商应为中小微企业、残疾人福利性单位。</w:t>
      </w:r>
    </w:p>
    <w:p w14:paraId="14A7685F">
      <w:pPr>
        <w:pStyle w:val="4"/>
        <w:spacing w:line="360" w:lineRule="auto"/>
        <w:ind w:firstLine="480"/>
        <w:rPr>
          <w:rFonts w:ascii="宋体" w:hAnsi="宋体"/>
          <w:b/>
          <w:bCs/>
          <w:sz w:val="24"/>
          <w:highlight w:val="none"/>
        </w:rPr>
      </w:pPr>
      <w:r>
        <w:rPr>
          <w:rFonts w:ascii="宋体" w:hAnsi="宋体"/>
          <w:b/>
          <w:bCs/>
          <w:sz w:val="24"/>
          <w:highlight w:val="none"/>
        </w:rPr>
        <w:t>3.本项目的特定资格要求：</w:t>
      </w:r>
    </w:p>
    <w:p w14:paraId="5CBDAD53">
      <w:pPr>
        <w:keepNext w:val="0"/>
        <w:keepLines w:val="0"/>
        <w:pageBreakBefore w:val="0"/>
        <w:widowControl/>
        <w:spacing w:line="360" w:lineRule="auto"/>
        <w:ind w:right="26" w:firstLine="361"/>
        <w:jc w:val="left"/>
        <w:rPr>
          <w:rFonts w:hint="eastAsia" w:ascii="宋体" w:hAnsi="宋体" w:eastAsia="宋体" w:cs="宋体"/>
          <w:b/>
          <w:bCs/>
          <w:color w:val="auto"/>
          <w:kern w:val="0"/>
          <w:sz w:val="24"/>
          <w:szCs w:val="20"/>
          <w:highlight w:val="none"/>
          <w:lang/>
        </w:rPr>
      </w:pPr>
      <w:r>
        <w:rPr>
          <w:rFonts w:hint="eastAsia" w:ascii="宋体" w:hAnsi="宋体" w:eastAsia="宋体" w:cs="宋体"/>
          <w:b/>
          <w:bCs/>
          <w:color w:val="auto"/>
          <w:kern w:val="0"/>
          <w:sz w:val="24"/>
          <w:szCs w:val="20"/>
          <w:highlight w:val="none"/>
          <w:lang w:val="en-US" w:eastAsia="zh-CN"/>
        </w:rPr>
        <w:t>(1)具有公路工程施工总承包三级及以上资质，并在有效期内；</w:t>
      </w:r>
    </w:p>
    <w:p w14:paraId="4A108C4F">
      <w:pPr>
        <w:keepNext w:val="0"/>
        <w:keepLines w:val="0"/>
        <w:pageBreakBefore w:val="0"/>
        <w:widowControl/>
        <w:spacing w:line="360" w:lineRule="auto"/>
        <w:ind w:right="26" w:firstLine="241" w:firstLineChars="100"/>
        <w:jc w:val="left"/>
        <w:rPr>
          <w:rFonts w:hint="eastAsia" w:ascii="宋体" w:hAnsi="宋体" w:eastAsia="宋体" w:cs="宋体"/>
          <w:b/>
          <w:bCs/>
          <w:color w:val="FF0000"/>
          <w:kern w:val="0"/>
          <w:sz w:val="24"/>
          <w:szCs w:val="20"/>
          <w:highlight w:val="none"/>
          <w:lang/>
        </w:rPr>
      </w:pPr>
      <w:r>
        <w:rPr>
          <w:rFonts w:hint="eastAsia" w:ascii="宋体" w:hAnsi="宋体" w:eastAsia="宋体" w:cs="宋体"/>
          <w:b/>
          <w:bCs/>
          <w:color w:val="auto"/>
          <w:kern w:val="0"/>
          <w:sz w:val="24"/>
          <w:szCs w:val="20"/>
          <w:highlight w:val="none"/>
          <w:lang/>
        </w:rPr>
        <w:t>（</w:t>
      </w:r>
      <w:r>
        <w:rPr>
          <w:rFonts w:hint="eastAsia" w:ascii="宋体" w:hAnsi="宋体" w:eastAsia="宋体" w:cs="宋体"/>
          <w:b/>
          <w:bCs/>
          <w:color w:val="auto"/>
          <w:kern w:val="0"/>
          <w:sz w:val="24"/>
          <w:szCs w:val="20"/>
          <w:highlight w:val="none"/>
          <w:lang w:val="en-US" w:eastAsia="zh-CN"/>
        </w:rPr>
        <w:t>2</w:t>
      </w:r>
      <w:r>
        <w:rPr>
          <w:rFonts w:hint="eastAsia" w:ascii="宋体" w:hAnsi="宋体" w:eastAsia="宋体" w:cs="宋体"/>
          <w:b/>
          <w:bCs/>
          <w:color w:val="auto"/>
          <w:kern w:val="0"/>
          <w:sz w:val="24"/>
          <w:szCs w:val="20"/>
          <w:highlight w:val="none"/>
          <w:lang/>
        </w:rPr>
        <w:t>）项目经理具有公路工程专业二级注册建造师及以上资质，持有省级</w:t>
      </w:r>
      <w:r>
        <w:rPr>
          <w:rFonts w:hint="eastAsia" w:ascii="宋体" w:hAnsi="宋体" w:eastAsia="宋体" w:cs="宋体"/>
          <w:b/>
          <w:bCs/>
          <w:color w:val="auto"/>
          <w:kern w:val="0"/>
          <w:sz w:val="24"/>
          <w:szCs w:val="20"/>
          <w:highlight w:val="none"/>
          <w:lang w:val="en-US" w:eastAsia="zh-CN"/>
        </w:rPr>
        <w:t>及以上</w:t>
      </w:r>
      <w:r>
        <w:rPr>
          <w:rFonts w:hint="eastAsia" w:ascii="宋体" w:hAnsi="宋体" w:eastAsia="宋体" w:cs="宋体"/>
          <w:b/>
          <w:bCs/>
          <w:color w:val="auto"/>
          <w:kern w:val="0"/>
          <w:sz w:val="24"/>
          <w:szCs w:val="20"/>
          <w:highlight w:val="none"/>
          <w:lang/>
        </w:rPr>
        <w:t>交通运输主管部门核发的有效的《公路水运工程施工主要负责人和安全生产管理人员安全生产考核合格证书》(B类</w:t>
      </w:r>
      <w:r>
        <w:rPr>
          <w:rFonts w:hint="eastAsia" w:ascii="宋体" w:hAnsi="宋体" w:eastAsia="宋体" w:cs="宋体"/>
          <w:b/>
          <w:bCs/>
          <w:color w:val="auto"/>
          <w:kern w:val="0"/>
          <w:sz w:val="24"/>
          <w:szCs w:val="20"/>
          <w:highlight w:val="none"/>
          <w:lang w:eastAsia="zh-CN"/>
        </w:rPr>
        <w:t>）或《公路水运工程施工单位主要负责人、项目负责人和专职安全生产管理人员安全生产考核合格证书》(B类）</w:t>
      </w:r>
      <w:r>
        <w:rPr>
          <w:rFonts w:hint="eastAsia" w:ascii="宋体" w:hAnsi="宋体" w:eastAsia="宋体" w:cs="宋体"/>
          <w:b/>
          <w:bCs/>
          <w:color w:val="auto"/>
          <w:kern w:val="0"/>
          <w:sz w:val="24"/>
          <w:szCs w:val="20"/>
          <w:highlight w:val="none"/>
          <w:lang/>
        </w:rPr>
        <w:t>，拟投入的项目经理无其他在建项目</w:t>
      </w:r>
      <w:r>
        <w:rPr>
          <w:rFonts w:hint="eastAsia" w:ascii="宋体" w:hAnsi="宋体" w:eastAsia="宋体" w:cs="宋体"/>
          <w:b/>
          <w:bCs/>
          <w:color w:val="auto"/>
          <w:kern w:val="0"/>
          <w:sz w:val="24"/>
          <w:szCs w:val="20"/>
          <w:highlight w:val="none"/>
          <w:lang w:eastAsia="zh-CN"/>
        </w:rPr>
        <w:t>，</w:t>
      </w:r>
      <w:r>
        <w:rPr>
          <w:rFonts w:hint="eastAsia" w:ascii="宋体" w:hAnsi="宋体" w:eastAsia="宋体" w:cs="宋体"/>
          <w:b/>
          <w:bCs/>
          <w:color w:val="auto"/>
          <w:kern w:val="0"/>
          <w:sz w:val="24"/>
          <w:szCs w:val="20"/>
          <w:highlight w:val="none"/>
          <w:lang w:val="en-US" w:eastAsia="zh-CN"/>
        </w:rPr>
        <w:t>（提供无在建承诺书，格式自拟）</w:t>
      </w:r>
      <w:r>
        <w:rPr>
          <w:rFonts w:hint="eastAsia" w:ascii="宋体" w:hAnsi="宋体" w:eastAsia="宋体" w:cs="宋体"/>
          <w:b/>
          <w:bCs/>
          <w:color w:val="auto"/>
          <w:kern w:val="0"/>
          <w:sz w:val="24"/>
          <w:szCs w:val="20"/>
          <w:highlight w:val="none"/>
          <w:lang/>
        </w:rPr>
        <w:t>。</w:t>
      </w:r>
    </w:p>
    <w:p w14:paraId="1D836EF2">
      <w:pPr>
        <w:keepNext w:val="0"/>
        <w:keepLines w:val="0"/>
        <w:pageBreakBefore w:val="0"/>
        <w:widowControl/>
        <w:spacing w:line="360" w:lineRule="auto"/>
        <w:ind w:right="26" w:firstLine="361"/>
        <w:jc w:val="left"/>
        <w:rPr>
          <w:rFonts w:hint="eastAsia" w:ascii="宋体" w:hAnsi="宋体" w:eastAsia="宋体" w:cs="宋体"/>
          <w:b/>
          <w:bCs/>
          <w:color w:val="auto"/>
          <w:kern w:val="0"/>
          <w:sz w:val="24"/>
          <w:szCs w:val="20"/>
          <w:highlight w:val="none"/>
          <w:lang w:eastAsia="zh-CN"/>
        </w:rPr>
      </w:pPr>
      <w:r>
        <w:rPr>
          <w:rFonts w:hint="eastAsia" w:ascii="宋体" w:hAnsi="宋体" w:eastAsia="宋体" w:cs="宋体"/>
          <w:b/>
          <w:bCs/>
          <w:color w:val="auto"/>
          <w:kern w:val="0"/>
          <w:sz w:val="24"/>
          <w:szCs w:val="20"/>
          <w:highlight w:val="none"/>
          <w:lang w:eastAsia="zh-CN"/>
        </w:rPr>
        <w:t>（</w:t>
      </w:r>
      <w:r>
        <w:rPr>
          <w:rFonts w:hint="eastAsia" w:ascii="宋体" w:hAnsi="宋体" w:eastAsia="宋体" w:cs="宋体"/>
          <w:b/>
          <w:bCs/>
          <w:color w:val="auto"/>
          <w:kern w:val="0"/>
          <w:sz w:val="24"/>
          <w:szCs w:val="20"/>
          <w:highlight w:val="none"/>
          <w:lang w:val="en-US" w:eastAsia="zh-CN"/>
        </w:rPr>
        <w:t>3</w:t>
      </w:r>
      <w:r>
        <w:rPr>
          <w:rFonts w:hint="eastAsia" w:ascii="宋体" w:hAnsi="宋体" w:eastAsia="宋体" w:cs="宋体"/>
          <w:b/>
          <w:bCs/>
          <w:color w:val="auto"/>
          <w:kern w:val="0"/>
          <w:sz w:val="24"/>
          <w:szCs w:val="20"/>
          <w:highlight w:val="none"/>
          <w:lang w:eastAsia="zh-CN"/>
        </w:rPr>
        <w:t>）项目总工必须具有公路工程相关专业中级及以上技术职称，持有省级交通运输主管部门核发的有效的《公路水运工程施工主要负责人和安全生产管理人员安全生产考核合格证书》(B类)；拟投入的项目总工无其他在建项目。</w:t>
      </w:r>
    </w:p>
    <w:p w14:paraId="3D4134FA">
      <w:pPr>
        <w:pStyle w:val="21"/>
        <w:widowControl/>
        <w:ind w:left="0" w:leftChars="0" w:firstLine="241" w:firstLineChars="100"/>
        <w:jc w:val="left"/>
        <w:rPr>
          <w:rFonts w:hint="eastAsia" w:ascii="宋体" w:hAnsi="宋体" w:cs="宋体"/>
          <w:b/>
          <w:bCs/>
          <w:color w:val="auto"/>
          <w:kern w:val="0"/>
          <w:sz w:val="24"/>
          <w:szCs w:val="20"/>
          <w:highlight w:val="none"/>
          <w:lang w:eastAsia="zh-CN"/>
        </w:rPr>
      </w:pPr>
      <w:r>
        <w:rPr>
          <w:rFonts w:hint="eastAsia" w:ascii="宋体" w:hAnsi="宋体" w:cs="宋体"/>
          <w:b/>
          <w:bCs/>
          <w:color w:val="auto"/>
          <w:kern w:val="0"/>
          <w:sz w:val="24"/>
          <w:szCs w:val="20"/>
          <w:highlight w:val="none"/>
          <w:lang w:eastAsia="zh-CN"/>
        </w:rPr>
        <w:t>（</w:t>
      </w:r>
      <w:r>
        <w:rPr>
          <w:rFonts w:hint="eastAsia" w:ascii="宋体" w:hAnsi="宋体" w:cs="宋体"/>
          <w:b/>
          <w:bCs/>
          <w:color w:val="auto"/>
          <w:kern w:val="0"/>
          <w:sz w:val="24"/>
          <w:szCs w:val="20"/>
          <w:highlight w:val="none"/>
          <w:lang w:val="en-US" w:eastAsia="zh-CN"/>
        </w:rPr>
        <w:t>4</w:t>
      </w:r>
      <w:r>
        <w:rPr>
          <w:rFonts w:hint="eastAsia" w:ascii="宋体" w:hAnsi="宋体" w:cs="宋体"/>
          <w:b/>
          <w:bCs/>
          <w:color w:val="auto"/>
          <w:kern w:val="0"/>
          <w:sz w:val="24"/>
          <w:szCs w:val="20"/>
          <w:highlight w:val="none"/>
          <w:lang w:eastAsia="zh-CN"/>
        </w:rPr>
        <w:t>）具有省级及以上建设行政主管部门核发的《安全生产许可证》，并在有效期内；</w:t>
      </w:r>
    </w:p>
    <w:p w14:paraId="201B5A9F">
      <w:pPr>
        <w:pStyle w:val="21"/>
        <w:widowControl/>
        <w:spacing w:line="360" w:lineRule="auto"/>
        <w:ind w:left="0" w:leftChars="0" w:firstLine="241" w:firstLineChars="100"/>
        <w:jc w:val="left"/>
        <w:rPr>
          <w:rFonts w:hint="eastAsia" w:ascii="宋体" w:hAnsi="宋体" w:eastAsia="宋体" w:cs="宋体"/>
          <w:b/>
          <w:bCs/>
          <w:color w:val="auto"/>
          <w:kern w:val="0"/>
          <w:sz w:val="24"/>
          <w:szCs w:val="20"/>
          <w:highlight w:val="none"/>
          <w:lang w:val="en-US" w:eastAsia="zh-CN"/>
        </w:rPr>
      </w:pPr>
      <w:r>
        <w:rPr>
          <w:rFonts w:hint="eastAsia" w:ascii="宋体" w:hAnsi="宋体" w:eastAsia="宋体" w:cs="宋体"/>
          <w:b/>
          <w:bCs/>
          <w:color w:val="auto"/>
          <w:kern w:val="0"/>
          <w:sz w:val="24"/>
          <w:szCs w:val="20"/>
          <w:highlight w:val="none"/>
          <w:lang w:val="en-US" w:eastAsia="zh-CN"/>
        </w:rPr>
        <w:t>(5)拟投入项目负责人、项目总工应为投标人本单位人员，并提供社保系统打印的本单位人员缴费明细或其他能够证明项目负责人在本单位参加社保的有效证明材料。社保缴费时间段应为递交当月的前一个月开始往前6个月任意一个月（不含递交当月的前一个月）。</w:t>
      </w:r>
    </w:p>
    <w:p w14:paraId="14DFE7CD">
      <w:pPr>
        <w:pStyle w:val="21"/>
        <w:widowControl/>
        <w:spacing w:line="360" w:lineRule="auto"/>
        <w:ind w:left="0" w:leftChars="0" w:firstLine="241" w:firstLineChars="100"/>
        <w:jc w:val="left"/>
        <w:rPr>
          <w:rFonts w:hint="default" w:ascii="宋体" w:hAnsi="宋体" w:eastAsia="宋体" w:cs="宋体"/>
          <w:b/>
          <w:bCs/>
          <w:color w:val="auto"/>
          <w:kern w:val="0"/>
          <w:sz w:val="24"/>
          <w:szCs w:val="20"/>
          <w:highlight w:val="none"/>
          <w:lang w:val="en-US" w:eastAsia="zh-CN"/>
        </w:rPr>
      </w:pPr>
      <w:r>
        <w:rPr>
          <w:rFonts w:hint="eastAsia" w:ascii="宋体" w:hAnsi="宋体" w:eastAsia="宋体" w:cs="宋体"/>
          <w:b/>
          <w:bCs/>
          <w:color w:val="auto"/>
          <w:kern w:val="0"/>
          <w:sz w:val="24"/>
          <w:szCs w:val="20"/>
          <w:highlight w:val="none"/>
          <w:lang w:val="en-US" w:eastAsia="zh-CN"/>
        </w:rPr>
        <w:t>注：公路工程相关专业职称包括：公路工程、桥梁工程、公路与桥梁工程、交通土建、隧道 （地下结构）工程、交通工程等专业职称。</w:t>
      </w:r>
    </w:p>
    <w:p w14:paraId="250C4E82">
      <w:pPr>
        <w:widowControl/>
        <w:jc w:val="left"/>
        <w:rPr>
          <w:rFonts w:hint="default" w:ascii="Times New Roman" w:hAnsi="Times New Roman" w:eastAsia="宋体" w:cs="Times New Roman"/>
          <w:kern w:val="0"/>
          <w:sz w:val="20"/>
          <w:szCs w:val="20"/>
          <w:lang w:val="en-US" w:eastAsia="zh-CN"/>
        </w:rPr>
      </w:pPr>
    </w:p>
    <w:p w14:paraId="09DA4F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40482"/>
    <w:multiLevelType w:val="multilevel"/>
    <w:tmpl w:val="0E640482"/>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60382F6E"/>
    <w:multiLevelType w:val="multilevel"/>
    <w:tmpl w:val="60382F6E"/>
    <w:lvl w:ilvl="0" w:tentative="0">
      <w:start w:val="1"/>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36957"/>
    <w:rsid w:val="0C736957"/>
    <w:rsid w:val="119B29BC"/>
    <w:rsid w:val="121B53C5"/>
    <w:rsid w:val="2E5B02E2"/>
    <w:rsid w:val="35A672D6"/>
    <w:rsid w:val="5D282A51"/>
    <w:rsid w:val="756465AF"/>
    <w:rsid w:val="7C0E2F2D"/>
    <w:rsid w:val="7CA0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11"/>
    <w:next w:val="5"/>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
    <w:name w:val="正文首行缩进1"/>
    <w:next w:val="6"/>
    <w:autoRedefine/>
    <w:qFormat/>
    <w:uiPriority w:val="0"/>
    <w:pPr>
      <w:widowControl w:val="0"/>
      <w:spacing w:after="120" w:line="360" w:lineRule="auto"/>
      <w:ind w:firstLine="200"/>
      <w:jc w:val="both"/>
    </w:pPr>
    <w:rPr>
      <w:rFonts w:hint="default" w:ascii="仿宋_GB2312" w:hAnsi="Times New Roman" w:eastAsia="仿宋_GB2312" w:cs="Times New Roman"/>
      <w:sz w:val="30"/>
      <w:szCs w:val="30"/>
      <w:lang w:val="en-US" w:eastAsia="en-US" w:bidi="ar-SA"/>
    </w:rPr>
  </w:style>
  <w:style w:type="paragraph" w:customStyle="1" w:styleId="6">
    <w:name w:val="正文首行缩进 21"/>
    <w:next w:val="4"/>
    <w:autoRedefine/>
    <w:qFormat/>
    <w:uiPriority w:val="0"/>
    <w:pPr>
      <w:spacing w:after="0" w:line="360" w:lineRule="auto"/>
      <w:ind w:left="0" w:firstLine="420"/>
      <w:jc w:val="both"/>
    </w:pPr>
    <w:rPr>
      <w:rFonts w:hint="default" w:ascii="宋体" w:hAnsi="宋体" w:eastAsia="宋体" w:cs="Times New Roman"/>
      <w:sz w:val="20"/>
      <w:szCs w:val="20"/>
      <w:lang w:val="en-US" w:eastAsia="en-US" w:bidi="ar-SA"/>
    </w:rPr>
  </w:style>
  <w:style w:type="paragraph" w:customStyle="1" w:styleId="7">
    <w:name w:val="正文文本11"/>
    <w:next w:val="8"/>
    <w:autoRedefine/>
    <w:qFormat/>
    <w:uiPriority w:val="0"/>
    <w:pPr>
      <w:widowControl w:val="0"/>
      <w:spacing w:after="120"/>
      <w:jc w:val="both"/>
    </w:pPr>
    <w:rPr>
      <w:rFonts w:hint="default" w:ascii="Times New Roman" w:hAnsi="Times New Roman" w:eastAsia="宋体" w:cs="Times New Roman"/>
      <w:sz w:val="21"/>
      <w:szCs w:val="24"/>
      <w:lang w:val="en-US" w:eastAsia="zh-CN" w:bidi="ar-SA"/>
    </w:rPr>
  </w:style>
  <w:style w:type="paragraph" w:customStyle="1" w:styleId="8">
    <w:name w:val="一级条标题"/>
    <w:next w:val="9"/>
    <w:autoRedefine/>
    <w:qFormat/>
    <w:uiPriority w:val="0"/>
    <w:pPr>
      <w:tabs>
        <w:tab w:val="left" w:pos="810"/>
        <w:tab w:val="left" w:pos="907"/>
        <w:tab w:val="left" w:pos="1265"/>
      </w:tabs>
      <w:spacing w:before="0" w:after="0"/>
      <w:ind w:left="907" w:hanging="907"/>
      <w:jc w:val="both"/>
      <w:outlineLvl w:val="2"/>
    </w:pPr>
    <w:rPr>
      <w:rFonts w:hint="default" w:ascii="黑体" w:hAnsi="宋体" w:eastAsia="黑体" w:cs="Times New Roman"/>
      <w:sz w:val="20"/>
      <w:szCs w:val="20"/>
      <w:lang w:val="en-US" w:eastAsia="en-US" w:bidi="ar-SA"/>
    </w:rPr>
  </w:style>
  <w:style w:type="paragraph" w:customStyle="1" w:styleId="9">
    <w:name w:val="段"/>
    <w:next w:val="1"/>
    <w:autoRedefine/>
    <w:qFormat/>
    <w:uiPriority w:val="0"/>
    <w:pPr>
      <w:widowControl/>
      <w:spacing w:line="360" w:lineRule="atLeast"/>
      <w:ind w:firstLine="200"/>
      <w:jc w:val="left"/>
    </w:pPr>
    <w:rPr>
      <w:rFonts w:hint="default" w:ascii="宋体" w:hAnsi="Times New Roman" w:eastAsia="宋体" w:cs="Times New Roman"/>
      <w:sz w:val="20"/>
      <w:szCs w:val="20"/>
      <w:lang w:val="en-US" w:eastAsia="en-US" w:bidi="ar-SA"/>
    </w:rPr>
  </w:style>
  <w:style w:type="paragraph" w:customStyle="1" w:styleId="10">
    <w:name w:val="章标题"/>
    <w:next w:val="1"/>
    <w:autoRedefine/>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11">
    <w:name w:val="正文1"/>
    <w:next w:val="12"/>
    <w:autoRedefine/>
    <w:qFormat/>
    <w:uiPriority w:val="0"/>
    <w:pPr>
      <w:widowControl w:val="0"/>
      <w:spacing w:line="360" w:lineRule="atLeast"/>
      <w:jc w:val="left"/>
    </w:pPr>
    <w:rPr>
      <w:rFonts w:hint="default" w:ascii="宋体" w:hAnsi="Times New Roman" w:eastAsia="宋体" w:cs="Times New Roman"/>
      <w:sz w:val="24"/>
      <w:szCs w:val="20"/>
      <w:lang w:val="en-US" w:eastAsia="en-US" w:bidi="ar-SA"/>
    </w:rPr>
  </w:style>
  <w:style w:type="paragraph" w:customStyle="1" w:styleId="12">
    <w:name w:val="标题 21"/>
    <w:next w:val="11"/>
    <w:autoRedefine/>
    <w:qFormat/>
    <w:uiPriority w:val="0"/>
    <w:pPr>
      <w:keepNext/>
      <w:keepLines/>
      <w:widowControl w:val="0"/>
      <w:spacing w:before="260" w:after="260" w:line="416" w:lineRule="auto"/>
      <w:jc w:val="both"/>
      <w:outlineLvl w:val="1"/>
    </w:pPr>
    <w:rPr>
      <w:rFonts w:hint="default" w:ascii="Cambria" w:hAnsi="Cambria" w:eastAsia="宋体" w:cs="Times New Roman"/>
      <w:b/>
      <w:bCs/>
      <w:sz w:val="32"/>
      <w:szCs w:val="32"/>
      <w:lang w:val="en-US" w:eastAsia="zh-CN" w:bidi="ar-SA"/>
    </w:rPr>
  </w:style>
  <w:style w:type="paragraph" w:customStyle="1" w:styleId="13">
    <w:name w:val="正文文本缩进1"/>
    <w:autoRedefine/>
    <w:qFormat/>
    <w:uiPriority w:val="0"/>
    <w:pPr>
      <w:spacing w:after="120"/>
      <w:ind w:left="420"/>
      <w:jc w:val="both"/>
    </w:pPr>
    <w:rPr>
      <w:rFonts w:hint="default" w:ascii="Times New Roman" w:hAnsi="Times New Roman" w:eastAsia="宋体" w:cs="Times New Roman"/>
      <w:lang w:val="en-US" w:eastAsia="en-US" w:bidi="ar-SA"/>
    </w:rPr>
  </w:style>
  <w:style w:type="paragraph" w:customStyle="1" w:styleId="14">
    <w:name w:val="正文11"/>
    <w:next w:val="15"/>
    <w:qFormat/>
    <w:uiPriority w:val="0"/>
    <w:pPr>
      <w:jc w:val="both"/>
    </w:pPr>
    <w:rPr>
      <w:rFonts w:hint="default" w:ascii="Times New Roman" w:hAnsi="Times New Roman" w:eastAsia="宋体" w:cs="Times New Roman"/>
      <w:lang w:val="en-US" w:eastAsia="zh-CN" w:bidi="ar-SA"/>
    </w:rPr>
  </w:style>
  <w:style w:type="paragraph" w:customStyle="1" w:styleId="15">
    <w:name w:val="标题 211"/>
    <w:next w:val="14"/>
    <w:qFormat/>
    <w:uiPriority w:val="0"/>
    <w:pPr>
      <w:keepNext/>
      <w:keepLines/>
      <w:widowControl w:val="0"/>
      <w:spacing w:before="260" w:after="260" w:line="416" w:lineRule="auto"/>
      <w:jc w:val="both"/>
      <w:outlineLvl w:val="1"/>
    </w:pPr>
    <w:rPr>
      <w:rFonts w:hint="default" w:ascii="Calibri Light" w:hAnsi="Calibri Light" w:eastAsia="宋体" w:cs="Times New Roman"/>
      <w:b/>
      <w:bCs/>
      <w:sz w:val="32"/>
      <w:szCs w:val="32"/>
      <w:lang w:val="en-US" w:eastAsia="zh-CN" w:bidi="ar-SA"/>
    </w:rPr>
  </w:style>
  <w:style w:type="paragraph" w:customStyle="1" w:styleId="16">
    <w:name w:val="正文112"/>
    <w:next w:val="1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7">
    <w:name w:val="正文首行缩进11"/>
    <w:next w:val="18"/>
    <w:qFormat/>
    <w:uiPriority w:val="0"/>
    <w:pPr>
      <w:widowControl w:val="0"/>
      <w:spacing w:after="120"/>
      <w:ind w:firstLine="420"/>
      <w:jc w:val="both"/>
    </w:pPr>
    <w:rPr>
      <w:rFonts w:hint="default" w:ascii="仿宋_GB2312" w:hAnsi="Times New Roman" w:eastAsia="仿宋_GB2312" w:cs="Times New Roman"/>
      <w:sz w:val="30"/>
      <w:szCs w:val="30"/>
      <w:lang w:val="en-US" w:eastAsia="zh-CN" w:bidi="ar-SA"/>
    </w:rPr>
  </w:style>
  <w:style w:type="paragraph" w:customStyle="1" w:styleId="18">
    <w:name w:val="正文首行缩进 22"/>
    <w:next w:val="16"/>
    <w:qFormat/>
    <w:uiPriority w:val="0"/>
    <w:pPr>
      <w:widowControl w:val="0"/>
      <w:spacing w:after="0" w:line="360" w:lineRule="auto"/>
      <w:ind w:left="0" w:firstLine="420"/>
      <w:jc w:val="both"/>
    </w:pPr>
    <w:rPr>
      <w:rFonts w:hint="default" w:ascii="宋体" w:hAnsi="宋体" w:eastAsia="宋体" w:cs="Times New Roman"/>
      <w:sz w:val="20"/>
      <w:szCs w:val="20"/>
      <w:lang w:val="en-US" w:eastAsia="zh-CN" w:bidi="ar-SA"/>
    </w:rPr>
  </w:style>
  <w:style w:type="paragraph" w:customStyle="1" w:styleId="19">
    <w:name w:val="正文文本1"/>
    <w:next w:val="8"/>
    <w:qFormat/>
    <w:uiPriority w:val="0"/>
    <w:pPr>
      <w:widowControl w:val="0"/>
      <w:spacing w:after="120"/>
      <w:jc w:val="both"/>
    </w:pPr>
    <w:rPr>
      <w:rFonts w:hint="default" w:ascii="Times New Roman" w:hAnsi="Times New Roman" w:eastAsia="宋体" w:cs="Times New Roman"/>
      <w:sz w:val="21"/>
      <w:szCs w:val="24"/>
      <w:lang w:val="en-US" w:eastAsia="zh-CN" w:bidi="ar-SA"/>
    </w:rPr>
  </w:style>
  <w:style w:type="paragraph" w:customStyle="1" w:styleId="20">
    <w:name w:val="正文文本缩进2"/>
    <w:qFormat/>
    <w:uiPriority w:val="0"/>
    <w:pPr>
      <w:widowControl w:val="0"/>
      <w:spacing w:after="120"/>
      <w:ind w:left="420"/>
      <w:jc w:val="both"/>
    </w:pPr>
    <w:rPr>
      <w:rFonts w:hint="default" w:ascii="Times New Roman" w:hAnsi="Times New Roman" w:eastAsia="宋体" w:cs="Times New Roman"/>
      <w:sz w:val="21"/>
      <w:szCs w:val="24"/>
      <w:lang w:val="en-US" w:eastAsia="zh-CN" w:bidi="ar-SA"/>
    </w:rPr>
  </w:style>
  <w:style w:type="paragraph" w:styleId="21">
    <w:name w:val="List Paragraph"/>
    <w:autoRedefine/>
    <w:qFormat/>
    <w:uiPriority w:val="34"/>
    <w:pPr>
      <w:ind w:left="720"/>
      <w:contextualSpacing/>
    </w:pPr>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2025-08-06T09:30:00Z</dcterms:created>
  <dc:creator>pc</dc:creator>
  <cp:lastModifiedBy>pc</cp:lastModifiedBy>
  <dcterms:modified xsi:type="dcterms:W3CDTF">2025-08-06T09:55:07Z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1405FBD6C82F4502B3E33B6EE0B3CFB0_11</vt:lpwstr>
  </property>
  <property fmtid="{D5CDD505-2E9C-101B-9397-08002B2CF9AE}" pid="4" name="KSOTemplateDocerSaveRecord">
    <vt:lpwstr>eyJoZGlkIjoiMmQ3NTVlMzBjNWNkZWM0ZjI4YTk4YmFiZTc5NjQzMjciLCJ1c2VySWQiOiIxMzg0NTY4NjY4In0=</vt:lpwstr>
  </property>
</Properties>
</file>