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2AB12">
      <w:pPr>
        <w:pStyle w:val="11"/>
        <w:numPr>
          <w:ilvl w:val="0"/>
          <w:numId w:val="0"/>
        </w:numPr>
        <w:spacing w:line="360" w:lineRule="auto"/>
        <w:jc w:val="left"/>
        <w:outlineLvl w:val="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如有建议或意见，请以书面形式并加盖公章、注明联系人、联系方式，于2025年</w:t>
      </w:r>
      <w:r>
        <w:rPr>
          <w:rFonts w:hint="eastAsia" w:eastAsia="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zh-CN" w:bidi="ar-SA"/>
        </w:rPr>
        <w:t>月</w:t>
      </w:r>
      <w:r>
        <w:rPr>
          <w:rFonts w:hint="eastAsia" w:cs="宋体"/>
          <w:color w:val="auto"/>
          <w:sz w:val="24"/>
          <w:szCs w:val="24"/>
          <w:highlight w:val="none"/>
          <w:lang w:val="en-US" w:eastAsia="zh-CN" w:bidi="ar-SA"/>
        </w:rPr>
        <w:t>12</w:t>
      </w:r>
      <w:r>
        <w:rPr>
          <w:rFonts w:hint="eastAsia" w:ascii="宋体" w:hAnsi="宋体" w:eastAsia="宋体" w:cs="宋体"/>
          <w:color w:val="auto"/>
          <w:sz w:val="24"/>
          <w:szCs w:val="24"/>
          <w:highlight w:val="none"/>
          <w:lang w:val="en-US" w:eastAsia="zh-CN" w:bidi="ar-SA"/>
        </w:rPr>
        <w:t>日17:00之前送至我单位，逾期不受理（如邮寄，2025年</w:t>
      </w:r>
      <w:r>
        <w:rPr>
          <w:rFonts w:hint="eastAsia" w:eastAsia="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zh-CN" w:bidi="ar-SA"/>
        </w:rPr>
        <w:t>月</w:t>
      </w:r>
      <w:r>
        <w:rPr>
          <w:rFonts w:hint="eastAsia" w:cs="宋体"/>
          <w:color w:val="auto"/>
          <w:sz w:val="24"/>
          <w:szCs w:val="24"/>
          <w:highlight w:val="none"/>
          <w:lang w:val="en-US" w:eastAsia="zh-CN" w:bidi="ar-SA"/>
        </w:rPr>
        <w:t>12</w:t>
      </w:r>
      <w:r>
        <w:rPr>
          <w:rFonts w:hint="eastAsia" w:ascii="宋体" w:hAnsi="宋体" w:eastAsia="宋体" w:cs="宋体"/>
          <w:color w:val="auto"/>
          <w:sz w:val="24"/>
          <w:szCs w:val="24"/>
          <w:highlight w:val="none"/>
          <w:lang w:val="en-US" w:eastAsia="zh-CN" w:bidi="ar-SA"/>
        </w:rPr>
        <w:t>日17:00之后到达本单位的邮件将不再受理）。</w:t>
      </w:r>
    </w:p>
    <w:p w14:paraId="5F165FC5">
      <w:pPr>
        <w:bidi w:val="0"/>
        <w:rPr>
          <w:rFonts w:hint="eastAsia"/>
          <w:color w:val="auto"/>
          <w:highlight w:val="none"/>
          <w:lang w:val="en-US" w:eastAsia="zh-CN"/>
        </w:rPr>
      </w:pPr>
    </w:p>
    <w:p w14:paraId="25CCC7C0">
      <w:pPr>
        <w:pStyle w:val="5"/>
        <w:spacing w:line="240" w:lineRule="auto"/>
        <w:ind w:firstLine="723"/>
        <w:jc w:val="center"/>
        <w:rPr>
          <w:rFonts w:ascii="宋体" w:hAnsi="宋体"/>
          <w:b/>
          <w:bCs/>
          <w:sz w:val="32"/>
          <w:szCs w:val="32"/>
          <w:highlight w:val="none"/>
        </w:rPr>
      </w:pPr>
    </w:p>
    <w:p w14:paraId="312BEA25">
      <w:pPr>
        <w:pStyle w:val="5"/>
        <w:spacing w:line="240" w:lineRule="auto"/>
        <w:ind w:firstLine="723"/>
        <w:jc w:val="center"/>
        <w:rPr>
          <w:rFonts w:ascii="宋体" w:hAnsi="宋体"/>
          <w:b/>
          <w:bCs/>
          <w:sz w:val="32"/>
          <w:szCs w:val="32"/>
          <w:highlight w:val="none"/>
        </w:rPr>
      </w:pPr>
      <w:r>
        <w:rPr>
          <w:rFonts w:ascii="宋体" w:hAnsi="宋体"/>
          <w:b/>
          <w:bCs/>
          <w:sz w:val="32"/>
          <w:szCs w:val="32"/>
          <w:highlight w:val="none"/>
        </w:rPr>
        <w:t>采购需求</w:t>
      </w:r>
    </w:p>
    <w:p w14:paraId="34B2F15F">
      <w:pPr>
        <w:pStyle w:val="22"/>
        <w:numPr>
          <w:ilvl w:val="0"/>
          <w:numId w:val="1"/>
        </w:numPr>
        <w:spacing w:line="360" w:lineRule="auto"/>
        <w:ind w:firstLine="482"/>
        <w:rPr>
          <w:rFonts w:ascii="宋体" w:hAnsi="宋体" w:eastAsia="宋体"/>
          <w:b/>
          <w:bCs/>
          <w:sz w:val="24"/>
          <w:szCs w:val="24"/>
        </w:rPr>
      </w:pPr>
      <w:r>
        <w:rPr>
          <w:rFonts w:ascii="宋体" w:hAnsi="宋体" w:eastAsia="宋体"/>
          <w:b/>
          <w:bCs/>
          <w:sz w:val="24"/>
          <w:szCs w:val="24"/>
        </w:rPr>
        <w:t>采购标的</w:t>
      </w:r>
    </w:p>
    <w:p w14:paraId="7EF58BD6">
      <w:pPr>
        <w:pStyle w:val="5"/>
        <w:numPr>
          <w:ilvl w:val="0"/>
          <w:numId w:val="2"/>
        </w:numPr>
        <w:spacing w:line="360" w:lineRule="auto"/>
        <w:ind w:firstLine="819"/>
        <w:rPr>
          <w:rFonts w:hint="eastAsia" w:ascii="宋体" w:hAnsi="宋体"/>
          <w:sz w:val="24"/>
          <w:szCs w:val="24"/>
          <w:lang w:eastAsia="zh-CN"/>
        </w:rPr>
      </w:pPr>
      <w:r>
        <w:rPr>
          <w:rFonts w:ascii="宋体" w:hAnsi="宋体" w:eastAsia="宋体"/>
          <w:sz w:val="24"/>
          <w:szCs w:val="24"/>
        </w:rPr>
        <w:t>项目名称:</w:t>
      </w:r>
      <w:r>
        <w:rPr>
          <w:rFonts w:hint="eastAsia" w:ascii="宋体" w:hAnsi="宋体"/>
          <w:sz w:val="24"/>
          <w:szCs w:val="24"/>
          <w:lang w:eastAsia="zh-CN"/>
        </w:rPr>
        <w:t>沛县2023年农村道路（ 镇镇之间 ）路面黑化工程（安国镇杨欢线）</w:t>
      </w:r>
    </w:p>
    <w:p w14:paraId="57727971">
      <w:pPr>
        <w:pStyle w:val="5"/>
        <w:numPr>
          <w:ilvl w:val="0"/>
          <w:numId w:val="0"/>
        </w:numPr>
        <w:spacing w:line="360" w:lineRule="auto"/>
        <w:ind w:firstLine="723"/>
        <w:rPr>
          <w:rFonts w:ascii="宋体" w:hAnsi="宋体"/>
          <w:b/>
          <w:bCs/>
          <w:sz w:val="24"/>
        </w:rPr>
      </w:pPr>
      <w:r>
        <w:rPr>
          <w:rFonts w:hint="eastAsia" w:ascii="宋体" w:hAnsi="宋体"/>
          <w:b/>
          <w:bCs/>
          <w:sz w:val="24"/>
          <w:lang w:val="en-US" w:eastAsia="zh-CN"/>
        </w:rPr>
        <w:t>2.</w:t>
      </w:r>
      <w:r>
        <w:rPr>
          <w:rFonts w:ascii="宋体" w:hAnsi="宋体"/>
          <w:b/>
          <w:bCs/>
          <w:sz w:val="24"/>
        </w:rPr>
        <w:t>本项目</w:t>
      </w:r>
      <w:r>
        <w:rPr>
          <w:rFonts w:hint="eastAsia" w:ascii="宋体" w:hAnsi="宋体"/>
          <w:b/>
          <w:bCs/>
          <w:sz w:val="24"/>
          <w:lang w:val="en-US" w:eastAsia="zh-CN"/>
        </w:rPr>
        <w:t>采购预算价121.31万元人民币，最高限价1213094.00元人民币，</w:t>
      </w:r>
      <w:r>
        <w:rPr>
          <w:rFonts w:ascii="宋体" w:hAnsi="宋体"/>
          <w:b/>
          <w:bCs/>
          <w:sz w:val="24"/>
        </w:rPr>
        <w:t>不接受超过</w:t>
      </w:r>
      <w:r>
        <w:rPr>
          <w:rFonts w:hint="eastAsia" w:ascii="宋体" w:hAnsi="宋体"/>
          <w:b/>
          <w:bCs/>
          <w:sz w:val="24"/>
          <w:lang w:val="en-US" w:eastAsia="zh-CN"/>
        </w:rPr>
        <w:t>最高限价1213094.00元人民币</w:t>
      </w:r>
      <w:r>
        <w:rPr>
          <w:rFonts w:ascii="宋体" w:hAnsi="宋体"/>
          <w:b/>
          <w:bCs/>
          <w:sz w:val="24"/>
        </w:rPr>
        <w:t>的报价</w:t>
      </w:r>
      <w:r>
        <w:rPr>
          <w:rFonts w:ascii="宋体" w:hAnsi="宋体"/>
          <w:b/>
          <w:sz w:val="24"/>
        </w:rPr>
        <w:t>。</w:t>
      </w:r>
      <w:r>
        <w:rPr>
          <w:rFonts w:ascii="宋体" w:hAnsi="宋体"/>
          <w:b/>
          <w:bCs/>
          <w:sz w:val="24"/>
        </w:rPr>
        <w:t>报价包括但不限于产品价、税金、运费、</w:t>
      </w:r>
      <w:r>
        <w:rPr>
          <w:rFonts w:hint="eastAsia" w:ascii="宋体" w:hAnsi="宋体"/>
          <w:b/>
          <w:bCs/>
          <w:sz w:val="24"/>
          <w:lang w:val="en-US" w:eastAsia="zh-CN"/>
        </w:rPr>
        <w:t>人工费</w:t>
      </w:r>
      <w:r>
        <w:rPr>
          <w:rFonts w:ascii="宋体" w:hAnsi="宋体"/>
          <w:b/>
          <w:bCs/>
          <w:sz w:val="24"/>
        </w:rPr>
        <w:t>、供应商的利润、</w:t>
      </w:r>
      <w:r>
        <w:rPr>
          <w:rFonts w:hint="eastAsia" w:ascii="宋体" w:hAnsi="宋体"/>
          <w:b/>
          <w:bCs/>
          <w:sz w:val="24"/>
          <w:lang w:val="en-US" w:eastAsia="zh-CN"/>
        </w:rPr>
        <w:t>扬尘</w:t>
      </w:r>
      <w:r>
        <w:rPr>
          <w:rFonts w:hint="eastAsia" w:ascii="宋体" w:hAnsi="宋体"/>
          <w:b/>
          <w:bCs/>
          <w:sz w:val="24"/>
          <w:lang w:eastAsia="zh-CN"/>
        </w:rPr>
        <w:t>、</w:t>
      </w:r>
      <w:r>
        <w:rPr>
          <w:rFonts w:hint="eastAsia" w:ascii="宋体" w:hAnsi="宋体"/>
          <w:b/>
          <w:bCs/>
          <w:sz w:val="24"/>
          <w:lang w:val="en-US" w:eastAsia="zh-CN"/>
        </w:rPr>
        <w:t>措施费、安全文明施工费</w:t>
      </w:r>
      <w:r>
        <w:rPr>
          <w:rFonts w:ascii="宋体" w:hAnsi="宋体"/>
          <w:b/>
          <w:bCs/>
          <w:sz w:val="24"/>
        </w:rPr>
        <w:t>等</w:t>
      </w:r>
      <w:r>
        <w:rPr>
          <w:rFonts w:hint="eastAsia" w:ascii="宋体" w:hAnsi="宋体"/>
          <w:b/>
          <w:bCs/>
          <w:sz w:val="24"/>
          <w:lang w:val="en-US" w:eastAsia="zh-CN"/>
        </w:rPr>
        <w:t>完成本项目所需要的</w:t>
      </w:r>
      <w:r>
        <w:rPr>
          <w:rFonts w:ascii="宋体" w:hAnsi="宋体"/>
          <w:b/>
          <w:bCs/>
          <w:sz w:val="24"/>
        </w:rPr>
        <w:t>全部费用。采购人不再支付报价以外的任何费用。</w:t>
      </w:r>
    </w:p>
    <w:p w14:paraId="6EFC7019">
      <w:pPr>
        <w:pStyle w:val="22"/>
        <w:numPr>
          <w:ilvl w:val="0"/>
          <w:numId w:val="1"/>
        </w:numPr>
        <w:spacing w:line="360" w:lineRule="auto"/>
        <w:ind w:firstLine="482"/>
        <w:rPr>
          <w:rFonts w:ascii="宋体" w:hAnsi="宋体" w:eastAsia="宋体"/>
          <w:b/>
          <w:bCs/>
          <w:sz w:val="24"/>
          <w:szCs w:val="24"/>
        </w:rPr>
      </w:pPr>
      <w:r>
        <w:rPr>
          <w:rFonts w:ascii="宋体" w:hAnsi="宋体" w:eastAsia="宋体"/>
          <w:b/>
          <w:bCs/>
          <w:sz w:val="24"/>
          <w:szCs w:val="24"/>
        </w:rPr>
        <w:t>项目具体要求：</w:t>
      </w:r>
    </w:p>
    <w:p w14:paraId="3F15BE43">
      <w:pPr>
        <w:pStyle w:val="22"/>
        <w:tabs>
          <w:tab w:val="left" w:pos="312"/>
        </w:tabs>
        <w:spacing w:line="360" w:lineRule="auto"/>
        <w:ind w:left="0" w:firstLine="480"/>
        <w:rPr>
          <w:rFonts w:ascii="宋体" w:hAnsi="宋体" w:eastAsia="宋体"/>
          <w:sz w:val="24"/>
          <w:szCs w:val="24"/>
        </w:rPr>
      </w:pPr>
      <w:r>
        <w:rPr>
          <w:rFonts w:ascii="宋体" w:hAnsi="宋体" w:eastAsia="宋体"/>
          <w:sz w:val="24"/>
          <w:szCs w:val="24"/>
        </w:rPr>
        <w:t>2.1工程概况</w:t>
      </w:r>
    </w:p>
    <w:p w14:paraId="53C84180">
      <w:pPr>
        <w:pStyle w:val="22"/>
        <w:tabs>
          <w:tab w:val="left" w:pos="312"/>
        </w:tabs>
        <w:spacing w:line="360" w:lineRule="auto"/>
        <w:ind w:left="0" w:firstLine="480"/>
        <w:rPr>
          <w:rFonts w:ascii="宋体" w:hAnsi="宋体" w:eastAsia="宋体"/>
          <w:sz w:val="24"/>
          <w:szCs w:val="24"/>
        </w:rPr>
      </w:pPr>
      <w:r>
        <w:rPr>
          <w:rFonts w:ascii="宋体" w:hAnsi="宋体" w:eastAsia="宋体"/>
          <w:sz w:val="24"/>
          <w:szCs w:val="24"/>
        </w:rPr>
        <w:t>2.1.1建设地点：</w:t>
      </w:r>
      <w:r>
        <w:rPr>
          <w:rFonts w:hint="eastAsia" w:ascii="宋体" w:hAnsi="宋体" w:eastAsia="宋体"/>
          <w:sz w:val="24"/>
          <w:szCs w:val="24"/>
          <w:lang w:eastAsia="zh-CN"/>
        </w:rPr>
        <w:t>沛县安国镇境内</w:t>
      </w:r>
      <w:r>
        <w:rPr>
          <w:rFonts w:ascii="宋体" w:hAnsi="宋体" w:eastAsia="宋体"/>
          <w:sz w:val="24"/>
          <w:szCs w:val="24"/>
        </w:rPr>
        <w:t>。</w:t>
      </w:r>
    </w:p>
    <w:p w14:paraId="464970AC">
      <w:pPr>
        <w:pStyle w:val="22"/>
        <w:numPr>
          <w:ilvl w:val="0"/>
          <w:numId w:val="0"/>
        </w:numPr>
        <w:spacing w:line="360" w:lineRule="auto"/>
        <w:ind w:right="6" w:firstLine="480" w:firstLineChars="200"/>
        <w:rPr>
          <w:rFonts w:hint="eastAsia" w:ascii="宋体" w:hAnsi="宋体" w:eastAsia="宋体"/>
          <w:sz w:val="24"/>
          <w:szCs w:val="24"/>
        </w:rPr>
      </w:pPr>
      <w:r>
        <w:rPr>
          <w:rFonts w:ascii="宋体" w:hAnsi="宋体" w:eastAsia="宋体"/>
          <w:sz w:val="24"/>
          <w:szCs w:val="24"/>
        </w:rPr>
        <w:t>2.1.2主要工程内容：</w:t>
      </w:r>
      <w:r>
        <w:rPr>
          <w:rFonts w:hint="eastAsia" w:ascii="宋体" w:hAnsi="宋体" w:eastAsia="宋体"/>
          <w:sz w:val="24"/>
          <w:szCs w:val="24"/>
        </w:rPr>
        <w:t>本次招标为</w:t>
      </w:r>
      <w:r>
        <w:rPr>
          <w:rFonts w:hint="eastAsia" w:ascii="宋体" w:hAnsi="宋体" w:eastAsia="宋体"/>
          <w:sz w:val="24"/>
          <w:szCs w:val="24"/>
          <w:lang w:eastAsia="zh-CN"/>
        </w:rPr>
        <w:t>沛县2023年农村道路（ 镇镇之间 ）路面黑化工程（安国镇杨欢线）</w:t>
      </w:r>
      <w:r>
        <w:rPr>
          <w:rFonts w:hint="eastAsia" w:ascii="宋体" w:hAnsi="宋体" w:eastAsia="宋体"/>
          <w:sz w:val="24"/>
          <w:szCs w:val="24"/>
        </w:rPr>
        <w:t>，位于</w:t>
      </w:r>
      <w:r>
        <w:rPr>
          <w:rFonts w:hint="eastAsia" w:ascii="宋体" w:hAnsi="宋体" w:eastAsia="宋体"/>
          <w:sz w:val="24"/>
          <w:szCs w:val="24"/>
          <w:lang w:eastAsia="zh-CN"/>
        </w:rPr>
        <w:t>沛县安国镇境内</w:t>
      </w:r>
      <w:r>
        <w:rPr>
          <w:rFonts w:hint="eastAsia" w:ascii="宋体" w:hAnsi="宋体" w:eastAsia="宋体"/>
          <w:sz w:val="24"/>
          <w:szCs w:val="24"/>
        </w:rPr>
        <w:t>，具体详情如下：</w:t>
      </w:r>
      <w:r>
        <w:rPr>
          <w:rFonts w:hint="eastAsia" w:ascii="宋体" w:hAnsi="宋体" w:eastAsia="宋体"/>
          <w:sz w:val="24"/>
          <w:szCs w:val="24"/>
          <w:lang w:val="en-US" w:eastAsia="zh-CN"/>
        </w:rPr>
        <w:t xml:space="preserve">X301 杨欢线位于安国镇，老路为水泥混凝土路面，设计起点桩号：K6+060，设计终点止于 X203 安周线，宽 20.0m，为一级公路，沥青路面，终点桩号：K7+580，设计长度为 1.520Km。 </w:t>
      </w:r>
    </w:p>
    <w:p w14:paraId="0599F652">
      <w:pPr>
        <w:pStyle w:val="22"/>
        <w:tabs>
          <w:tab w:val="left" w:pos="312"/>
        </w:tabs>
        <w:spacing w:line="360" w:lineRule="auto"/>
        <w:ind w:left="0" w:firstLine="480"/>
        <w:rPr>
          <w:rFonts w:hint="eastAsia" w:ascii="宋体" w:hAnsi="宋体" w:eastAsia="宋体"/>
          <w:sz w:val="24"/>
          <w:szCs w:val="24"/>
        </w:rPr>
      </w:pPr>
      <w:r>
        <w:rPr>
          <w:rFonts w:hint="eastAsia" w:ascii="宋体" w:hAnsi="宋体" w:eastAsia="宋体"/>
          <w:sz w:val="24"/>
          <w:szCs w:val="24"/>
        </w:rPr>
        <w:t>主要内容为路面黑化、路基、标志、标线、标牌、绿化、交安设施、破碎板修复等工程，具体详见图纸及工程量清单全部内容，最终满足采购方要求。</w:t>
      </w:r>
    </w:p>
    <w:p w14:paraId="56AA69F8">
      <w:pPr>
        <w:pStyle w:val="22"/>
        <w:tabs>
          <w:tab w:val="left" w:pos="312"/>
        </w:tabs>
        <w:spacing w:line="360" w:lineRule="auto"/>
        <w:ind w:left="0" w:firstLine="480"/>
        <w:rPr>
          <w:rFonts w:ascii="宋体" w:hAnsi="宋体" w:eastAsia="宋体"/>
          <w:sz w:val="24"/>
          <w:szCs w:val="24"/>
        </w:rPr>
      </w:pPr>
      <w:bookmarkStart w:id="0" w:name="_GoBack"/>
      <w:bookmarkEnd w:id="0"/>
      <w:r>
        <w:rPr>
          <w:rFonts w:ascii="宋体" w:hAnsi="宋体" w:eastAsia="宋体"/>
          <w:sz w:val="24"/>
          <w:szCs w:val="24"/>
        </w:rPr>
        <w:t>2.1.3 工程质量要求：合格。</w:t>
      </w:r>
    </w:p>
    <w:p w14:paraId="3B451D80">
      <w:pPr>
        <w:pStyle w:val="22"/>
        <w:tabs>
          <w:tab w:val="left" w:pos="312"/>
        </w:tabs>
        <w:spacing w:line="360" w:lineRule="auto"/>
        <w:ind w:left="0" w:firstLine="480"/>
        <w:rPr>
          <w:rFonts w:ascii="宋体" w:hAnsi="宋体" w:eastAsia="宋体"/>
          <w:b/>
          <w:bCs/>
          <w:sz w:val="24"/>
          <w:szCs w:val="24"/>
        </w:rPr>
      </w:pPr>
      <w:r>
        <w:rPr>
          <w:rFonts w:ascii="宋体" w:hAnsi="宋体" w:eastAsia="宋体"/>
          <w:b/>
          <w:bCs/>
          <w:sz w:val="24"/>
          <w:szCs w:val="24"/>
        </w:rPr>
        <w:t>2.1.4工期要求：</w:t>
      </w:r>
      <w:r>
        <w:rPr>
          <w:rFonts w:hint="eastAsia" w:ascii="宋体" w:hAnsi="宋体" w:eastAsia="宋体"/>
          <w:b/>
          <w:bCs/>
          <w:color w:val="auto"/>
          <w:sz w:val="24"/>
          <w:szCs w:val="24"/>
          <w:highlight w:val="none"/>
          <w:lang w:val="en-US" w:eastAsia="zh-CN"/>
        </w:rPr>
        <w:t>30</w:t>
      </w:r>
      <w:r>
        <w:rPr>
          <w:rFonts w:hint="eastAsia" w:ascii="宋体" w:hAnsi="宋体" w:eastAsia="宋体"/>
          <w:b/>
          <w:bCs/>
          <w:sz w:val="24"/>
          <w:szCs w:val="24"/>
          <w:highlight w:val="none"/>
          <w:lang w:val="en-US" w:eastAsia="zh-CN"/>
        </w:rPr>
        <w:t>日历天（具体以双方实际签订合同为准）</w:t>
      </w:r>
      <w:r>
        <w:rPr>
          <w:rFonts w:ascii="宋体" w:hAnsi="宋体" w:eastAsia="宋体"/>
          <w:b/>
          <w:bCs/>
          <w:sz w:val="24"/>
          <w:szCs w:val="24"/>
        </w:rPr>
        <w:t>。</w:t>
      </w:r>
    </w:p>
    <w:p w14:paraId="02A14078">
      <w:pPr>
        <w:pStyle w:val="22"/>
        <w:tabs>
          <w:tab w:val="left" w:pos="312"/>
        </w:tabs>
        <w:spacing w:line="360" w:lineRule="auto"/>
        <w:ind w:left="0" w:firstLine="480"/>
        <w:rPr>
          <w:rFonts w:ascii="宋体" w:hAnsi="宋体" w:eastAsia="宋体"/>
          <w:sz w:val="24"/>
          <w:szCs w:val="24"/>
        </w:rPr>
      </w:pPr>
      <w:r>
        <w:rPr>
          <w:rFonts w:ascii="宋体" w:hAnsi="宋体" w:eastAsia="宋体"/>
          <w:sz w:val="24"/>
          <w:szCs w:val="24"/>
        </w:rPr>
        <w:t>2.1.5验收标准：满足采购需求要求。</w:t>
      </w:r>
    </w:p>
    <w:p w14:paraId="4F6DFDE8">
      <w:pPr>
        <w:pStyle w:val="22"/>
        <w:tabs>
          <w:tab w:val="left" w:pos="312"/>
        </w:tabs>
        <w:spacing w:line="360" w:lineRule="auto"/>
        <w:ind w:left="0" w:firstLine="480"/>
        <w:rPr>
          <w:rFonts w:ascii="宋体" w:hAnsi="宋体" w:eastAsia="宋体"/>
          <w:sz w:val="24"/>
          <w:szCs w:val="24"/>
        </w:rPr>
      </w:pPr>
      <w:r>
        <w:rPr>
          <w:rFonts w:ascii="宋体" w:hAnsi="宋体" w:eastAsia="宋体"/>
          <w:sz w:val="24"/>
          <w:szCs w:val="24"/>
        </w:rPr>
        <w:t>2.1.6项目承包方式：包工包料，不得分包与转包。</w:t>
      </w:r>
    </w:p>
    <w:p w14:paraId="73BA353C">
      <w:pPr>
        <w:pStyle w:val="22"/>
        <w:tabs>
          <w:tab w:val="left" w:pos="312"/>
        </w:tabs>
        <w:spacing w:line="360" w:lineRule="auto"/>
        <w:ind w:left="0" w:firstLine="480"/>
        <w:rPr>
          <w:rFonts w:ascii="宋体" w:hAnsi="宋体" w:eastAsia="宋体"/>
          <w:b/>
          <w:bCs/>
          <w:sz w:val="24"/>
          <w:szCs w:val="24"/>
        </w:rPr>
      </w:pPr>
      <w:r>
        <w:rPr>
          <w:rFonts w:ascii="宋体" w:hAnsi="宋体" w:eastAsia="宋体"/>
          <w:b/>
          <w:bCs/>
          <w:sz w:val="24"/>
          <w:szCs w:val="24"/>
        </w:rPr>
        <w:t>2.1.7质量</w:t>
      </w:r>
      <w:r>
        <w:rPr>
          <w:rFonts w:ascii="宋体" w:hAnsi="宋体" w:eastAsia="宋体"/>
          <w:b/>
          <w:bCs/>
          <w:sz w:val="24"/>
          <w:szCs w:val="24"/>
          <w:highlight w:val="none"/>
        </w:rPr>
        <w:t>保修期限：</w:t>
      </w:r>
      <w:r>
        <w:rPr>
          <w:rFonts w:hint="eastAsia" w:ascii="宋体" w:hAnsi="宋体" w:eastAsia="宋体"/>
          <w:b/>
          <w:bCs/>
          <w:sz w:val="24"/>
          <w:szCs w:val="24"/>
          <w:highlight w:val="none"/>
          <w:lang w:val="en-US" w:eastAsia="zh-CN"/>
        </w:rPr>
        <w:t>24个月</w:t>
      </w:r>
      <w:r>
        <w:rPr>
          <w:rFonts w:ascii="宋体" w:hAnsi="宋体" w:eastAsia="宋体"/>
          <w:b/>
          <w:bCs/>
          <w:sz w:val="24"/>
          <w:szCs w:val="24"/>
        </w:rPr>
        <w:t>。</w:t>
      </w:r>
    </w:p>
    <w:p w14:paraId="2813DAB9">
      <w:pPr>
        <w:pStyle w:val="22"/>
        <w:tabs>
          <w:tab w:val="left" w:pos="312"/>
        </w:tabs>
        <w:spacing w:line="360" w:lineRule="auto"/>
        <w:ind w:left="0" w:firstLine="480"/>
        <w:rPr>
          <w:rFonts w:ascii="宋体" w:hAnsi="宋体" w:eastAsia="宋体"/>
          <w:sz w:val="24"/>
          <w:szCs w:val="24"/>
        </w:rPr>
      </w:pPr>
      <w:r>
        <w:rPr>
          <w:rFonts w:ascii="宋体" w:hAnsi="宋体" w:eastAsia="宋体"/>
          <w:sz w:val="24"/>
          <w:szCs w:val="24"/>
        </w:rPr>
        <w:t>2.1.</w:t>
      </w:r>
      <w:r>
        <w:rPr>
          <w:rFonts w:hint="eastAsia" w:ascii="宋体" w:hAnsi="宋体" w:eastAsia="宋体"/>
          <w:sz w:val="24"/>
          <w:szCs w:val="24"/>
          <w:lang w:val="en-US" w:eastAsia="zh-CN"/>
        </w:rPr>
        <w:t>8</w:t>
      </w:r>
      <w:r>
        <w:rPr>
          <w:rFonts w:ascii="宋体" w:hAnsi="宋体" w:eastAsia="宋体"/>
          <w:sz w:val="24"/>
          <w:szCs w:val="24"/>
        </w:rPr>
        <w:t xml:space="preserve"> 其他: 本工程共分一个标段。</w:t>
      </w:r>
    </w:p>
    <w:p w14:paraId="55F0323D">
      <w:pPr>
        <w:pStyle w:val="22"/>
        <w:tabs>
          <w:tab w:val="left" w:pos="312"/>
        </w:tabs>
        <w:spacing w:line="360" w:lineRule="auto"/>
        <w:ind w:left="0" w:firstLine="480"/>
        <w:rPr>
          <w:rFonts w:ascii="宋体" w:hAnsi="宋体" w:eastAsia="宋体"/>
          <w:sz w:val="24"/>
          <w:szCs w:val="24"/>
        </w:rPr>
      </w:pPr>
      <w:r>
        <w:rPr>
          <w:rFonts w:ascii="宋体" w:hAnsi="宋体" w:eastAsia="宋体"/>
          <w:sz w:val="24"/>
          <w:szCs w:val="24"/>
        </w:rPr>
        <w:t>2.2技术标准和要求：符合现行国家技术、施工及验收规范规程，对施工工艺的特殊要求，按国家有关规定执行。</w:t>
      </w:r>
    </w:p>
    <w:p w14:paraId="7B5D4B8C">
      <w:pPr>
        <w:pStyle w:val="22"/>
        <w:numPr>
          <w:ilvl w:val="0"/>
          <w:numId w:val="1"/>
        </w:numPr>
        <w:spacing w:line="360" w:lineRule="auto"/>
        <w:ind w:firstLine="482"/>
        <w:rPr>
          <w:rFonts w:ascii="宋体" w:hAnsi="宋体" w:eastAsia="宋体"/>
          <w:b/>
          <w:bCs/>
          <w:sz w:val="24"/>
          <w:szCs w:val="24"/>
        </w:rPr>
      </w:pPr>
      <w:r>
        <w:rPr>
          <w:rFonts w:ascii="宋体" w:hAnsi="宋体" w:eastAsia="宋体"/>
          <w:b/>
          <w:bCs/>
          <w:sz w:val="24"/>
          <w:szCs w:val="24"/>
        </w:rPr>
        <w:t>报价要求：</w:t>
      </w:r>
    </w:p>
    <w:p w14:paraId="6DEB918E">
      <w:pPr>
        <w:pStyle w:val="22"/>
        <w:tabs>
          <w:tab w:val="left" w:pos="312"/>
        </w:tabs>
        <w:spacing w:line="360" w:lineRule="auto"/>
        <w:ind w:left="0" w:firstLine="480"/>
        <w:rPr>
          <w:rFonts w:ascii="宋体" w:hAnsi="宋体" w:eastAsia="宋体"/>
          <w:sz w:val="24"/>
          <w:szCs w:val="24"/>
          <w:highlight w:val="none"/>
        </w:rPr>
      </w:pPr>
      <w:r>
        <w:rPr>
          <w:rFonts w:ascii="宋体" w:hAnsi="宋体" w:eastAsia="宋体"/>
          <w:sz w:val="24"/>
          <w:szCs w:val="24"/>
          <w:highlight w:val="none"/>
        </w:rPr>
        <w:t xml:space="preserve">1、报价内容 </w:t>
      </w:r>
    </w:p>
    <w:p w14:paraId="5E561383">
      <w:pPr>
        <w:widowControl w:val="0"/>
        <w:spacing w:line="360" w:lineRule="auto"/>
        <w:ind w:firstLine="422"/>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(一) 工程量清单以及图纸详见本项目磋商文件附件（后附）</w:t>
      </w:r>
    </w:p>
    <w:p w14:paraId="2F2B549C">
      <w:pPr>
        <w:widowControl w:val="0"/>
        <w:spacing w:line="360" w:lineRule="auto"/>
        <w:ind w:firstLine="422"/>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(二) 《已标价的工程量清单》报价要求</w:t>
      </w:r>
    </w:p>
    <w:p w14:paraId="7DECBE67">
      <w:pPr>
        <w:widowControl w:val="0"/>
        <w:spacing w:line="360" w:lineRule="auto"/>
        <w:ind w:firstLine="422"/>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1、报价内容</w:t>
      </w:r>
    </w:p>
    <w:p w14:paraId="3380CEF8">
      <w:pPr>
        <w:keepNext w:val="0"/>
        <w:keepLines w:val="0"/>
        <w:pageBreakBefore w:val="0"/>
        <w:widowControl w:val="0"/>
        <w:kinsoku/>
        <w:wordWrap/>
        <w:overflowPunct/>
        <w:topLinePunct w:val="0"/>
        <w:autoSpaceDE/>
        <w:autoSpaceDN/>
        <w:bidi w:val="0"/>
        <w:adjustRightInd w:val="0"/>
        <w:snapToGrid w:val="0"/>
        <w:spacing w:line="440" w:lineRule="exact"/>
        <w:ind w:firstLine="48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 响应报价应包括磋商文件中所确定的范围内工程量清单以及施工图中所含的全部内容，以及为完成上述内容所需的全部费用。</w:t>
      </w:r>
    </w:p>
    <w:p w14:paraId="45C81E4D">
      <w:pPr>
        <w:keepNext w:val="0"/>
        <w:keepLines w:val="0"/>
        <w:pageBreakBefore w:val="0"/>
        <w:widowControl w:val="0"/>
        <w:kinsoku/>
        <w:wordWrap/>
        <w:overflowPunct/>
        <w:topLinePunct w:val="0"/>
        <w:autoSpaceDE/>
        <w:autoSpaceDN/>
        <w:bidi w:val="0"/>
        <w:adjustRightInd w:val="0"/>
        <w:snapToGrid w:val="0"/>
        <w:spacing w:line="440" w:lineRule="exact"/>
        <w:ind w:firstLine="48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注：供应商必须按采购人提供的工程量清单进行报价，否则视为对竞争性磋商文件商务条款的实质性偏离。供应商不得修改工程量清单中的分布分项内容及数量，否则视为不响应磋商文件。</w:t>
      </w:r>
    </w:p>
    <w:p w14:paraId="75B115BF">
      <w:pPr>
        <w:keepNext w:val="0"/>
        <w:keepLines w:val="0"/>
        <w:pageBreakBefore w:val="0"/>
        <w:widowControl w:val="0"/>
        <w:kinsoku/>
        <w:wordWrap/>
        <w:overflowPunct/>
        <w:topLinePunct w:val="0"/>
        <w:autoSpaceDE/>
        <w:autoSpaceDN/>
        <w:bidi w:val="0"/>
        <w:adjustRightInd w:val="0"/>
        <w:snapToGrid w:val="0"/>
        <w:spacing w:line="440" w:lineRule="exact"/>
        <w:ind w:firstLine="48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1.2供应商应按采购人提供的工程量清单填报价格。填写的项目名称、项目特征、计量单位、工程量必须与采购人提供的一致。</w:t>
      </w:r>
    </w:p>
    <w:p w14:paraId="7A7B844C">
      <w:pPr>
        <w:keepNext w:val="0"/>
        <w:keepLines w:val="0"/>
        <w:pageBreakBefore w:val="0"/>
        <w:widowControl w:val="0"/>
        <w:kinsoku/>
        <w:wordWrap/>
        <w:overflowPunct/>
        <w:topLinePunct w:val="0"/>
        <w:autoSpaceDE/>
        <w:autoSpaceDN/>
        <w:bidi w:val="0"/>
        <w:adjustRightInd w:val="0"/>
        <w:snapToGrid w:val="0"/>
        <w:spacing w:line="440" w:lineRule="exact"/>
        <w:ind w:firstLine="48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1.3供应商应按采购人提供的工程量计算工程项目的单价和合价。工程量清单中的每一单项均需计算填写单价和合价，供应商没有填写单价和合价的项目将被认为此项费用已包括在工程量清单的其他单价和合价中。</w:t>
      </w:r>
    </w:p>
    <w:p w14:paraId="498BAB8D">
      <w:pPr>
        <w:keepNext w:val="0"/>
        <w:keepLines w:val="0"/>
        <w:pageBreakBefore w:val="0"/>
        <w:widowControl w:val="0"/>
        <w:kinsoku/>
        <w:wordWrap/>
        <w:overflowPunct/>
        <w:topLinePunct w:val="0"/>
        <w:autoSpaceDE/>
        <w:autoSpaceDN/>
        <w:bidi w:val="0"/>
        <w:adjustRightInd w:val="0"/>
        <w:snapToGrid w:val="0"/>
        <w:spacing w:line="440" w:lineRule="exact"/>
        <w:ind w:firstLine="48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1.4响应的供应商必须按统一的工程量清单报价，成交后，在施工过程中，不论由于工程量清单有误或漏项，还是由于设计变更、现场变更、签证引起的工程量清单项目或清单项目工程数量的增减，均按实调整。</w:t>
      </w:r>
    </w:p>
    <w:p w14:paraId="3C1A6322">
      <w:pPr>
        <w:keepNext w:val="0"/>
        <w:keepLines w:val="0"/>
        <w:pageBreakBefore w:val="0"/>
        <w:widowControl w:val="0"/>
        <w:kinsoku/>
        <w:wordWrap/>
        <w:overflowPunct/>
        <w:topLinePunct w:val="0"/>
        <w:autoSpaceDE/>
        <w:autoSpaceDN/>
        <w:bidi w:val="0"/>
        <w:adjustRightInd w:val="0"/>
        <w:snapToGrid w:val="0"/>
        <w:spacing w:line="440" w:lineRule="exact"/>
        <w:ind w:firstLine="48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1.5技术参数、项目实施方案所描述的技术措施所发生的费用，视为已体现在供应商报价的非实体性消耗所发生的费用中。</w:t>
      </w:r>
    </w:p>
    <w:p w14:paraId="78A1721D">
      <w:pPr>
        <w:keepNext w:val="0"/>
        <w:keepLines w:val="0"/>
        <w:pageBreakBefore w:val="0"/>
        <w:widowControl w:val="0"/>
        <w:kinsoku/>
        <w:wordWrap/>
        <w:overflowPunct/>
        <w:topLinePunct w:val="0"/>
        <w:autoSpaceDE/>
        <w:autoSpaceDN/>
        <w:bidi w:val="0"/>
        <w:adjustRightInd w:val="0"/>
        <w:snapToGrid w:val="0"/>
        <w:spacing w:line="440" w:lineRule="exact"/>
        <w:ind w:firstLine="48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1.6供应商自行勘察，了解周边原有建筑、设施，事先视察工地，充分了解工程位置、邻近建筑物、工地情况，通路、储存空间、起卸限制、及任何其它足以影响报价之情况，供应商须按接收工地日的现况，接收工地及自费清理任何遗留在工地上之废物，施工过程中因工地特殊情况而引起二次搬运、安全防护等。供应商在响应报价时应考虑这样因素，并在响应报价中予以考虑，采购人不接受供应商关于此类费用的任何诉讼或索赔。</w:t>
      </w:r>
    </w:p>
    <w:p w14:paraId="3EBF4862">
      <w:pPr>
        <w:widowControl w:val="0"/>
        <w:spacing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1.7安全文明施工是供应商的责任，采购人不接受任何由于供应商施工而导致的扰民或民扰引起的诉讼或索赔。供应商应在其响应报价时充分考虑因扰民与民扰而造成的工期影响与费用增加，在报价予以考虑，采购人不接受任何由于供应商考虑不周为由而提出的任何索赔。</w:t>
      </w:r>
    </w:p>
    <w:p w14:paraId="1F5F3C99">
      <w:pPr>
        <w:widowControl w:val="0"/>
        <w:spacing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1.8由供应商负责办理相关建设、城管、市政、安全、环保等部门的手续，施工供应商在响应报价时应考虑这样因素，费用包含在报价中，采购人不接受供应商关于此类费用的任何诉讼或索赔。</w:t>
      </w:r>
    </w:p>
    <w:p w14:paraId="6ACF524F">
      <w:pPr>
        <w:widowControl w:val="0"/>
        <w:spacing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1.9垃圾外运，在报价中综合考虑。</w:t>
      </w:r>
    </w:p>
    <w:p w14:paraId="07B4A400">
      <w:pPr>
        <w:widowControl w:val="0"/>
        <w:spacing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1.10辅助工程部分：综合单价中应包括招标人提供的施工图所含内容，以及工程量清单报价中的价格，应包括完成清单项目的人工费、材料费、机械费、管理费及利润等费用。政策性文件规定及施工进程中包含的所有风险、责任等各项应有费用，并含相应的平整场地、地基处理调整等图纸及建设方要求的工程施工全部内容的全部费用。</w:t>
      </w:r>
    </w:p>
    <w:p w14:paraId="30400AD1">
      <w:pPr>
        <w:widowControl w:val="0"/>
        <w:spacing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1.11地方关系协调费供应商自行考虑，就此项招标人不支付任何费用。</w:t>
      </w:r>
    </w:p>
    <w:p w14:paraId="2A242A06">
      <w:pPr>
        <w:widowControl w:val="0"/>
        <w:spacing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1.12施工时需做好防护措施保证周边安全，因中标人保障不利对招标人或第三方造成损失的，赔偿责任全部由中标人承担，若因此会增加费用，控制价不计取，供应商自行考虑在报价中，结算时不予调整。</w:t>
      </w:r>
    </w:p>
    <w:p w14:paraId="2772135F">
      <w:pPr>
        <w:widowControl w:val="0"/>
        <w:spacing w:line="360" w:lineRule="auto"/>
        <w:ind w:firstLine="482"/>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2、报价方式</w:t>
      </w:r>
    </w:p>
    <w:p w14:paraId="42F3EA72">
      <w:pPr>
        <w:widowControl w:val="0"/>
        <w:spacing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2.1</w:t>
      </w:r>
      <w:r>
        <w:rPr>
          <w:rFonts w:hint="eastAsia" w:ascii="宋体" w:hAnsi="宋体" w:cs="宋体"/>
          <w:color w:val="auto"/>
          <w:sz w:val="24"/>
          <w:szCs w:val="24"/>
          <w:highlight w:val="none"/>
          <w:lang w:val="en-US" w:eastAsia="zh-CN" w:bidi="ar-SA"/>
        </w:rPr>
        <w:t xml:space="preserve"> 报价方</w:t>
      </w:r>
      <w:r>
        <w:rPr>
          <w:rFonts w:hint="eastAsia" w:ascii="宋体" w:hAnsi="宋体" w:cs="宋体"/>
          <w:b w:val="0"/>
          <w:bCs w:val="0"/>
          <w:color w:val="auto"/>
          <w:sz w:val="24"/>
          <w:szCs w:val="24"/>
          <w:highlight w:val="none"/>
          <w:lang w:val="en-US" w:eastAsia="zh-CN" w:bidi="ar-SA"/>
        </w:rPr>
        <w:t>式为</w:t>
      </w:r>
      <w:r>
        <w:rPr>
          <w:rFonts w:hint="eastAsia" w:ascii="宋体" w:hAnsi="宋体" w:eastAsia="宋体" w:cs="宋体"/>
          <w:b w:val="0"/>
          <w:bCs w:val="0"/>
          <w:color w:val="auto"/>
          <w:sz w:val="24"/>
          <w:szCs w:val="24"/>
          <w:highlight w:val="none"/>
          <w:lang w:val="en-US" w:eastAsia="zh-CN" w:bidi="ar-SA"/>
        </w:rPr>
        <w:t>总价（磋商报价表中填报总价，工程量清单中填报综合单价）</w:t>
      </w:r>
      <w:r>
        <w:rPr>
          <w:rFonts w:hint="eastAsia" w:ascii="宋体" w:hAnsi="宋体" w:eastAsia="宋体" w:cs="宋体"/>
          <w:color w:val="auto"/>
          <w:sz w:val="24"/>
          <w:szCs w:val="24"/>
          <w:highlight w:val="none"/>
          <w:lang w:val="en-US" w:eastAsia="zh-CN" w:bidi="ar-SA"/>
        </w:rPr>
        <w:t>。供应商应充分考虑施工期间各类建材的市场风险，并计入总报价，供应商在计算报价时应考虑一定的风险系数。</w:t>
      </w:r>
    </w:p>
    <w:p w14:paraId="0146634D">
      <w:pPr>
        <w:widowControl w:val="0"/>
        <w:spacing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2.2材料风险约定：</w:t>
      </w:r>
    </w:p>
    <w:p w14:paraId="7BAD0860">
      <w:pPr>
        <w:widowControl w:val="0"/>
        <w:spacing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2.2.1对于法律、法规、规章或有关政策出台导致工程税金、规费等发生变化的，应按照有关规定执行。</w:t>
      </w:r>
    </w:p>
    <w:p w14:paraId="15A2271F">
      <w:pPr>
        <w:widowControl w:val="0"/>
        <w:spacing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2.2.2本工程对材料风险约定如下：供应商应充分考虑施工期间各类建材的市场风险，充分考虑政策性关于人工、机械费用等方面调整，并计入总报价，供应商所填写的单价在合同实施期间不因市场变化因素而变动，结算不再调整。</w:t>
      </w:r>
    </w:p>
    <w:p w14:paraId="1A299A20">
      <w:pPr>
        <w:widowControl w:val="0"/>
        <w:spacing w:line="360" w:lineRule="auto"/>
        <w:ind w:firstLine="482"/>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3、报价的计价方法</w:t>
      </w:r>
    </w:p>
    <w:p w14:paraId="1C70E8B0">
      <w:pPr>
        <w:widowControl w:val="0"/>
        <w:spacing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本工程项目采用工程量清单计价。供应商应根据采购人提供的工程量清单计算工程项目的单价、合价。工程量清单中每一个子目和单项均需计算填写单价、合价。若供应商没有填写单价、合价的项目采购人将不予支付，并认为此项费用已包括在工程量清单的其它单价、合价中。</w:t>
      </w:r>
    </w:p>
    <w:p w14:paraId="7667C213">
      <w:pPr>
        <w:widowControl w:val="0"/>
        <w:spacing w:line="360" w:lineRule="auto"/>
        <w:ind w:firstLine="482"/>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4、报价编制依据及要求：详见工程量清单。</w:t>
      </w:r>
    </w:p>
    <w:p w14:paraId="76CF0E7F">
      <w:pPr>
        <w:widowControl w:val="0"/>
        <w:spacing w:line="360" w:lineRule="auto"/>
        <w:ind w:firstLine="482"/>
        <w:jc w:val="both"/>
        <w:outlineLvl w:val="1"/>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五、低于成本报价：</w:t>
      </w:r>
    </w:p>
    <w:p w14:paraId="4200A43C">
      <w:pPr>
        <w:widowControl w:val="0"/>
        <w:spacing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专家小组认为供应商的报价明显低于其他通过符合性审查供应商的报价，有可能影响工程质量或者不能诚信履约的，磋商专家小组通过“苏采云”“系统中的视频会议”要求供应商人作出必要的说明，并规定回复时间。供应商说明应当采用通过“苏采云”“系统中的视频会议”系统（扫描件，加盖签章）形式回复。供应商不能证明其报价合理性的，磋商专家小组会应当将其作为不响应磋商文件作无效处理。</w:t>
      </w:r>
    </w:p>
    <w:p w14:paraId="3EB80F0A">
      <w:pPr>
        <w:widowControl w:val="0"/>
        <w:spacing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评标委员会全体成员三分之二以上认为该供应商不能合理说明或者不能提供相关证明材料的，认定该供应商以低于成本报价，其响应文件应作无效响应文件处理。持有异议的评标委员会成员可以书面方式阐述其不同意见和理由，拒绝签字且不陈述其不同意见和理由的，视为同意。</w:t>
      </w:r>
    </w:p>
    <w:p w14:paraId="51770CAB">
      <w:pPr>
        <w:widowControl w:val="0"/>
        <w:pBdr>
          <w:top w:val="none" w:color="000000" w:sz="0" w:space="0"/>
          <w:left w:val="none" w:color="000000" w:sz="0" w:space="0"/>
          <w:bottom w:val="none" w:color="000000" w:sz="0" w:space="0"/>
          <w:right w:val="none" w:color="000000" w:sz="0" w:space="0"/>
        </w:pBdr>
        <w:spacing w:line="360" w:lineRule="auto"/>
        <w:ind w:firstLine="482"/>
        <w:jc w:val="both"/>
        <w:rPr>
          <w:rFonts w:hint="eastAsia" w:ascii="宋体" w:hAnsi="宋体" w:eastAsia="宋体" w:cs="宋体"/>
          <w:color w:val="auto"/>
          <w:sz w:val="21"/>
          <w:szCs w:val="24"/>
          <w:highlight w:val="none"/>
          <w:lang w:val="en-US" w:eastAsia="zh-CN" w:bidi="ar-SA"/>
        </w:rPr>
      </w:pPr>
      <w:r>
        <w:rPr>
          <w:rFonts w:hint="eastAsia" w:ascii="宋体" w:hAnsi="宋体" w:eastAsia="宋体" w:cs="宋体"/>
          <w:b/>
          <w:color w:val="auto"/>
          <w:sz w:val="24"/>
          <w:szCs w:val="24"/>
          <w:highlight w:val="none"/>
          <w:lang w:val="en-US" w:eastAsia="zh-CN" w:bidi="ar-SA"/>
        </w:rPr>
        <w:t>六、响应文件要求</w:t>
      </w:r>
    </w:p>
    <w:p w14:paraId="4E2BBB9A">
      <w:pPr>
        <w:widowControl w:val="0"/>
        <w:pBdr>
          <w:top w:val="none" w:color="000000" w:sz="0" w:space="0"/>
          <w:left w:val="none" w:color="000000" w:sz="0" w:space="0"/>
          <w:bottom w:val="none" w:color="000000" w:sz="0" w:space="0"/>
          <w:right w:val="none" w:color="000000" w:sz="0" w:space="0"/>
        </w:pBdr>
        <w:spacing w:line="360" w:lineRule="auto"/>
        <w:ind w:firstLine="480"/>
        <w:jc w:val="both"/>
        <w:rPr>
          <w:rFonts w:hint="eastAsia" w:ascii="宋体" w:hAnsi="宋体" w:eastAsia="宋体" w:cs="宋体"/>
          <w:color w:val="auto"/>
          <w:sz w:val="21"/>
          <w:szCs w:val="24"/>
          <w:highlight w:val="none"/>
          <w:lang w:val="en-US" w:eastAsia="zh-CN" w:bidi="ar-SA"/>
        </w:rPr>
      </w:pPr>
      <w:r>
        <w:rPr>
          <w:rFonts w:hint="eastAsia" w:ascii="宋体" w:hAnsi="宋体" w:eastAsia="宋体" w:cs="宋体"/>
          <w:color w:val="auto"/>
          <w:sz w:val="24"/>
          <w:szCs w:val="24"/>
          <w:highlight w:val="none"/>
          <w:lang w:val="en-US" w:eastAsia="zh-CN" w:bidi="ar-SA"/>
        </w:rPr>
        <w:t>1.首次响应文件中提供《已标价的工程量清单》文件。</w:t>
      </w:r>
    </w:p>
    <w:p w14:paraId="1C49B741">
      <w:pPr>
        <w:widowControl w:val="0"/>
        <w:pBdr>
          <w:top w:val="none" w:color="000000" w:sz="0" w:space="0"/>
          <w:left w:val="none" w:color="000000" w:sz="0" w:space="0"/>
          <w:bottom w:val="none" w:color="000000" w:sz="0" w:space="0"/>
          <w:right w:val="none" w:color="000000" w:sz="0" w:space="0"/>
        </w:pBdr>
        <w:spacing w:line="360" w:lineRule="auto"/>
        <w:ind w:firstLine="480"/>
        <w:jc w:val="both"/>
        <w:rPr>
          <w:rFonts w:hint="eastAsia" w:ascii="宋体" w:hAnsi="宋体" w:eastAsia="宋体" w:cs="宋体"/>
          <w:color w:val="auto"/>
          <w:sz w:val="21"/>
          <w:szCs w:val="24"/>
          <w:highlight w:val="none"/>
          <w:lang w:val="en-US" w:eastAsia="zh-CN" w:bidi="ar-SA"/>
        </w:rPr>
      </w:pPr>
      <w:r>
        <w:rPr>
          <w:rFonts w:hint="eastAsia" w:ascii="宋体" w:hAnsi="宋体" w:eastAsia="宋体" w:cs="宋体"/>
          <w:color w:val="auto"/>
          <w:sz w:val="24"/>
          <w:szCs w:val="24"/>
          <w:highlight w:val="none"/>
          <w:lang w:val="en-US" w:eastAsia="zh-CN" w:bidi="ar-SA"/>
        </w:rPr>
        <w:t>2.按照《工程量清单》编制《已标价的工程量清单》。</w:t>
      </w:r>
    </w:p>
    <w:p w14:paraId="76F9FB35">
      <w:pPr>
        <w:widowControl w:val="0"/>
        <w:pBdr>
          <w:top w:val="none" w:color="000000" w:sz="0" w:space="0"/>
          <w:left w:val="none" w:color="000000" w:sz="0" w:space="0"/>
          <w:bottom w:val="none" w:color="000000" w:sz="0" w:space="0"/>
          <w:right w:val="none" w:color="000000" w:sz="0" w:space="0"/>
        </w:pBdr>
        <w:spacing w:line="360" w:lineRule="auto"/>
        <w:ind w:firstLine="482"/>
        <w:jc w:val="both"/>
        <w:rPr>
          <w:rFonts w:hint="eastAsia" w:ascii="宋体" w:hAnsi="宋体" w:eastAsia="宋体" w:cs="宋体"/>
          <w:color w:val="auto"/>
          <w:sz w:val="21"/>
          <w:szCs w:val="24"/>
          <w:highlight w:val="none"/>
          <w:lang w:val="en-US" w:eastAsia="zh-CN" w:bidi="ar-SA"/>
        </w:rPr>
      </w:pPr>
      <w:r>
        <w:rPr>
          <w:rFonts w:hint="eastAsia" w:ascii="宋体" w:hAnsi="宋体" w:eastAsia="宋体" w:cs="宋体"/>
          <w:b/>
          <w:color w:val="auto"/>
          <w:sz w:val="24"/>
          <w:szCs w:val="24"/>
          <w:highlight w:val="none"/>
          <w:lang w:val="en-US" w:eastAsia="zh-CN" w:bidi="ar-SA"/>
        </w:rPr>
        <w:t>供应商必须说明其是否响应采购文件中提出的全部服务内容与要求，如果其中某些条款不响应时，应在文件中逐条列出，未列出的视同响应。</w:t>
      </w:r>
    </w:p>
    <w:p w14:paraId="323EA51B">
      <w:pPr>
        <w:widowControl w:val="0"/>
        <w:pBdr>
          <w:top w:val="none" w:color="000000" w:sz="0" w:space="0"/>
          <w:left w:val="none" w:color="000000" w:sz="0" w:space="0"/>
          <w:bottom w:val="none" w:color="000000" w:sz="0" w:space="0"/>
          <w:right w:val="none" w:color="000000" w:sz="0" w:space="0"/>
        </w:pBdr>
        <w:spacing w:line="360" w:lineRule="auto"/>
        <w:ind w:firstLine="482"/>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七、服务要求</w:t>
      </w:r>
    </w:p>
    <w:p w14:paraId="076B14BB">
      <w:pPr>
        <w:keepNext w:val="0"/>
        <w:keepLines w:val="0"/>
        <w:pageBreakBefore w:val="0"/>
        <w:widowControl w:val="0"/>
        <w:spacing w:after="0" w:line="360" w:lineRule="auto"/>
        <w:ind w:firstLine="480"/>
        <w:jc w:val="both"/>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1、质保及售后服务：整体工程质保期为</w:t>
      </w:r>
      <w:r>
        <w:rPr>
          <w:rFonts w:hint="eastAsia" w:ascii="宋体" w:hAnsi="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bidi="ar-SA"/>
        </w:rPr>
        <w:t xml:space="preserve">年。质保期从本项目验收合格之日起计算。质保期外，工程质量出现问题，成交供应商应主动提供维修方案，只收取材料费。 </w:t>
      </w:r>
    </w:p>
    <w:p w14:paraId="4B7649CD">
      <w:pPr>
        <w:keepNext w:val="0"/>
        <w:keepLines w:val="0"/>
        <w:pageBreakBefore w:val="0"/>
        <w:widowControl w:val="0"/>
        <w:spacing w:after="0"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2、质保期内，如发生故障，采购人通知成交供应商售后服务人员时，相关服务人员要在2小时内到达现场配合采购人处理问题，进行更换或进行必要的维修。 </w:t>
      </w:r>
    </w:p>
    <w:p w14:paraId="38ED706D">
      <w:pPr>
        <w:keepNext w:val="0"/>
        <w:keepLines w:val="0"/>
        <w:pageBreakBefore w:val="0"/>
        <w:widowControl w:val="0"/>
        <w:spacing w:after="0"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3、供应商需根据本项目特征及自身情况编制施工方案。</w:t>
      </w:r>
    </w:p>
    <w:p w14:paraId="53F424B3"/>
    <w:p w14:paraId="495AA16C"/>
    <w:p w14:paraId="0C2B121E"/>
    <w:p w14:paraId="168FFCD4"/>
    <w:p w14:paraId="77CB2590"/>
    <w:p w14:paraId="56B29995"/>
    <w:p w14:paraId="410241E9"/>
    <w:p w14:paraId="25E16361">
      <w:pPr>
        <w:rPr>
          <w:rFonts w:hint="eastAsia"/>
          <w:lang w:val="en-US" w:eastAsia="zh-CN"/>
        </w:rPr>
      </w:pPr>
      <w:r>
        <w:rPr>
          <w:rFonts w:hint="eastAsia"/>
          <w:lang w:val="en-US" w:eastAsia="zh-CN"/>
        </w:rPr>
        <w:t>本项目资格条件要求如下：</w:t>
      </w:r>
    </w:p>
    <w:p w14:paraId="74EB5C82">
      <w:pPr>
        <w:pStyle w:val="5"/>
        <w:numPr>
          <w:ilvl w:val="0"/>
          <w:numId w:val="3"/>
        </w:numPr>
        <w:spacing w:line="360" w:lineRule="auto"/>
        <w:ind w:firstLine="480"/>
        <w:rPr>
          <w:rFonts w:ascii="宋体" w:hAnsi="宋体"/>
          <w:sz w:val="24"/>
          <w:highlight w:val="none"/>
        </w:rPr>
      </w:pPr>
      <w:r>
        <w:rPr>
          <w:rFonts w:ascii="宋体" w:hAnsi="宋体"/>
          <w:sz w:val="24"/>
          <w:highlight w:val="none"/>
        </w:rPr>
        <w:t>符合《中华人民共和国政府采购法》第二十二条规定。</w:t>
      </w:r>
    </w:p>
    <w:p w14:paraId="7B03AF99">
      <w:pPr>
        <w:pStyle w:val="6"/>
        <w:numPr>
          <w:ilvl w:val="0"/>
          <w:numId w:val="0"/>
        </w:numPr>
        <w:ind w:firstLine="720" w:firstLineChars="300"/>
        <w:rPr>
          <w:rFonts w:hint="eastAsia" w:ascii="宋体" w:hAnsi="宋体" w:eastAsia="宋体" w:cs="Times New Roman"/>
          <w:sz w:val="24"/>
          <w:szCs w:val="24"/>
          <w:highlight w:val="none"/>
          <w:lang w:val="en-US" w:eastAsia="zh-CN" w:bidi="ar-SA"/>
        </w:rPr>
      </w:pPr>
      <w:r>
        <w:rPr>
          <w:rFonts w:hint="eastAsia" w:ascii="宋体" w:hAnsi="宋体" w:eastAsia="宋体" w:cs="Times New Roman"/>
          <w:sz w:val="24"/>
          <w:szCs w:val="24"/>
          <w:highlight w:val="none"/>
          <w:lang w:val="en-US" w:eastAsia="zh-CN" w:bidi="ar-SA"/>
        </w:rPr>
        <w:t>1.投标人合法有效的法人或者其他组织的营业执照等证明文件，自然人的身份证明，以上证明文件提供原件的复印件</w:t>
      </w:r>
    </w:p>
    <w:p w14:paraId="49B4EFE7">
      <w:pPr>
        <w:pStyle w:val="6"/>
        <w:numPr>
          <w:ilvl w:val="0"/>
          <w:numId w:val="0"/>
        </w:numPr>
        <w:ind w:firstLine="720" w:firstLineChars="300"/>
        <w:rPr>
          <w:rFonts w:hint="eastAsia" w:ascii="宋体" w:hAnsi="宋体" w:eastAsia="宋体" w:cs="Times New Roman"/>
          <w:sz w:val="24"/>
          <w:szCs w:val="24"/>
          <w:highlight w:val="none"/>
          <w:lang w:val="en-US" w:eastAsia="zh-CN" w:bidi="ar-SA"/>
        </w:rPr>
      </w:pPr>
      <w:r>
        <w:rPr>
          <w:rFonts w:hint="eastAsia" w:ascii="宋体" w:hAnsi="宋体" w:eastAsia="宋体" w:cs="Times New Roman"/>
          <w:sz w:val="24"/>
          <w:szCs w:val="24"/>
          <w:highlight w:val="none"/>
          <w:lang w:val="en-US" w:eastAsia="zh-CN" w:bidi="ar-SA"/>
        </w:rPr>
        <w:t>2.财务状况报告，至少提供：（1）供应商的“首次响应文件提交的截止时间”前6个月内任何1月（不含“首次响应文件提交的截止时间”当月）的资产负债表和利润表月报表的扫描件1份；或提供2024年度财务报告（2024年度，应包括审计报告正文、资产负债表、现金流量表、利润表）。</w:t>
      </w:r>
    </w:p>
    <w:p w14:paraId="7F1D3791">
      <w:pPr>
        <w:pStyle w:val="6"/>
        <w:numPr>
          <w:ilvl w:val="0"/>
          <w:numId w:val="0"/>
        </w:numPr>
        <w:ind w:firstLine="720" w:firstLineChars="300"/>
        <w:rPr>
          <w:rFonts w:hint="default" w:ascii="宋体" w:hAnsi="宋体" w:eastAsia="宋体" w:cs="Times New Roman"/>
          <w:sz w:val="24"/>
          <w:szCs w:val="24"/>
          <w:highlight w:val="none"/>
          <w:lang w:val="en-US" w:eastAsia="zh-CN" w:bidi="ar-SA"/>
        </w:rPr>
      </w:pPr>
      <w:r>
        <w:rPr>
          <w:rFonts w:hint="eastAsia" w:ascii="宋体" w:hAnsi="宋体" w:eastAsia="宋体" w:cs="Times New Roman"/>
          <w:sz w:val="24"/>
          <w:szCs w:val="24"/>
          <w:highlight w:val="none"/>
          <w:lang w:val="en-US" w:eastAsia="zh-CN" w:bidi="ar-SA"/>
        </w:rPr>
        <w:t>3.供应商的“首次响应文件提交的截止时间”前6个月内任何1月的依法缴纳税收和社会保障资金的相关材料的扫描件（依法免税或不需要缴纳社会保障资金的供应商,应提供相应文件证明其依法免税或不需要缴纳社会保障资金)。</w:t>
      </w:r>
    </w:p>
    <w:p w14:paraId="1EA86E2E">
      <w:pPr>
        <w:pStyle w:val="5"/>
        <w:spacing w:line="360" w:lineRule="auto"/>
        <w:ind w:firstLine="480"/>
        <w:rPr>
          <w:rFonts w:ascii="宋体" w:hAnsi="宋体"/>
          <w:sz w:val="24"/>
          <w:highlight w:val="none"/>
        </w:rPr>
      </w:pPr>
      <w:r>
        <w:rPr>
          <w:rFonts w:ascii="宋体" w:hAnsi="宋体"/>
          <w:sz w:val="24"/>
          <w:highlight w:val="none"/>
        </w:rPr>
        <w:t>2.落实政府采购政策需满足的资格要求：此项目属于专门面向中小微企业采购的项目,供应商应为中小微企业、残疾人福利性单位。</w:t>
      </w:r>
    </w:p>
    <w:p w14:paraId="14A7685F">
      <w:pPr>
        <w:pStyle w:val="5"/>
        <w:spacing w:line="360" w:lineRule="auto"/>
        <w:ind w:firstLine="480"/>
        <w:rPr>
          <w:rFonts w:ascii="宋体" w:hAnsi="宋体"/>
          <w:b/>
          <w:bCs/>
          <w:sz w:val="24"/>
          <w:highlight w:val="none"/>
        </w:rPr>
      </w:pPr>
      <w:r>
        <w:rPr>
          <w:rFonts w:ascii="宋体" w:hAnsi="宋体"/>
          <w:b/>
          <w:bCs/>
          <w:sz w:val="24"/>
          <w:highlight w:val="none"/>
        </w:rPr>
        <w:t>3.本项目的特定资格要求：</w:t>
      </w:r>
    </w:p>
    <w:p w14:paraId="5CBDAD53">
      <w:pPr>
        <w:keepNext w:val="0"/>
        <w:keepLines w:val="0"/>
        <w:pageBreakBefore w:val="0"/>
        <w:widowControl/>
        <w:spacing w:line="360" w:lineRule="auto"/>
        <w:ind w:right="26" w:firstLine="361"/>
        <w:jc w:val="left"/>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(1)具有公路工程施工总承包三级及以上资质，并在有效期内；</w:t>
      </w:r>
    </w:p>
    <w:p w14:paraId="4A108C4F">
      <w:pPr>
        <w:keepNext w:val="0"/>
        <w:keepLines w:val="0"/>
        <w:pageBreakBefore w:val="0"/>
        <w:widowControl/>
        <w:spacing w:line="360" w:lineRule="auto"/>
        <w:ind w:right="26" w:firstLine="241" w:firstLineChars="100"/>
        <w:jc w:val="left"/>
        <w:rPr>
          <w:rFonts w:hint="eastAsia" w:ascii="宋体" w:hAnsi="宋体" w:cs="宋体"/>
          <w:b/>
          <w:bCs/>
          <w:color w:val="FF0000"/>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）项目经理具有公路工程专业二级注册建造师及以上资质，持有省级</w:t>
      </w:r>
      <w:r>
        <w:rPr>
          <w:rFonts w:hint="eastAsia" w:ascii="宋体" w:hAnsi="宋体" w:cs="宋体"/>
          <w:b/>
          <w:bCs/>
          <w:color w:val="auto"/>
          <w:sz w:val="24"/>
          <w:highlight w:val="none"/>
          <w:lang w:val="en-US" w:eastAsia="zh-CN"/>
        </w:rPr>
        <w:t>及以上</w:t>
      </w:r>
      <w:r>
        <w:rPr>
          <w:rFonts w:hint="eastAsia" w:ascii="宋体" w:hAnsi="宋体" w:cs="宋体"/>
          <w:b/>
          <w:bCs/>
          <w:color w:val="auto"/>
          <w:sz w:val="24"/>
          <w:highlight w:val="none"/>
        </w:rPr>
        <w:t>交通运输主管部门核发的有效的《公路水运工程施工主要负责人和安全生产管理人员安全生产考核合格证书》(B类</w:t>
      </w:r>
      <w:r>
        <w:rPr>
          <w:rFonts w:hint="eastAsia" w:ascii="宋体" w:hAnsi="宋体" w:cs="宋体"/>
          <w:b/>
          <w:bCs/>
          <w:color w:val="auto"/>
          <w:sz w:val="24"/>
          <w:highlight w:val="none"/>
          <w:lang w:eastAsia="zh-CN"/>
        </w:rPr>
        <w:t>）或《公路水运工程施工单位主要负责人、项目负责人和专职安全生产管理人员安全生产考核合格证书》(B类）</w:t>
      </w:r>
      <w:r>
        <w:rPr>
          <w:rFonts w:hint="eastAsia" w:ascii="宋体" w:hAnsi="宋体" w:cs="宋体"/>
          <w:b/>
          <w:bCs/>
          <w:color w:val="auto"/>
          <w:sz w:val="24"/>
          <w:highlight w:val="none"/>
        </w:rPr>
        <w:t>，拟投入的项目经理无其他在建项目</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（提供无在建承诺书，格式自拟）</w:t>
      </w:r>
      <w:r>
        <w:rPr>
          <w:rFonts w:hint="eastAsia" w:ascii="宋体" w:hAnsi="宋体" w:eastAsia="宋体" w:cs="宋体"/>
          <w:b/>
          <w:bCs/>
          <w:color w:val="auto"/>
          <w:sz w:val="24"/>
          <w:highlight w:val="none"/>
        </w:rPr>
        <w:t>。</w:t>
      </w:r>
    </w:p>
    <w:p w14:paraId="1D836EF2">
      <w:pPr>
        <w:keepNext w:val="0"/>
        <w:keepLines w:val="0"/>
        <w:pageBreakBefore w:val="0"/>
        <w:widowControl/>
        <w:spacing w:line="360" w:lineRule="auto"/>
        <w:ind w:right="26" w:firstLine="361"/>
        <w:jc w:val="left"/>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eastAsia="zh-CN"/>
        </w:rPr>
        <w:t>）项目总工必须具有公路工程相关专业中级及以上技术职称，持有省级交通运输主管部门核发的有效的《公路水运工程施工主要负责人和安全生产管理人员安全生产考核合格证书》(B类)；拟投入的项目总工无其他在建项目。</w:t>
      </w:r>
    </w:p>
    <w:p w14:paraId="3D4134FA">
      <w:pPr>
        <w:pStyle w:val="29"/>
        <w:ind w:left="0" w:leftChars="0" w:firstLine="241" w:firstLineChars="100"/>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lang w:eastAsia="zh-CN"/>
        </w:rPr>
        <w:t>）具有省级及以上建设行政主管部门核发的《安全生产许可证》，并在有效期内；</w:t>
      </w:r>
    </w:p>
    <w:p w14:paraId="201B5A9F">
      <w:pPr>
        <w:pStyle w:val="29"/>
        <w:spacing w:line="360" w:lineRule="auto"/>
        <w:ind w:left="0" w:leftChars="0" w:firstLine="241" w:firstLineChars="1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(5)拟投入项目负责人、项目总工应为投标人本单位人员，并提供社保系统打印的本单位人员缴费明细或其他能够证明项目负责人在本单位参加社保的有效证明材料。社保缴费时间段应为递交当月的前一个月开始往前6个月任意一个月（不含递交当月的前一个月）。</w:t>
      </w:r>
    </w:p>
    <w:p w14:paraId="14DFE7CD">
      <w:pPr>
        <w:pStyle w:val="29"/>
        <w:spacing w:line="360" w:lineRule="auto"/>
        <w:ind w:left="0" w:leftChars="0" w:firstLine="241" w:firstLineChars="100"/>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注：公路工程相关专业职称包括：公路工程、桥梁工程、公路与桥梁工程、交通土建、隧道 （地下结构）工程、交通工程等专业职称。</w:t>
      </w:r>
    </w:p>
    <w:p w14:paraId="250C4E8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D4DBB"/>
    <w:multiLevelType w:val="singleLevel"/>
    <w:tmpl w:val="95DD4DBB"/>
    <w:lvl w:ilvl="0" w:tentative="0">
      <w:start w:val="1"/>
      <w:numFmt w:val="decimal"/>
      <w:lvlText w:val="%1."/>
      <w:lvlJc w:val="left"/>
      <w:pPr>
        <w:tabs>
          <w:tab w:val="left" w:pos="312"/>
        </w:tabs>
      </w:pPr>
    </w:lvl>
  </w:abstractNum>
  <w:abstractNum w:abstractNumId="1">
    <w:nsid w:val="0E640482"/>
    <w:multiLevelType w:val="multilevel"/>
    <w:tmpl w:val="0E640482"/>
    <w:lvl w:ilvl="0" w:tentative="0">
      <w:start w:val="1"/>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60382F6E"/>
    <w:multiLevelType w:val="multilevel"/>
    <w:tmpl w:val="60382F6E"/>
    <w:lvl w:ilvl="0" w:tentative="0">
      <w:start w:val="1"/>
      <w:numFmt w:val="chineseCounting"/>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ODljNTcxZjU1MjUwZmRmYjgyNDJjY2EzZjNjOGMifQ=="/>
  </w:docVars>
  <w:rsids>
    <w:rsidRoot w:val="00000000"/>
    <w:rsid w:val="02730268"/>
    <w:rsid w:val="0D5E5B1F"/>
    <w:rsid w:val="2A397B9F"/>
    <w:rsid w:val="3540228A"/>
    <w:rsid w:val="3B98778D"/>
    <w:rsid w:val="3D6C58AA"/>
    <w:rsid w:val="40B37EF4"/>
    <w:rsid w:val="439D017D"/>
    <w:rsid w:val="43AF569F"/>
    <w:rsid w:val="44376490"/>
    <w:rsid w:val="5C9D604B"/>
    <w:rsid w:val="61204913"/>
    <w:rsid w:val="642162B3"/>
    <w:rsid w:val="666E15A9"/>
    <w:rsid w:val="68CF075D"/>
    <w:rsid w:val="699C6560"/>
    <w:rsid w:val="75461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宋体" w:cs="Times New Roman"/>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111"/>
    <w:next w:val="6"/>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
    <w:name w:val="正文首行缩进1"/>
    <w:basedOn w:val="7"/>
    <w:next w:val="13"/>
    <w:autoRedefine/>
    <w:qFormat/>
    <w:uiPriority w:val="0"/>
    <w:pPr>
      <w:spacing w:line="360" w:lineRule="auto"/>
      <w:ind w:firstLine="200"/>
    </w:pPr>
    <w:rPr>
      <w:rFonts w:ascii="仿宋_GB2312" w:eastAsia="仿宋_GB2312"/>
      <w:sz w:val="30"/>
      <w:szCs w:val="30"/>
      <w:lang w:val="en-US" w:eastAsia="en-US"/>
    </w:rPr>
  </w:style>
  <w:style w:type="paragraph" w:customStyle="1" w:styleId="7">
    <w:name w:val="正文文本11"/>
    <w:basedOn w:val="5"/>
    <w:next w:val="8"/>
    <w:autoRedefine/>
    <w:qFormat/>
    <w:uiPriority w:val="0"/>
    <w:pPr>
      <w:spacing w:after="120"/>
    </w:pPr>
  </w:style>
  <w:style w:type="paragraph" w:customStyle="1" w:styleId="8">
    <w:name w:val="一级条标题"/>
    <w:basedOn w:val="9"/>
    <w:next w:val="10"/>
    <w:autoRedefine/>
    <w:qFormat/>
    <w:uiPriority w:val="0"/>
    <w:pPr>
      <w:tabs>
        <w:tab w:val="left" w:pos="810"/>
        <w:tab w:val="left" w:pos="907"/>
        <w:tab w:val="left" w:pos="1265"/>
      </w:tabs>
      <w:spacing w:before="0" w:after="0"/>
      <w:ind w:left="907" w:hanging="907"/>
      <w:outlineLvl w:val="2"/>
    </w:pPr>
    <w:rPr>
      <w:rFonts w:hAnsi="宋体"/>
      <w:sz w:val="20"/>
      <w:szCs w:val="20"/>
      <w:lang w:val="en-US" w:eastAsia="en-US"/>
    </w:rPr>
  </w:style>
  <w:style w:type="paragraph" w:customStyle="1" w:styleId="9">
    <w:name w:val="章标题"/>
    <w:next w:val="1"/>
    <w:autoRedefine/>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10">
    <w:name w:val="段"/>
    <w:basedOn w:val="11"/>
    <w:next w:val="1"/>
    <w:autoRedefine/>
    <w:qFormat/>
    <w:uiPriority w:val="0"/>
    <w:pPr>
      <w:widowControl/>
      <w:ind w:firstLine="200"/>
    </w:pPr>
    <w:rPr>
      <w:rFonts w:ascii="宋体"/>
      <w:sz w:val="20"/>
      <w:szCs w:val="20"/>
    </w:rPr>
  </w:style>
  <w:style w:type="paragraph" w:customStyle="1" w:styleId="11">
    <w:name w:val="正文1"/>
    <w:basedOn w:val="5"/>
    <w:next w:val="12"/>
    <w:autoRedefine/>
    <w:qFormat/>
    <w:uiPriority w:val="0"/>
    <w:pPr>
      <w:spacing w:line="360" w:lineRule="atLeast"/>
      <w:jc w:val="left"/>
    </w:pPr>
    <w:rPr>
      <w:rFonts w:ascii="宋体"/>
      <w:sz w:val="24"/>
      <w:szCs w:val="20"/>
      <w:lang w:val="en-US" w:eastAsia="en-US"/>
    </w:rPr>
  </w:style>
  <w:style w:type="paragraph" w:customStyle="1" w:styleId="12">
    <w:name w:val="标题 21"/>
    <w:basedOn w:val="5"/>
    <w:next w:val="11"/>
    <w:autoRedefine/>
    <w:qFormat/>
    <w:uiPriority w:val="0"/>
    <w:pPr>
      <w:keepNext/>
      <w:keepLines/>
      <w:spacing w:before="260" w:after="260" w:line="416" w:lineRule="auto"/>
      <w:outlineLvl w:val="1"/>
    </w:pPr>
    <w:rPr>
      <w:rFonts w:ascii="Cambria" w:hAnsi="Cambria"/>
      <w:b/>
      <w:bCs/>
      <w:sz w:val="32"/>
      <w:szCs w:val="32"/>
    </w:rPr>
  </w:style>
  <w:style w:type="paragraph" w:customStyle="1" w:styleId="13">
    <w:name w:val="正文首行缩进 21"/>
    <w:basedOn w:val="14"/>
    <w:next w:val="5"/>
    <w:autoRedefine/>
    <w:qFormat/>
    <w:uiPriority w:val="0"/>
    <w:pPr>
      <w:spacing w:after="0" w:line="360" w:lineRule="auto"/>
      <w:ind w:left="0" w:firstLine="420"/>
    </w:pPr>
    <w:rPr>
      <w:rFonts w:ascii="宋体" w:hAnsi="宋体"/>
      <w:sz w:val="20"/>
      <w:szCs w:val="20"/>
    </w:rPr>
  </w:style>
  <w:style w:type="paragraph" w:customStyle="1" w:styleId="14">
    <w:name w:val="正文文本缩进1"/>
    <w:basedOn w:val="15"/>
    <w:autoRedefine/>
    <w:qFormat/>
    <w:uiPriority w:val="0"/>
    <w:pPr>
      <w:spacing w:after="120"/>
      <w:ind w:left="420"/>
    </w:pPr>
    <w:rPr>
      <w:lang w:val="en-US" w:eastAsia="en-US"/>
    </w:rPr>
  </w:style>
  <w:style w:type="paragraph" w:customStyle="1" w:styleId="15">
    <w:name w:val="正文11"/>
    <w:next w:val="16"/>
    <w:qFormat/>
    <w:uiPriority w:val="0"/>
    <w:pPr>
      <w:jc w:val="both"/>
    </w:pPr>
    <w:rPr>
      <w:rFonts w:hint="default" w:ascii="Times New Roman" w:hAnsi="Times New Roman" w:eastAsia="宋体" w:cs="Times New Roman"/>
      <w:lang w:val="en-US" w:eastAsia="zh-CN" w:bidi="ar-SA"/>
    </w:rPr>
  </w:style>
  <w:style w:type="paragraph" w:customStyle="1" w:styleId="16">
    <w:name w:val="标题 211"/>
    <w:basedOn w:val="17"/>
    <w:next w:val="15"/>
    <w:qFormat/>
    <w:uiPriority w:val="0"/>
    <w:pPr>
      <w:keepNext/>
      <w:keepLines/>
      <w:spacing w:before="260" w:after="260" w:line="416" w:lineRule="auto"/>
      <w:outlineLvl w:val="1"/>
    </w:pPr>
    <w:rPr>
      <w:rFonts w:ascii="Calibri Light" w:hAnsi="Calibri Light"/>
      <w:b/>
      <w:bCs/>
      <w:sz w:val="32"/>
      <w:szCs w:val="32"/>
    </w:rPr>
  </w:style>
  <w:style w:type="paragraph" w:customStyle="1" w:styleId="17">
    <w:name w:val="正文112"/>
    <w:next w:val="1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8">
    <w:name w:val="正文首行缩进11"/>
    <w:basedOn w:val="19"/>
    <w:next w:val="20"/>
    <w:qFormat/>
    <w:uiPriority w:val="0"/>
    <w:pPr>
      <w:ind w:firstLine="420"/>
    </w:pPr>
    <w:rPr>
      <w:rFonts w:ascii="仿宋_GB2312" w:eastAsia="仿宋_GB2312"/>
      <w:sz w:val="30"/>
      <w:szCs w:val="30"/>
    </w:rPr>
  </w:style>
  <w:style w:type="paragraph" w:customStyle="1" w:styleId="19">
    <w:name w:val="正文文本1"/>
    <w:basedOn w:val="5"/>
    <w:next w:val="8"/>
    <w:qFormat/>
    <w:uiPriority w:val="0"/>
    <w:pPr>
      <w:spacing w:after="120"/>
    </w:pPr>
  </w:style>
  <w:style w:type="paragraph" w:customStyle="1" w:styleId="20">
    <w:name w:val="正文首行缩进 22"/>
    <w:basedOn w:val="21"/>
    <w:next w:val="17"/>
    <w:qFormat/>
    <w:uiPriority w:val="0"/>
    <w:pPr>
      <w:spacing w:after="0" w:line="360" w:lineRule="auto"/>
      <w:ind w:left="0" w:firstLine="420"/>
    </w:pPr>
    <w:rPr>
      <w:rFonts w:ascii="宋体" w:hAnsi="宋体"/>
      <w:sz w:val="20"/>
      <w:szCs w:val="20"/>
    </w:rPr>
  </w:style>
  <w:style w:type="paragraph" w:customStyle="1" w:styleId="21">
    <w:name w:val="正文文本缩进2"/>
    <w:basedOn w:val="17"/>
    <w:qFormat/>
    <w:uiPriority w:val="0"/>
    <w:pPr>
      <w:spacing w:after="120"/>
      <w:ind w:left="420"/>
    </w:pPr>
  </w:style>
  <w:style w:type="paragraph" w:customStyle="1" w:styleId="22">
    <w:name w:val="文本块1"/>
    <w:basedOn w:val="5"/>
    <w:autoRedefine/>
    <w:qFormat/>
    <w:uiPriority w:val="0"/>
    <w:pPr>
      <w:ind w:left="256" w:right="6" w:firstLine="624"/>
    </w:pPr>
    <w:rPr>
      <w:rFonts w:ascii="Times New Roman" w:hAnsi="Times New Roman" w:eastAsia="仿宋"/>
      <w:sz w:val="28"/>
      <w:szCs w:val="20"/>
    </w:rPr>
  </w:style>
  <w:style w:type="paragraph" w:customStyle="1" w:styleId="23">
    <w:name w:val="寄信人地址1"/>
    <w:basedOn w:val="15"/>
    <w:qFormat/>
    <w:uiPriority w:val="0"/>
    <w:rPr>
      <w:rFonts w:ascii="Arial" w:hAnsi="Arial"/>
    </w:rPr>
  </w:style>
  <w:style w:type="paragraph" w:customStyle="1" w:styleId="24">
    <w:name w:val="脚注文本1"/>
    <w:basedOn w:val="11"/>
    <w:next w:val="25"/>
    <w:qFormat/>
    <w:uiPriority w:val="0"/>
    <w:rPr>
      <w:sz w:val="18"/>
      <w:szCs w:val="18"/>
    </w:rPr>
  </w:style>
  <w:style w:type="paragraph" w:customStyle="1" w:styleId="25">
    <w:name w:val="索引 51"/>
    <w:basedOn w:val="26"/>
    <w:next w:val="11"/>
    <w:qFormat/>
    <w:uiPriority w:val="0"/>
    <w:pPr>
      <w:ind w:left="798"/>
      <w:jc w:val="left"/>
    </w:pPr>
  </w:style>
  <w:style w:type="paragraph" w:customStyle="1" w:styleId="26">
    <w:name w:val="正文12"/>
    <w:next w:val="27"/>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27">
    <w:name w:val="正文文本111"/>
    <w:basedOn w:val="28"/>
    <w:next w:val="26"/>
    <w:qFormat/>
    <w:uiPriority w:val="0"/>
  </w:style>
  <w:style w:type="paragraph" w:customStyle="1" w:styleId="28">
    <w:name w:val="正文1121"/>
    <w:next w:val="27"/>
    <w:qFormat/>
    <w:uiPriority w:val="0"/>
    <w:pPr>
      <w:widowControl w:val="0"/>
      <w:jc w:val="both"/>
    </w:pPr>
    <w:rPr>
      <w:rFonts w:hint="default" w:ascii="Calibri" w:hAnsi="Calibri" w:eastAsia="宋体" w:cs="Times New Roman"/>
      <w:sz w:val="21"/>
      <w:szCs w:val="24"/>
      <w:lang w:val="en-US" w:eastAsia="zh-CN" w:bidi="ar-SA"/>
    </w:rPr>
  </w:style>
  <w:style w:type="paragraph" w:styleId="29">
    <w:name w:val="List Paragraph"/>
    <w:basedOn w:val="1"/>
    <w:autoRedefine/>
    <w:qFormat/>
    <w:uiPriority w:val="34"/>
    <w:pPr>
      <w:ind w:left="720"/>
      <w:contextualSpacing/>
    </w:pPr>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3670</Words>
  <Characters>3839</Characters>
  <Lines>0</Lines>
  <Paragraphs>0</Paragraphs>
  <TotalTime>1</TotalTime>
  <ScaleCrop>false</ScaleCrop>
  <LinksUpToDate>false</LinksUpToDate>
  <CharactersWithSpaces>3860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2022-01-12T02:43:00Z</dcterms:created>
  <dc:creator>Administrator</dc:creator>
  <cp:lastModifiedBy>Administrator</cp:lastModifiedBy>
  <dcterms:modified xsi:type="dcterms:W3CDTF">2025-08-07T00:56:58Z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6D025C79318E483CA89E167AF0D1EDEB_13</vt:lpwstr>
  </property>
  <property fmtid="{D5CDD505-2E9C-101B-9397-08002B2CF9AE}" pid="4" name="KSOTemplateDocerSaveRecord">
    <vt:lpwstr>eyJoZGlkIjoiOGI4NTAxMTU3Mjk1Nzg5Y2ViYmQxODQ0NWMyZWJjMjciLCJ1c2VySWQiOiIxMzg0NTY4NjY4In0=</vt:lpwstr>
  </property>
</Properties>
</file>