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2AB12">
      <w:pPr>
        <w:pStyle w:val="11"/>
        <w:numPr>
          <w:ilvl w:val="0"/>
          <w:numId w:val="0"/>
        </w:numPr>
        <w:spacing w:line="360" w:lineRule="auto"/>
        <w:jc w:val="left"/>
        <w:outlineLvl w:val="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如有建议或意见，请以书面形式并加盖公章、注明联系人、联系方式，于2025年</w:t>
      </w:r>
      <w:r>
        <w:rPr>
          <w:rFonts w:hint="eastAsia" w:eastAsia="宋体" w:cs="宋体"/>
          <w:color w:val="auto"/>
          <w:sz w:val="24"/>
          <w:szCs w:val="24"/>
          <w:highlight w:val="none"/>
          <w:lang w:val="en-US" w:eastAsia="zh-CN" w:bidi="ar-SA"/>
        </w:rPr>
        <w:t>8</w:t>
      </w:r>
      <w:r>
        <w:rPr>
          <w:rFonts w:hint="eastAsia" w:ascii="宋体" w:hAnsi="宋体" w:eastAsia="宋体" w:cs="宋体"/>
          <w:color w:val="auto"/>
          <w:sz w:val="24"/>
          <w:szCs w:val="24"/>
          <w:highlight w:val="none"/>
          <w:lang w:val="en-US" w:eastAsia="zh-CN" w:bidi="ar-SA"/>
        </w:rPr>
        <w:t>月</w:t>
      </w:r>
      <w:r>
        <w:rPr>
          <w:rFonts w:hint="eastAsia" w:eastAsia="宋体" w:cs="宋体"/>
          <w:color w:val="auto"/>
          <w:sz w:val="24"/>
          <w:szCs w:val="24"/>
          <w:highlight w:val="none"/>
          <w:lang w:val="en-US" w:eastAsia="zh-CN" w:bidi="ar-SA"/>
        </w:rPr>
        <w:t>11</w:t>
      </w:r>
      <w:r>
        <w:rPr>
          <w:rFonts w:hint="eastAsia" w:ascii="宋体" w:hAnsi="宋体" w:eastAsia="宋体" w:cs="宋体"/>
          <w:color w:val="auto"/>
          <w:sz w:val="24"/>
          <w:szCs w:val="24"/>
          <w:highlight w:val="none"/>
          <w:lang w:val="en-US" w:eastAsia="zh-CN" w:bidi="ar-SA"/>
        </w:rPr>
        <w:t>日17:00之前送至我单位，逾期不受理（如邮寄，2025年</w:t>
      </w:r>
      <w:r>
        <w:rPr>
          <w:rFonts w:hint="eastAsia" w:eastAsia="宋体" w:cs="宋体"/>
          <w:color w:val="auto"/>
          <w:sz w:val="24"/>
          <w:szCs w:val="24"/>
          <w:highlight w:val="none"/>
          <w:lang w:val="en-US" w:eastAsia="zh-CN" w:bidi="ar-SA"/>
        </w:rPr>
        <w:t>8</w:t>
      </w:r>
      <w:r>
        <w:rPr>
          <w:rFonts w:hint="eastAsia" w:ascii="宋体" w:hAnsi="宋体" w:eastAsia="宋体" w:cs="宋体"/>
          <w:color w:val="auto"/>
          <w:sz w:val="24"/>
          <w:szCs w:val="24"/>
          <w:highlight w:val="none"/>
          <w:lang w:val="en-US" w:eastAsia="zh-CN" w:bidi="ar-SA"/>
        </w:rPr>
        <w:t>月</w:t>
      </w:r>
      <w:r>
        <w:rPr>
          <w:rFonts w:hint="eastAsia" w:eastAsia="宋体" w:cs="宋体"/>
          <w:color w:val="auto"/>
          <w:sz w:val="24"/>
          <w:szCs w:val="24"/>
          <w:highlight w:val="none"/>
          <w:lang w:val="en-US" w:eastAsia="zh-CN" w:bidi="ar-SA"/>
        </w:rPr>
        <w:t>11</w:t>
      </w:r>
      <w:r>
        <w:rPr>
          <w:rFonts w:hint="eastAsia" w:ascii="宋体" w:hAnsi="宋体" w:eastAsia="宋体" w:cs="宋体"/>
          <w:color w:val="auto"/>
          <w:sz w:val="24"/>
          <w:szCs w:val="24"/>
          <w:highlight w:val="none"/>
          <w:lang w:val="en-US" w:eastAsia="zh-CN" w:bidi="ar-SA"/>
        </w:rPr>
        <w:t>日17:00之后到达本单位的邮件将不再受理）。</w:t>
      </w:r>
    </w:p>
    <w:p w14:paraId="5F165FC5">
      <w:pPr>
        <w:bidi w:val="0"/>
        <w:rPr>
          <w:rFonts w:hint="eastAsia"/>
          <w:color w:val="auto"/>
          <w:highlight w:val="none"/>
          <w:lang w:val="en-US" w:eastAsia="zh-CN"/>
        </w:rPr>
      </w:pPr>
    </w:p>
    <w:p w14:paraId="59740086">
      <w:pPr>
        <w:pStyle w:val="11"/>
        <w:numPr>
          <w:ilvl w:val="0"/>
          <w:numId w:val="0"/>
        </w:numPr>
        <w:spacing w:line="360" w:lineRule="auto"/>
        <w:jc w:val="center"/>
        <w:outlineLvl w:val="0"/>
        <w:rPr>
          <w:rFonts w:hint="eastAsia" w:eastAsia="宋体" w:cs="宋体"/>
          <w:b/>
          <w:color w:val="auto"/>
          <w:sz w:val="30"/>
          <w:szCs w:val="30"/>
          <w:highlight w:val="none"/>
          <w:lang w:val="en-US" w:eastAsia="zh-CN" w:bidi="ar-SA"/>
        </w:rPr>
        <w:sectPr>
          <w:pgSz w:w="11906" w:h="16838"/>
          <w:pgMar w:top="1440" w:right="1800" w:bottom="1440" w:left="1800" w:header="851" w:footer="992" w:gutter="0"/>
          <w:cols w:space="720" w:num="1"/>
          <w:docGrid w:type="lines" w:linePitch="312" w:charSpace="0"/>
        </w:sectPr>
      </w:pPr>
      <w:bookmarkStart w:id="0" w:name="_GoBack"/>
      <w:bookmarkEnd w:id="0"/>
    </w:p>
    <w:p w14:paraId="25CCC7C0">
      <w:pPr>
        <w:pStyle w:val="5"/>
        <w:spacing w:line="240" w:lineRule="auto"/>
        <w:ind w:firstLine="723"/>
        <w:jc w:val="center"/>
        <w:rPr>
          <w:rFonts w:ascii="宋体" w:hAnsi="宋体"/>
          <w:b/>
          <w:bCs/>
          <w:sz w:val="32"/>
          <w:szCs w:val="32"/>
          <w:highlight w:val="none"/>
        </w:rPr>
      </w:pPr>
    </w:p>
    <w:p w14:paraId="312BEA25">
      <w:pPr>
        <w:pStyle w:val="5"/>
        <w:spacing w:line="240" w:lineRule="auto"/>
        <w:ind w:firstLine="723"/>
        <w:jc w:val="center"/>
        <w:rPr>
          <w:rFonts w:ascii="宋体" w:hAnsi="宋体"/>
          <w:b/>
          <w:bCs/>
          <w:sz w:val="32"/>
          <w:szCs w:val="32"/>
          <w:highlight w:val="none"/>
        </w:rPr>
      </w:pPr>
      <w:r>
        <w:rPr>
          <w:rFonts w:ascii="宋体" w:hAnsi="宋体"/>
          <w:b/>
          <w:bCs/>
          <w:sz w:val="32"/>
          <w:szCs w:val="32"/>
          <w:highlight w:val="none"/>
        </w:rPr>
        <w:t>采购需求</w:t>
      </w:r>
    </w:p>
    <w:p w14:paraId="190D7598">
      <w:pPr>
        <w:pStyle w:val="22"/>
        <w:numPr>
          <w:ilvl w:val="0"/>
          <w:numId w:val="1"/>
        </w:numPr>
        <w:spacing w:line="360" w:lineRule="auto"/>
        <w:ind w:firstLine="482"/>
        <w:rPr>
          <w:rFonts w:ascii="宋体" w:hAnsi="宋体" w:eastAsia="宋体"/>
          <w:b/>
          <w:bCs/>
          <w:sz w:val="24"/>
          <w:szCs w:val="24"/>
          <w:highlight w:val="none"/>
        </w:rPr>
      </w:pPr>
      <w:r>
        <w:rPr>
          <w:rFonts w:ascii="宋体" w:hAnsi="宋体" w:eastAsia="宋体"/>
          <w:b/>
          <w:bCs/>
          <w:sz w:val="24"/>
          <w:szCs w:val="24"/>
          <w:highlight w:val="none"/>
        </w:rPr>
        <w:t>采购标的</w:t>
      </w:r>
    </w:p>
    <w:p w14:paraId="77841B65">
      <w:pPr>
        <w:pStyle w:val="5"/>
        <w:numPr>
          <w:ilvl w:val="0"/>
          <w:numId w:val="2"/>
        </w:numPr>
        <w:spacing w:line="360" w:lineRule="auto"/>
        <w:ind w:firstLine="819"/>
        <w:rPr>
          <w:rFonts w:hint="eastAsia" w:ascii="宋体" w:hAnsi="宋体"/>
          <w:sz w:val="24"/>
          <w:szCs w:val="24"/>
          <w:highlight w:val="none"/>
          <w:lang w:eastAsia="zh-CN"/>
        </w:rPr>
      </w:pPr>
      <w:r>
        <w:rPr>
          <w:rFonts w:ascii="宋体" w:hAnsi="宋体" w:eastAsia="宋体"/>
          <w:sz w:val="24"/>
          <w:szCs w:val="24"/>
          <w:highlight w:val="none"/>
        </w:rPr>
        <w:t>项目名称:</w:t>
      </w:r>
      <w:r>
        <w:rPr>
          <w:rFonts w:hint="eastAsia" w:ascii="宋体" w:hAnsi="宋体"/>
          <w:sz w:val="24"/>
          <w:szCs w:val="24"/>
          <w:highlight w:val="none"/>
          <w:lang w:eastAsia="zh-CN"/>
        </w:rPr>
        <w:t>沛县2023年农村道路（镇镇之间）路面黑化工程（朱寨镇朱蔡线））</w:t>
      </w:r>
    </w:p>
    <w:p w14:paraId="0E2BB098">
      <w:pPr>
        <w:pStyle w:val="5"/>
        <w:numPr>
          <w:ilvl w:val="0"/>
          <w:numId w:val="0"/>
        </w:numPr>
        <w:spacing w:line="360" w:lineRule="auto"/>
        <w:ind w:firstLine="723"/>
        <w:rPr>
          <w:rFonts w:ascii="宋体" w:hAnsi="宋体"/>
          <w:b/>
          <w:bCs/>
          <w:sz w:val="24"/>
          <w:highlight w:val="none"/>
        </w:rPr>
      </w:pPr>
      <w:r>
        <w:rPr>
          <w:rFonts w:hint="eastAsia" w:ascii="宋体" w:hAnsi="宋体"/>
          <w:b/>
          <w:bCs/>
          <w:sz w:val="24"/>
          <w:highlight w:val="none"/>
          <w:lang w:val="en-US" w:eastAsia="zh-CN"/>
        </w:rPr>
        <w:t>2.</w:t>
      </w:r>
      <w:r>
        <w:rPr>
          <w:rFonts w:ascii="宋体" w:hAnsi="宋体"/>
          <w:b/>
          <w:bCs/>
          <w:sz w:val="24"/>
          <w:highlight w:val="none"/>
        </w:rPr>
        <w:t>本项目</w:t>
      </w:r>
      <w:r>
        <w:rPr>
          <w:rFonts w:hint="eastAsia" w:ascii="宋体" w:hAnsi="宋体"/>
          <w:b/>
          <w:bCs/>
          <w:sz w:val="24"/>
          <w:highlight w:val="none"/>
          <w:lang w:val="en-US" w:eastAsia="zh-CN"/>
        </w:rPr>
        <w:t>采购预算价210.4715万元人民币，最高限价210.4715万元人民币，</w:t>
      </w:r>
      <w:r>
        <w:rPr>
          <w:rFonts w:ascii="宋体" w:hAnsi="宋体"/>
          <w:b/>
          <w:bCs/>
          <w:sz w:val="24"/>
          <w:highlight w:val="none"/>
        </w:rPr>
        <w:t>不接受超过</w:t>
      </w:r>
      <w:r>
        <w:rPr>
          <w:rFonts w:hint="eastAsia" w:ascii="宋体" w:hAnsi="宋体"/>
          <w:b/>
          <w:bCs/>
          <w:sz w:val="24"/>
          <w:highlight w:val="none"/>
          <w:lang w:val="en-US" w:eastAsia="zh-CN"/>
        </w:rPr>
        <w:t>最高限价210.4715万元人民币</w:t>
      </w:r>
      <w:r>
        <w:rPr>
          <w:rFonts w:ascii="宋体" w:hAnsi="宋体"/>
          <w:b/>
          <w:bCs/>
          <w:sz w:val="24"/>
          <w:highlight w:val="none"/>
        </w:rPr>
        <w:t>的报价</w:t>
      </w:r>
      <w:r>
        <w:rPr>
          <w:rFonts w:ascii="宋体" w:hAnsi="宋体"/>
          <w:b/>
          <w:sz w:val="24"/>
          <w:highlight w:val="none"/>
        </w:rPr>
        <w:t>。</w:t>
      </w:r>
      <w:r>
        <w:rPr>
          <w:rFonts w:ascii="宋体" w:hAnsi="宋体"/>
          <w:b/>
          <w:bCs/>
          <w:sz w:val="24"/>
          <w:highlight w:val="none"/>
        </w:rPr>
        <w:t>报价包括但不限于产品价、税金、运费、</w:t>
      </w:r>
      <w:r>
        <w:rPr>
          <w:rFonts w:hint="eastAsia" w:ascii="宋体" w:hAnsi="宋体"/>
          <w:b/>
          <w:bCs/>
          <w:sz w:val="24"/>
          <w:highlight w:val="none"/>
          <w:lang w:val="en-US" w:eastAsia="zh-CN"/>
        </w:rPr>
        <w:t>人工费</w:t>
      </w:r>
      <w:r>
        <w:rPr>
          <w:rFonts w:ascii="宋体" w:hAnsi="宋体"/>
          <w:b/>
          <w:bCs/>
          <w:sz w:val="24"/>
          <w:highlight w:val="none"/>
        </w:rPr>
        <w:t>、供应商的利润、</w:t>
      </w:r>
      <w:r>
        <w:rPr>
          <w:rFonts w:hint="eastAsia" w:ascii="宋体" w:hAnsi="宋体"/>
          <w:b/>
          <w:bCs/>
          <w:sz w:val="24"/>
          <w:highlight w:val="none"/>
          <w:lang w:val="en-US" w:eastAsia="zh-CN"/>
        </w:rPr>
        <w:t>扬尘</w:t>
      </w:r>
      <w:r>
        <w:rPr>
          <w:rFonts w:hint="eastAsia" w:ascii="宋体" w:hAnsi="宋体"/>
          <w:b/>
          <w:bCs/>
          <w:sz w:val="24"/>
          <w:highlight w:val="none"/>
          <w:lang w:eastAsia="zh-CN"/>
        </w:rPr>
        <w:t>、</w:t>
      </w:r>
      <w:r>
        <w:rPr>
          <w:rFonts w:hint="eastAsia" w:ascii="宋体" w:hAnsi="宋体"/>
          <w:b/>
          <w:bCs/>
          <w:sz w:val="24"/>
          <w:highlight w:val="none"/>
          <w:lang w:val="en-US" w:eastAsia="zh-CN"/>
        </w:rPr>
        <w:t>措施费、安全文明施工费</w:t>
      </w:r>
      <w:r>
        <w:rPr>
          <w:rFonts w:ascii="宋体" w:hAnsi="宋体"/>
          <w:b/>
          <w:bCs/>
          <w:sz w:val="24"/>
          <w:highlight w:val="none"/>
        </w:rPr>
        <w:t>等</w:t>
      </w:r>
      <w:r>
        <w:rPr>
          <w:rFonts w:hint="eastAsia" w:ascii="宋体" w:hAnsi="宋体"/>
          <w:b/>
          <w:bCs/>
          <w:sz w:val="24"/>
          <w:highlight w:val="none"/>
          <w:lang w:val="en-US" w:eastAsia="zh-CN"/>
        </w:rPr>
        <w:t>完成本项目所需要的</w:t>
      </w:r>
      <w:r>
        <w:rPr>
          <w:rFonts w:ascii="宋体" w:hAnsi="宋体"/>
          <w:b/>
          <w:bCs/>
          <w:sz w:val="24"/>
          <w:highlight w:val="none"/>
        </w:rPr>
        <w:t>全部费用。采购人不再支付报价以外的任何费用。</w:t>
      </w:r>
    </w:p>
    <w:p w14:paraId="4DD7CF71">
      <w:pPr>
        <w:pStyle w:val="22"/>
        <w:numPr>
          <w:ilvl w:val="0"/>
          <w:numId w:val="1"/>
        </w:numPr>
        <w:spacing w:line="360" w:lineRule="auto"/>
        <w:ind w:firstLine="482"/>
        <w:rPr>
          <w:rFonts w:ascii="宋体" w:hAnsi="宋体" w:eastAsia="宋体"/>
          <w:b/>
          <w:bCs/>
          <w:sz w:val="24"/>
          <w:szCs w:val="24"/>
          <w:highlight w:val="none"/>
        </w:rPr>
      </w:pPr>
      <w:r>
        <w:rPr>
          <w:rFonts w:ascii="宋体" w:hAnsi="宋体" w:eastAsia="宋体"/>
          <w:b/>
          <w:bCs/>
          <w:sz w:val="24"/>
          <w:szCs w:val="24"/>
          <w:highlight w:val="none"/>
        </w:rPr>
        <w:t>项目具体要求：</w:t>
      </w:r>
    </w:p>
    <w:p w14:paraId="3ADCC6F0">
      <w:pPr>
        <w:pStyle w:val="22"/>
        <w:tabs>
          <w:tab w:val="left" w:pos="312"/>
        </w:tabs>
        <w:spacing w:line="360" w:lineRule="auto"/>
        <w:ind w:left="0" w:firstLine="480"/>
        <w:rPr>
          <w:rFonts w:ascii="宋体" w:hAnsi="宋体" w:eastAsia="宋体"/>
          <w:sz w:val="24"/>
          <w:szCs w:val="24"/>
          <w:highlight w:val="none"/>
        </w:rPr>
      </w:pPr>
      <w:r>
        <w:rPr>
          <w:rFonts w:ascii="宋体" w:hAnsi="宋体" w:eastAsia="宋体"/>
          <w:sz w:val="24"/>
          <w:szCs w:val="24"/>
          <w:highlight w:val="none"/>
        </w:rPr>
        <w:t>2.1工程概况</w:t>
      </w:r>
    </w:p>
    <w:p w14:paraId="0B3A910A">
      <w:pPr>
        <w:pStyle w:val="22"/>
        <w:tabs>
          <w:tab w:val="left" w:pos="312"/>
        </w:tabs>
        <w:spacing w:line="360" w:lineRule="auto"/>
        <w:ind w:left="0" w:firstLine="480"/>
        <w:rPr>
          <w:rFonts w:ascii="宋体" w:hAnsi="宋体" w:eastAsia="宋体"/>
          <w:sz w:val="24"/>
          <w:szCs w:val="24"/>
          <w:highlight w:val="none"/>
        </w:rPr>
      </w:pPr>
      <w:r>
        <w:rPr>
          <w:rFonts w:ascii="宋体" w:hAnsi="宋体" w:eastAsia="宋体"/>
          <w:sz w:val="24"/>
          <w:szCs w:val="24"/>
          <w:highlight w:val="none"/>
        </w:rPr>
        <w:t>2.1.1建设地点：</w:t>
      </w:r>
      <w:r>
        <w:rPr>
          <w:rFonts w:hint="eastAsia" w:ascii="宋体" w:hAnsi="宋体" w:eastAsia="宋体"/>
          <w:sz w:val="24"/>
          <w:szCs w:val="24"/>
          <w:highlight w:val="none"/>
          <w:lang w:eastAsia="zh-CN"/>
        </w:rPr>
        <w:t>沛县朱寨镇</w:t>
      </w:r>
      <w:r>
        <w:rPr>
          <w:rFonts w:ascii="宋体" w:hAnsi="宋体" w:eastAsia="宋体"/>
          <w:sz w:val="24"/>
          <w:szCs w:val="24"/>
          <w:highlight w:val="none"/>
        </w:rPr>
        <w:t>。</w:t>
      </w:r>
    </w:p>
    <w:p w14:paraId="5B0E2181">
      <w:pPr>
        <w:pStyle w:val="22"/>
        <w:numPr>
          <w:ilvl w:val="0"/>
          <w:numId w:val="0"/>
        </w:numPr>
        <w:spacing w:line="360" w:lineRule="auto"/>
        <w:ind w:right="6" w:firstLine="480" w:firstLineChars="200"/>
        <w:rPr>
          <w:rFonts w:hint="eastAsia" w:ascii="宋体" w:hAnsi="宋体" w:eastAsia="宋体"/>
          <w:sz w:val="24"/>
          <w:szCs w:val="24"/>
          <w:highlight w:val="none"/>
        </w:rPr>
      </w:pPr>
      <w:r>
        <w:rPr>
          <w:rFonts w:ascii="宋体" w:hAnsi="宋体" w:eastAsia="宋体"/>
          <w:sz w:val="24"/>
          <w:szCs w:val="24"/>
          <w:highlight w:val="none"/>
        </w:rPr>
        <w:t>2.1.2主要工程内容：</w:t>
      </w:r>
      <w:r>
        <w:rPr>
          <w:rFonts w:hint="eastAsia" w:ascii="宋体" w:hAnsi="宋体" w:eastAsia="宋体"/>
          <w:sz w:val="24"/>
          <w:szCs w:val="24"/>
          <w:highlight w:val="none"/>
        </w:rPr>
        <w:t>本次招标为</w:t>
      </w:r>
      <w:r>
        <w:rPr>
          <w:rFonts w:hint="eastAsia" w:ascii="宋体" w:hAnsi="宋体" w:eastAsia="宋体"/>
          <w:sz w:val="24"/>
          <w:szCs w:val="24"/>
          <w:highlight w:val="none"/>
          <w:lang w:eastAsia="zh-CN"/>
        </w:rPr>
        <w:t>沛县2023年农村道路（镇镇之间）路面黑化工程（朱寨镇朱蔡线）</w:t>
      </w:r>
      <w:r>
        <w:rPr>
          <w:rFonts w:hint="eastAsia" w:ascii="宋体" w:hAnsi="宋体" w:eastAsia="宋体"/>
          <w:sz w:val="24"/>
          <w:szCs w:val="24"/>
          <w:highlight w:val="none"/>
        </w:rPr>
        <w:t>，位于沛县</w:t>
      </w:r>
      <w:r>
        <w:rPr>
          <w:rFonts w:hint="eastAsia" w:ascii="宋体" w:hAnsi="宋体" w:eastAsia="宋体"/>
          <w:sz w:val="24"/>
          <w:szCs w:val="24"/>
          <w:highlight w:val="none"/>
          <w:lang w:val="en-US" w:eastAsia="zh-CN"/>
        </w:rPr>
        <w:t>朱</w:t>
      </w:r>
      <w:r>
        <w:rPr>
          <w:rFonts w:hint="eastAsia" w:ascii="宋体" w:hAnsi="宋体" w:eastAsia="宋体"/>
          <w:sz w:val="24"/>
          <w:szCs w:val="24"/>
          <w:highlight w:val="none"/>
        </w:rPr>
        <w:t>寨镇</w:t>
      </w:r>
      <w:r>
        <w:rPr>
          <w:rFonts w:hint="eastAsia" w:ascii="宋体" w:hAnsi="宋体" w:eastAsia="宋体"/>
          <w:sz w:val="24"/>
          <w:szCs w:val="24"/>
          <w:highlight w:val="none"/>
          <w:lang w:val="en-US" w:eastAsia="zh-CN"/>
        </w:rPr>
        <w:t>境</w:t>
      </w:r>
      <w:r>
        <w:rPr>
          <w:rFonts w:hint="eastAsia" w:ascii="宋体" w:hAnsi="宋体" w:eastAsia="宋体"/>
          <w:sz w:val="24"/>
          <w:szCs w:val="24"/>
          <w:highlight w:val="none"/>
        </w:rPr>
        <w:t>内，具体详情如下：Y367 朱蔡线位于朱寨镇，老路为水泥混凝土路面，设计起点接 X303 沛朱线，宽36.5m，为城市道路，沥青路面，起点桩号：K0+000；设计终点止于 Y384 张龙线，宽6.0m，为农村四级公路，水泥路面，终点桩号：K3+332，设计长度为 3.332Km。</w:t>
      </w:r>
    </w:p>
    <w:p w14:paraId="61379323">
      <w:pPr>
        <w:pStyle w:val="22"/>
        <w:numPr>
          <w:ilvl w:val="0"/>
          <w:numId w:val="0"/>
        </w:numPr>
        <w:spacing w:line="360" w:lineRule="auto"/>
        <w:ind w:right="6"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主要内容为路面黑化、路基、标志、标线、标牌、绿化、交安设施、破碎板修复等工程，具体详见图纸及工程量清单全部内容，最终满足采购方要求。</w:t>
      </w:r>
    </w:p>
    <w:p w14:paraId="04DA1FFC">
      <w:pPr>
        <w:pStyle w:val="22"/>
        <w:tabs>
          <w:tab w:val="left" w:pos="312"/>
        </w:tabs>
        <w:spacing w:line="360" w:lineRule="auto"/>
        <w:ind w:left="0" w:leftChars="0" w:firstLine="0" w:firstLineChars="0"/>
        <w:rPr>
          <w:rFonts w:ascii="宋体" w:hAnsi="宋体" w:eastAsia="宋体"/>
          <w:sz w:val="24"/>
          <w:szCs w:val="24"/>
          <w:highlight w:val="none"/>
        </w:rPr>
      </w:pPr>
      <w:r>
        <w:rPr>
          <w:rFonts w:ascii="宋体" w:hAnsi="宋体" w:eastAsia="宋体"/>
          <w:sz w:val="24"/>
          <w:szCs w:val="24"/>
          <w:highlight w:val="none"/>
        </w:rPr>
        <w:t>2.1.3 工程质量要求：合格。</w:t>
      </w:r>
    </w:p>
    <w:p w14:paraId="5005A9DB">
      <w:pPr>
        <w:pStyle w:val="22"/>
        <w:tabs>
          <w:tab w:val="left" w:pos="312"/>
        </w:tabs>
        <w:spacing w:line="360" w:lineRule="auto"/>
        <w:ind w:left="0" w:firstLine="480"/>
        <w:rPr>
          <w:rFonts w:ascii="宋体" w:hAnsi="宋体" w:eastAsia="宋体"/>
          <w:b/>
          <w:bCs/>
          <w:sz w:val="24"/>
          <w:szCs w:val="24"/>
          <w:highlight w:val="none"/>
        </w:rPr>
      </w:pPr>
      <w:r>
        <w:rPr>
          <w:rFonts w:ascii="宋体" w:hAnsi="宋体" w:eastAsia="宋体"/>
          <w:b/>
          <w:bCs/>
          <w:sz w:val="24"/>
          <w:szCs w:val="24"/>
          <w:highlight w:val="none"/>
        </w:rPr>
        <w:t>2.1.4工期要求：</w:t>
      </w:r>
      <w:r>
        <w:rPr>
          <w:rFonts w:hint="eastAsia" w:ascii="宋体" w:hAnsi="宋体" w:eastAsia="宋体"/>
          <w:b/>
          <w:bCs/>
          <w:color w:val="auto"/>
          <w:sz w:val="24"/>
          <w:szCs w:val="24"/>
          <w:highlight w:val="none"/>
          <w:lang w:val="en-US" w:eastAsia="zh-CN"/>
        </w:rPr>
        <w:t>30</w:t>
      </w:r>
      <w:r>
        <w:rPr>
          <w:rFonts w:hint="eastAsia" w:ascii="宋体" w:hAnsi="宋体" w:eastAsia="宋体"/>
          <w:b/>
          <w:bCs/>
          <w:sz w:val="24"/>
          <w:szCs w:val="24"/>
          <w:highlight w:val="none"/>
          <w:lang w:val="en-US" w:eastAsia="zh-CN"/>
        </w:rPr>
        <w:t>日历天（具体以双方实际签订合同为准）</w:t>
      </w:r>
      <w:r>
        <w:rPr>
          <w:rFonts w:ascii="宋体" w:hAnsi="宋体" w:eastAsia="宋体"/>
          <w:b/>
          <w:bCs/>
          <w:sz w:val="24"/>
          <w:szCs w:val="24"/>
          <w:highlight w:val="none"/>
        </w:rPr>
        <w:t>。</w:t>
      </w:r>
    </w:p>
    <w:p w14:paraId="44539DF9">
      <w:pPr>
        <w:pStyle w:val="22"/>
        <w:tabs>
          <w:tab w:val="left" w:pos="312"/>
        </w:tabs>
        <w:spacing w:line="360" w:lineRule="auto"/>
        <w:ind w:left="0" w:firstLine="480"/>
        <w:rPr>
          <w:rFonts w:ascii="宋体" w:hAnsi="宋体" w:eastAsia="宋体"/>
          <w:sz w:val="24"/>
          <w:szCs w:val="24"/>
          <w:highlight w:val="none"/>
        </w:rPr>
      </w:pPr>
      <w:r>
        <w:rPr>
          <w:rFonts w:ascii="宋体" w:hAnsi="宋体" w:eastAsia="宋体"/>
          <w:sz w:val="24"/>
          <w:szCs w:val="24"/>
          <w:highlight w:val="none"/>
        </w:rPr>
        <w:t>2.1.5验收标准：满足采购需求要求。</w:t>
      </w:r>
    </w:p>
    <w:p w14:paraId="0D5B427D">
      <w:pPr>
        <w:pStyle w:val="22"/>
        <w:tabs>
          <w:tab w:val="left" w:pos="312"/>
        </w:tabs>
        <w:spacing w:line="360" w:lineRule="auto"/>
        <w:ind w:left="0" w:firstLine="480"/>
        <w:rPr>
          <w:rFonts w:ascii="宋体" w:hAnsi="宋体" w:eastAsia="宋体"/>
          <w:sz w:val="24"/>
          <w:szCs w:val="24"/>
          <w:highlight w:val="none"/>
        </w:rPr>
      </w:pPr>
      <w:r>
        <w:rPr>
          <w:rFonts w:ascii="宋体" w:hAnsi="宋体" w:eastAsia="宋体"/>
          <w:sz w:val="24"/>
          <w:szCs w:val="24"/>
          <w:highlight w:val="none"/>
        </w:rPr>
        <w:t>2.1.6项目承包方式：包工包料，不得分包与转包。</w:t>
      </w:r>
    </w:p>
    <w:p w14:paraId="071B41FC">
      <w:pPr>
        <w:pStyle w:val="22"/>
        <w:tabs>
          <w:tab w:val="left" w:pos="312"/>
        </w:tabs>
        <w:spacing w:line="360" w:lineRule="auto"/>
        <w:ind w:left="0" w:firstLine="480"/>
        <w:rPr>
          <w:rFonts w:ascii="宋体" w:hAnsi="宋体" w:eastAsia="宋体"/>
          <w:b/>
          <w:bCs/>
          <w:sz w:val="24"/>
          <w:szCs w:val="24"/>
        </w:rPr>
      </w:pPr>
      <w:r>
        <w:rPr>
          <w:rFonts w:ascii="宋体" w:hAnsi="宋体" w:eastAsia="宋体"/>
          <w:b/>
          <w:bCs/>
          <w:sz w:val="24"/>
          <w:szCs w:val="24"/>
        </w:rPr>
        <w:t>2.1.7质量</w:t>
      </w:r>
      <w:r>
        <w:rPr>
          <w:rFonts w:ascii="宋体" w:hAnsi="宋体" w:eastAsia="宋体"/>
          <w:b/>
          <w:bCs/>
          <w:sz w:val="24"/>
          <w:szCs w:val="24"/>
          <w:highlight w:val="none"/>
        </w:rPr>
        <w:t>保修期限：</w:t>
      </w:r>
      <w:r>
        <w:rPr>
          <w:rFonts w:hint="eastAsia" w:ascii="宋体" w:hAnsi="宋体" w:eastAsia="宋体"/>
          <w:b/>
          <w:bCs/>
          <w:sz w:val="24"/>
          <w:szCs w:val="24"/>
          <w:highlight w:val="none"/>
          <w:lang w:val="en-US" w:eastAsia="zh-CN"/>
        </w:rPr>
        <w:t>24个月</w:t>
      </w:r>
      <w:r>
        <w:rPr>
          <w:rFonts w:ascii="宋体" w:hAnsi="宋体" w:eastAsia="宋体"/>
          <w:b/>
          <w:bCs/>
          <w:sz w:val="24"/>
          <w:szCs w:val="24"/>
        </w:rPr>
        <w:t>。</w:t>
      </w:r>
    </w:p>
    <w:p w14:paraId="7F57AEA8">
      <w:pPr>
        <w:pStyle w:val="22"/>
        <w:tabs>
          <w:tab w:val="left" w:pos="312"/>
        </w:tabs>
        <w:spacing w:line="360" w:lineRule="auto"/>
        <w:ind w:left="0" w:firstLine="480"/>
        <w:rPr>
          <w:rFonts w:ascii="宋体" w:hAnsi="宋体" w:eastAsia="宋体"/>
          <w:sz w:val="24"/>
          <w:szCs w:val="24"/>
          <w:highlight w:val="none"/>
        </w:rPr>
      </w:pPr>
      <w:r>
        <w:rPr>
          <w:rFonts w:ascii="宋体" w:hAnsi="宋体" w:eastAsia="宋体"/>
          <w:sz w:val="24"/>
          <w:szCs w:val="24"/>
          <w:highlight w:val="none"/>
        </w:rPr>
        <w:t>2.1.</w:t>
      </w:r>
      <w:r>
        <w:rPr>
          <w:rFonts w:hint="eastAsia" w:ascii="宋体" w:hAnsi="宋体" w:eastAsia="宋体"/>
          <w:sz w:val="24"/>
          <w:szCs w:val="24"/>
          <w:highlight w:val="none"/>
          <w:lang w:val="en-US" w:eastAsia="zh-CN"/>
        </w:rPr>
        <w:t>8</w:t>
      </w:r>
      <w:r>
        <w:rPr>
          <w:rFonts w:ascii="宋体" w:hAnsi="宋体" w:eastAsia="宋体"/>
          <w:sz w:val="24"/>
          <w:szCs w:val="24"/>
          <w:highlight w:val="none"/>
        </w:rPr>
        <w:t xml:space="preserve"> 其他: 本工程共分一个标段。</w:t>
      </w:r>
    </w:p>
    <w:p w14:paraId="4E9732AA">
      <w:pPr>
        <w:pStyle w:val="22"/>
        <w:tabs>
          <w:tab w:val="left" w:pos="312"/>
        </w:tabs>
        <w:spacing w:line="360" w:lineRule="auto"/>
        <w:ind w:left="0" w:firstLine="480"/>
        <w:rPr>
          <w:rFonts w:ascii="宋体" w:hAnsi="宋体" w:eastAsia="宋体"/>
          <w:sz w:val="24"/>
          <w:szCs w:val="24"/>
          <w:highlight w:val="none"/>
        </w:rPr>
      </w:pPr>
      <w:r>
        <w:rPr>
          <w:rFonts w:ascii="宋体" w:hAnsi="宋体" w:eastAsia="宋体"/>
          <w:sz w:val="24"/>
          <w:szCs w:val="24"/>
          <w:highlight w:val="none"/>
        </w:rPr>
        <w:t>2.2技术标准和要求：符合现行国家技术、施工及验收规范规程，对施工工艺的特殊要求，按国家有关规定执行。</w:t>
      </w:r>
    </w:p>
    <w:p w14:paraId="77A35AD8">
      <w:pPr>
        <w:pStyle w:val="22"/>
        <w:numPr>
          <w:ilvl w:val="0"/>
          <w:numId w:val="1"/>
        </w:numPr>
        <w:spacing w:line="360" w:lineRule="auto"/>
        <w:ind w:firstLine="482"/>
        <w:rPr>
          <w:rFonts w:ascii="宋体" w:hAnsi="宋体" w:eastAsia="宋体"/>
          <w:b/>
          <w:bCs/>
          <w:sz w:val="24"/>
          <w:szCs w:val="24"/>
          <w:highlight w:val="none"/>
        </w:rPr>
      </w:pPr>
      <w:r>
        <w:rPr>
          <w:rFonts w:ascii="宋体" w:hAnsi="宋体" w:eastAsia="宋体"/>
          <w:b/>
          <w:bCs/>
          <w:sz w:val="24"/>
          <w:szCs w:val="24"/>
          <w:highlight w:val="none"/>
        </w:rPr>
        <w:t>报价要求：</w:t>
      </w:r>
    </w:p>
    <w:p w14:paraId="3F481521">
      <w:pPr>
        <w:pStyle w:val="22"/>
        <w:tabs>
          <w:tab w:val="left" w:pos="312"/>
        </w:tabs>
        <w:spacing w:line="360" w:lineRule="auto"/>
        <w:ind w:left="0" w:firstLine="480"/>
        <w:rPr>
          <w:rFonts w:ascii="宋体" w:hAnsi="宋体" w:eastAsia="宋体"/>
          <w:sz w:val="24"/>
          <w:szCs w:val="24"/>
          <w:highlight w:val="none"/>
        </w:rPr>
      </w:pPr>
      <w:r>
        <w:rPr>
          <w:rFonts w:ascii="宋体" w:hAnsi="宋体" w:eastAsia="宋体"/>
          <w:sz w:val="24"/>
          <w:szCs w:val="24"/>
          <w:highlight w:val="none"/>
        </w:rPr>
        <w:t xml:space="preserve">1、报价内容 </w:t>
      </w:r>
    </w:p>
    <w:p w14:paraId="4008D6A0">
      <w:pPr>
        <w:widowControl w:val="0"/>
        <w:spacing w:line="360" w:lineRule="auto"/>
        <w:ind w:firstLine="422"/>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(一) 工程量清单以及图纸详见本项目磋商文件附件（后附）</w:t>
      </w:r>
    </w:p>
    <w:p w14:paraId="58EC222B">
      <w:pPr>
        <w:widowControl w:val="0"/>
        <w:spacing w:line="360" w:lineRule="auto"/>
        <w:ind w:firstLine="422"/>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(二) 《已标价的工程量清单》报价要求</w:t>
      </w:r>
    </w:p>
    <w:p w14:paraId="648689B0">
      <w:pPr>
        <w:widowControl w:val="0"/>
        <w:spacing w:line="360" w:lineRule="auto"/>
        <w:ind w:firstLine="422"/>
        <w:jc w:val="both"/>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1、报价内容</w:t>
      </w:r>
    </w:p>
    <w:p w14:paraId="190CBDFB">
      <w:pPr>
        <w:keepNext w:val="0"/>
        <w:keepLines w:val="0"/>
        <w:pageBreakBefore w:val="0"/>
        <w:widowControl w:val="0"/>
        <w:kinsoku/>
        <w:wordWrap/>
        <w:overflowPunct/>
        <w:topLinePunct w:val="0"/>
        <w:autoSpaceDE/>
        <w:autoSpaceDN/>
        <w:bidi w:val="0"/>
        <w:adjustRightInd w:val="0"/>
        <w:snapToGrid w:val="0"/>
        <w:spacing w:line="440" w:lineRule="exact"/>
        <w:ind w:firstLine="48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1.1 响应报价应包括磋商文件中所确定的范围内工程量清单以及施工图中所含的全部内容，以及为完成上述内容所需的全部费用。</w:t>
      </w:r>
    </w:p>
    <w:p w14:paraId="535C6A5A">
      <w:pPr>
        <w:keepNext w:val="0"/>
        <w:keepLines w:val="0"/>
        <w:pageBreakBefore w:val="0"/>
        <w:widowControl w:val="0"/>
        <w:kinsoku/>
        <w:wordWrap/>
        <w:overflowPunct/>
        <w:topLinePunct w:val="0"/>
        <w:autoSpaceDE/>
        <w:autoSpaceDN/>
        <w:bidi w:val="0"/>
        <w:adjustRightInd w:val="0"/>
        <w:snapToGrid w:val="0"/>
        <w:spacing w:line="440" w:lineRule="exact"/>
        <w:ind w:firstLine="48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注：供应商必须按采购人提供的工程量清单进行报价，否则视为对竞争性磋商文件商务条款的实质性偏离。供应商不得修改工程量清单中的分布分项内容及数量，否则视为不响应磋商文件。</w:t>
      </w:r>
    </w:p>
    <w:p w14:paraId="6C2AD196">
      <w:pPr>
        <w:keepNext w:val="0"/>
        <w:keepLines w:val="0"/>
        <w:pageBreakBefore w:val="0"/>
        <w:widowControl w:val="0"/>
        <w:kinsoku/>
        <w:wordWrap/>
        <w:overflowPunct/>
        <w:topLinePunct w:val="0"/>
        <w:autoSpaceDE/>
        <w:autoSpaceDN/>
        <w:bidi w:val="0"/>
        <w:adjustRightInd w:val="0"/>
        <w:snapToGrid w:val="0"/>
        <w:spacing w:line="440" w:lineRule="exact"/>
        <w:ind w:firstLine="48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1.2供应商应按采购人提供的工程量清单填报价格。填写的项目名称、项目特征、计量单位、工程量必须与采购人提供的一致。</w:t>
      </w:r>
    </w:p>
    <w:p w14:paraId="6D619E66">
      <w:pPr>
        <w:keepNext w:val="0"/>
        <w:keepLines w:val="0"/>
        <w:pageBreakBefore w:val="0"/>
        <w:widowControl w:val="0"/>
        <w:kinsoku/>
        <w:wordWrap/>
        <w:overflowPunct/>
        <w:topLinePunct w:val="0"/>
        <w:autoSpaceDE/>
        <w:autoSpaceDN/>
        <w:bidi w:val="0"/>
        <w:adjustRightInd w:val="0"/>
        <w:snapToGrid w:val="0"/>
        <w:spacing w:line="440" w:lineRule="exact"/>
        <w:ind w:firstLine="48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1.3供应商应按采购人提供的工程量计算工程项目的单价和合价。工程量清单中的每一单项均需计算填写单价和合价，供应商没有填写单价和合价的项目将被认为此项费用已包括在工程量清单的其他单价和合价中。</w:t>
      </w:r>
    </w:p>
    <w:p w14:paraId="7B618B21">
      <w:pPr>
        <w:keepNext w:val="0"/>
        <w:keepLines w:val="0"/>
        <w:pageBreakBefore w:val="0"/>
        <w:widowControl w:val="0"/>
        <w:kinsoku/>
        <w:wordWrap/>
        <w:overflowPunct/>
        <w:topLinePunct w:val="0"/>
        <w:autoSpaceDE/>
        <w:autoSpaceDN/>
        <w:bidi w:val="0"/>
        <w:adjustRightInd w:val="0"/>
        <w:snapToGrid w:val="0"/>
        <w:spacing w:line="440" w:lineRule="exact"/>
        <w:ind w:firstLine="48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1.4响应的供应商必须按统一的工程量清单报价，成交后，在施工过程中，不论由于工程量清单有误或漏项，还是由于设计变更、现场变更、签证引起的工程量清单项目或清单项目工程数量的增减，均按实调整。</w:t>
      </w:r>
    </w:p>
    <w:p w14:paraId="6965767D">
      <w:pPr>
        <w:keepNext w:val="0"/>
        <w:keepLines w:val="0"/>
        <w:pageBreakBefore w:val="0"/>
        <w:widowControl w:val="0"/>
        <w:kinsoku/>
        <w:wordWrap/>
        <w:overflowPunct/>
        <w:topLinePunct w:val="0"/>
        <w:autoSpaceDE/>
        <w:autoSpaceDN/>
        <w:bidi w:val="0"/>
        <w:adjustRightInd w:val="0"/>
        <w:snapToGrid w:val="0"/>
        <w:spacing w:line="440" w:lineRule="exact"/>
        <w:ind w:firstLine="48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1.5技术参数、项目实施方案所描述的技术措施所发生的费用，视为已体现在供应商报价的非实体性消耗所发生的费用中。</w:t>
      </w:r>
    </w:p>
    <w:p w14:paraId="49824282">
      <w:pPr>
        <w:keepNext w:val="0"/>
        <w:keepLines w:val="0"/>
        <w:pageBreakBefore w:val="0"/>
        <w:widowControl w:val="0"/>
        <w:kinsoku/>
        <w:wordWrap/>
        <w:overflowPunct/>
        <w:topLinePunct w:val="0"/>
        <w:autoSpaceDE/>
        <w:autoSpaceDN/>
        <w:bidi w:val="0"/>
        <w:adjustRightInd w:val="0"/>
        <w:snapToGrid w:val="0"/>
        <w:spacing w:line="440" w:lineRule="exact"/>
        <w:ind w:firstLine="48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1.6供应商自行勘察，了解周边原有建筑、设施，事先视察工地，充分了解工程位置、邻近建筑物、工地情况，通路、储存空间、起卸限制、及任何其它足以影响报价之情况，供应商须按接收工地日的现况，接收工地及自费清理任何遗留在工地上之废物，施工过程中因工地特殊情况而引起二次搬运、安全防护等。供应商在响应报价时应考虑这样因素，并在响应报价中予以考虑，采购人不接受供应商关于此类费用的任何诉讼或索赔。</w:t>
      </w:r>
    </w:p>
    <w:p w14:paraId="64CEDAD9">
      <w:pPr>
        <w:widowControl w:val="0"/>
        <w:spacing w:line="360" w:lineRule="auto"/>
        <w:ind w:firstLine="48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1.7安全文明施工是供应商的责任，采购人不接受任何由于供应商施工而导致的扰民或民扰引起的诉讼或索赔。供应商应在其响应报价时充分考虑因扰民与民扰而造成的工期影响与费用增加，在报价予以考虑，采购人不接受任何由于供应商考虑不周为由而提出的任何索赔。</w:t>
      </w:r>
    </w:p>
    <w:p w14:paraId="1616725A">
      <w:pPr>
        <w:widowControl w:val="0"/>
        <w:spacing w:line="360" w:lineRule="auto"/>
        <w:ind w:firstLine="48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1.8由供应商负责办理相关建设、城管、市政、安全、环保等部门的手续，施工供应商在响应报价时应考虑这样因素，费用包含在报价中，采购人不接受供应商关于此类费用的任何诉讼或索赔。</w:t>
      </w:r>
    </w:p>
    <w:p w14:paraId="77D379BB">
      <w:pPr>
        <w:widowControl w:val="0"/>
        <w:spacing w:line="360" w:lineRule="auto"/>
        <w:ind w:firstLine="48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1.9垃圾外运，在报价中综合考虑。</w:t>
      </w:r>
    </w:p>
    <w:p w14:paraId="67D191D0">
      <w:pPr>
        <w:widowControl w:val="0"/>
        <w:spacing w:line="360" w:lineRule="auto"/>
        <w:ind w:firstLine="48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1.10辅助工程部分：综合单价中应包括招标人提供的施工图所含内容，以及工程量清单报价中的价格，应包括完成清单项目的人工费、材料费、机械费、管理费及利润等费用。政策性文件规定及施工进程中包含的所有风险、责任等各项应有费用，并含相应的平整场地、地基处理调整等图纸及建设方要求的工程施工全部内容的全部费用。</w:t>
      </w:r>
    </w:p>
    <w:p w14:paraId="0B40B85C">
      <w:pPr>
        <w:widowControl w:val="0"/>
        <w:spacing w:line="360" w:lineRule="auto"/>
        <w:ind w:firstLine="48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1.11地方关系协调费供应商自行考虑，就此项招标人不支付任何费用。</w:t>
      </w:r>
    </w:p>
    <w:p w14:paraId="616CE4FC">
      <w:pPr>
        <w:widowControl w:val="0"/>
        <w:spacing w:line="360" w:lineRule="auto"/>
        <w:ind w:firstLine="48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1.12施工时需做好防护措施保证周边安全，因中标人保障不利对招标人或第三方造成损失的，赔偿责任全部由中标人承担，若因此会增加费用，控制价不计取，供应商自行考虑在报价中，结算时不予调整。</w:t>
      </w:r>
    </w:p>
    <w:p w14:paraId="0D6223BE">
      <w:pPr>
        <w:widowControl w:val="0"/>
        <w:spacing w:line="360" w:lineRule="auto"/>
        <w:ind w:firstLine="482"/>
        <w:jc w:val="both"/>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2、报价方式</w:t>
      </w:r>
    </w:p>
    <w:p w14:paraId="35E95AAA">
      <w:pPr>
        <w:widowControl w:val="0"/>
        <w:spacing w:line="360" w:lineRule="auto"/>
        <w:ind w:firstLine="48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2.1</w:t>
      </w:r>
      <w:r>
        <w:rPr>
          <w:rFonts w:hint="eastAsia" w:ascii="宋体" w:hAnsi="宋体" w:cs="宋体"/>
          <w:color w:val="auto"/>
          <w:sz w:val="24"/>
          <w:szCs w:val="24"/>
          <w:highlight w:val="none"/>
          <w:lang w:val="en-US" w:eastAsia="zh-CN" w:bidi="ar-SA"/>
        </w:rPr>
        <w:t xml:space="preserve"> 报价方</w:t>
      </w:r>
      <w:r>
        <w:rPr>
          <w:rFonts w:hint="eastAsia" w:ascii="宋体" w:hAnsi="宋体" w:cs="宋体"/>
          <w:b w:val="0"/>
          <w:bCs w:val="0"/>
          <w:color w:val="auto"/>
          <w:sz w:val="24"/>
          <w:szCs w:val="24"/>
          <w:highlight w:val="none"/>
          <w:lang w:val="en-US" w:eastAsia="zh-CN" w:bidi="ar-SA"/>
        </w:rPr>
        <w:t>式为</w:t>
      </w:r>
      <w:r>
        <w:rPr>
          <w:rFonts w:hint="eastAsia" w:ascii="宋体" w:hAnsi="宋体" w:eastAsia="宋体" w:cs="宋体"/>
          <w:b w:val="0"/>
          <w:bCs w:val="0"/>
          <w:color w:val="auto"/>
          <w:sz w:val="24"/>
          <w:szCs w:val="24"/>
          <w:highlight w:val="none"/>
          <w:lang w:val="en-US" w:eastAsia="zh-CN" w:bidi="ar-SA"/>
        </w:rPr>
        <w:t>总价（磋商报价表中填报总价，工程量清单中填报综合单价）</w:t>
      </w:r>
      <w:r>
        <w:rPr>
          <w:rFonts w:hint="eastAsia" w:ascii="宋体" w:hAnsi="宋体" w:eastAsia="宋体" w:cs="宋体"/>
          <w:color w:val="auto"/>
          <w:sz w:val="24"/>
          <w:szCs w:val="24"/>
          <w:highlight w:val="none"/>
          <w:lang w:val="en-US" w:eastAsia="zh-CN" w:bidi="ar-SA"/>
        </w:rPr>
        <w:t>。供应商应充分考虑施工期间各类建材的市场风险，并计入总报价，供应商在计算报价时应考虑一定的风险系数。</w:t>
      </w:r>
    </w:p>
    <w:p w14:paraId="5E0D9DC9">
      <w:pPr>
        <w:widowControl w:val="0"/>
        <w:spacing w:line="360" w:lineRule="auto"/>
        <w:ind w:firstLine="48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2.2材料风险约定：</w:t>
      </w:r>
    </w:p>
    <w:p w14:paraId="4ED76A96">
      <w:pPr>
        <w:widowControl w:val="0"/>
        <w:spacing w:line="360" w:lineRule="auto"/>
        <w:ind w:firstLine="48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2.2.1对于法律、法规、规章或有关政策出台导致工程税金、规费等发生变化的，应按照有关规定执行。</w:t>
      </w:r>
    </w:p>
    <w:p w14:paraId="24B258F3">
      <w:pPr>
        <w:widowControl w:val="0"/>
        <w:spacing w:line="360" w:lineRule="auto"/>
        <w:ind w:firstLine="48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2.2.2本工程对材料风险约定如下：供应商应充分考虑施工期间各类建材的市场风险，充分考虑政策性关于人工、机械费用等方面调整，并计入总报价，供应商所填写的单价在合同实施期间不因市场变化因素而变动，结算不再调整。</w:t>
      </w:r>
    </w:p>
    <w:p w14:paraId="51F83143">
      <w:pPr>
        <w:widowControl w:val="0"/>
        <w:spacing w:line="360" w:lineRule="auto"/>
        <w:ind w:firstLine="482"/>
        <w:jc w:val="both"/>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3、报价的计价方法</w:t>
      </w:r>
    </w:p>
    <w:p w14:paraId="5436C086">
      <w:pPr>
        <w:widowControl w:val="0"/>
        <w:spacing w:line="360" w:lineRule="auto"/>
        <w:ind w:firstLine="48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本工程项目采用工程量清单计价。供应商应根据采购人提供的工程量清单计算工程项目的单价、合价。工程量清单中每一个子目和单项均需计算填写单价、合价。若供应商没有填写单价、合价的项目采购人将不予支付，并认为此项费用已包括在工程量清单的其它单价、合价中。</w:t>
      </w:r>
    </w:p>
    <w:p w14:paraId="7F7BFC6C">
      <w:pPr>
        <w:widowControl w:val="0"/>
        <w:spacing w:line="360" w:lineRule="auto"/>
        <w:ind w:firstLine="482"/>
        <w:jc w:val="both"/>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4、报价编制依据及要求：详见工程量清单。</w:t>
      </w:r>
    </w:p>
    <w:p w14:paraId="24E2FFB8">
      <w:pPr>
        <w:widowControl w:val="0"/>
        <w:spacing w:line="360" w:lineRule="auto"/>
        <w:ind w:firstLine="482"/>
        <w:jc w:val="both"/>
        <w:outlineLvl w:val="1"/>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五、低于成本报价：</w:t>
      </w:r>
    </w:p>
    <w:p w14:paraId="61D40906">
      <w:pPr>
        <w:widowControl w:val="0"/>
        <w:spacing w:line="360" w:lineRule="auto"/>
        <w:ind w:firstLine="48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磋商专家小组认为供应商的报价明显低于其他通过符合性审查供应商的报价，有可能影响工程质量或者不能诚信履约的，磋商专家小组通过“苏采云”“系统中的视频会议”要求供应商人作出必要的说明，并规定回复时间。供应商说明应当采用通过“苏采云”“系统中的视频会议”系统（扫描件，加盖签章）形式回复。供应商不能证明其报价合理性的，磋商专家小组会应当将其作为不响应磋商文件作无效处理。</w:t>
      </w:r>
    </w:p>
    <w:p w14:paraId="10579701">
      <w:pPr>
        <w:widowControl w:val="0"/>
        <w:spacing w:line="360" w:lineRule="auto"/>
        <w:ind w:firstLine="48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评标委员会全体成员三分之二以上认为该供应商不能合理说明或者不能提供相关证明材料的，认定该供应商以低于成本报价，其响应文件应作无效响应文件处理。持有异议的评标委员会成员可以书面方式阐述其不同意见和理由，拒绝签字且不陈述其不同意见和理由的，视为同意。</w:t>
      </w:r>
    </w:p>
    <w:p w14:paraId="64D1D1B4">
      <w:pPr>
        <w:widowControl w:val="0"/>
        <w:pBdr>
          <w:top w:val="none" w:color="000000" w:sz="0" w:space="0"/>
          <w:left w:val="none" w:color="000000" w:sz="0" w:space="0"/>
          <w:bottom w:val="none" w:color="000000" w:sz="0" w:space="0"/>
          <w:right w:val="none" w:color="000000" w:sz="0" w:space="0"/>
        </w:pBdr>
        <w:spacing w:line="360" w:lineRule="auto"/>
        <w:ind w:firstLine="482"/>
        <w:jc w:val="both"/>
        <w:rPr>
          <w:rFonts w:hint="eastAsia" w:ascii="宋体" w:hAnsi="宋体" w:eastAsia="宋体" w:cs="宋体"/>
          <w:color w:val="auto"/>
          <w:sz w:val="21"/>
          <w:szCs w:val="24"/>
          <w:highlight w:val="none"/>
          <w:lang w:val="en-US" w:eastAsia="zh-CN" w:bidi="ar-SA"/>
        </w:rPr>
      </w:pPr>
      <w:r>
        <w:rPr>
          <w:rFonts w:hint="eastAsia" w:ascii="宋体" w:hAnsi="宋体" w:eastAsia="宋体" w:cs="宋体"/>
          <w:b/>
          <w:color w:val="auto"/>
          <w:sz w:val="24"/>
          <w:szCs w:val="24"/>
          <w:highlight w:val="none"/>
          <w:lang w:val="en-US" w:eastAsia="zh-CN" w:bidi="ar-SA"/>
        </w:rPr>
        <w:t>六、响应文件要求</w:t>
      </w:r>
    </w:p>
    <w:p w14:paraId="22A635AE">
      <w:pPr>
        <w:widowControl w:val="0"/>
        <w:pBdr>
          <w:top w:val="none" w:color="000000" w:sz="0" w:space="0"/>
          <w:left w:val="none" w:color="000000" w:sz="0" w:space="0"/>
          <w:bottom w:val="none" w:color="000000" w:sz="0" w:space="0"/>
          <w:right w:val="none" w:color="000000" w:sz="0" w:space="0"/>
        </w:pBdr>
        <w:spacing w:line="360" w:lineRule="auto"/>
        <w:ind w:firstLine="480"/>
        <w:jc w:val="both"/>
        <w:rPr>
          <w:rFonts w:hint="eastAsia" w:ascii="宋体" w:hAnsi="宋体" w:eastAsia="宋体" w:cs="宋体"/>
          <w:color w:val="auto"/>
          <w:sz w:val="21"/>
          <w:szCs w:val="24"/>
          <w:highlight w:val="none"/>
          <w:lang w:val="en-US" w:eastAsia="zh-CN" w:bidi="ar-SA"/>
        </w:rPr>
      </w:pPr>
      <w:r>
        <w:rPr>
          <w:rFonts w:hint="eastAsia" w:ascii="宋体" w:hAnsi="宋体" w:eastAsia="宋体" w:cs="宋体"/>
          <w:color w:val="auto"/>
          <w:sz w:val="24"/>
          <w:szCs w:val="24"/>
          <w:highlight w:val="none"/>
          <w:lang w:val="en-US" w:eastAsia="zh-CN" w:bidi="ar-SA"/>
        </w:rPr>
        <w:t>1.首次响应文件中提供《已标价的工程量清单》文件。</w:t>
      </w:r>
    </w:p>
    <w:p w14:paraId="0BD3E726">
      <w:pPr>
        <w:widowControl w:val="0"/>
        <w:pBdr>
          <w:top w:val="none" w:color="000000" w:sz="0" w:space="0"/>
          <w:left w:val="none" w:color="000000" w:sz="0" w:space="0"/>
          <w:bottom w:val="none" w:color="000000" w:sz="0" w:space="0"/>
          <w:right w:val="none" w:color="000000" w:sz="0" w:space="0"/>
        </w:pBdr>
        <w:spacing w:line="360" w:lineRule="auto"/>
        <w:ind w:firstLine="480"/>
        <w:jc w:val="both"/>
        <w:rPr>
          <w:rFonts w:hint="eastAsia" w:ascii="宋体" w:hAnsi="宋体" w:eastAsia="宋体" w:cs="宋体"/>
          <w:color w:val="auto"/>
          <w:sz w:val="21"/>
          <w:szCs w:val="24"/>
          <w:highlight w:val="none"/>
          <w:lang w:val="en-US" w:eastAsia="zh-CN" w:bidi="ar-SA"/>
        </w:rPr>
      </w:pPr>
      <w:r>
        <w:rPr>
          <w:rFonts w:hint="eastAsia" w:ascii="宋体" w:hAnsi="宋体" w:eastAsia="宋体" w:cs="宋体"/>
          <w:color w:val="auto"/>
          <w:sz w:val="24"/>
          <w:szCs w:val="24"/>
          <w:highlight w:val="none"/>
          <w:lang w:val="en-US" w:eastAsia="zh-CN" w:bidi="ar-SA"/>
        </w:rPr>
        <w:t>2.按照《工程量清单》编制《已标价的工程量清单》。</w:t>
      </w:r>
    </w:p>
    <w:p w14:paraId="00F45210">
      <w:pPr>
        <w:widowControl w:val="0"/>
        <w:pBdr>
          <w:top w:val="none" w:color="000000" w:sz="0" w:space="0"/>
          <w:left w:val="none" w:color="000000" w:sz="0" w:space="0"/>
          <w:bottom w:val="none" w:color="000000" w:sz="0" w:space="0"/>
          <w:right w:val="none" w:color="000000" w:sz="0" w:space="0"/>
        </w:pBdr>
        <w:spacing w:line="360" w:lineRule="auto"/>
        <w:ind w:firstLine="482"/>
        <w:jc w:val="both"/>
        <w:rPr>
          <w:rFonts w:hint="eastAsia" w:ascii="宋体" w:hAnsi="宋体" w:eastAsia="宋体" w:cs="宋体"/>
          <w:color w:val="auto"/>
          <w:sz w:val="21"/>
          <w:szCs w:val="24"/>
          <w:highlight w:val="none"/>
          <w:lang w:val="en-US" w:eastAsia="zh-CN" w:bidi="ar-SA"/>
        </w:rPr>
      </w:pPr>
      <w:r>
        <w:rPr>
          <w:rFonts w:hint="eastAsia" w:ascii="宋体" w:hAnsi="宋体" w:eastAsia="宋体" w:cs="宋体"/>
          <w:b/>
          <w:color w:val="auto"/>
          <w:sz w:val="24"/>
          <w:szCs w:val="24"/>
          <w:highlight w:val="none"/>
          <w:lang w:val="en-US" w:eastAsia="zh-CN" w:bidi="ar-SA"/>
        </w:rPr>
        <w:t>供应商必须说明其是否响应采购文件中提出的全部服务内容与要求，如果其中某些条款不响应时，应在文件中逐条列出，未列出的视同响应。</w:t>
      </w:r>
    </w:p>
    <w:p w14:paraId="2220AE75">
      <w:pPr>
        <w:widowControl w:val="0"/>
        <w:pBdr>
          <w:top w:val="none" w:color="000000" w:sz="0" w:space="0"/>
          <w:left w:val="none" w:color="000000" w:sz="0" w:space="0"/>
          <w:bottom w:val="none" w:color="000000" w:sz="0" w:space="0"/>
          <w:right w:val="none" w:color="000000" w:sz="0" w:space="0"/>
        </w:pBdr>
        <w:spacing w:line="360" w:lineRule="auto"/>
        <w:ind w:firstLine="482"/>
        <w:jc w:val="both"/>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七、服务要求</w:t>
      </w:r>
    </w:p>
    <w:p w14:paraId="16A29032">
      <w:pPr>
        <w:keepNext w:val="0"/>
        <w:keepLines w:val="0"/>
        <w:pageBreakBefore w:val="0"/>
        <w:widowControl w:val="0"/>
        <w:spacing w:after="0" w:line="360" w:lineRule="auto"/>
        <w:ind w:firstLine="480"/>
        <w:jc w:val="both"/>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1、质保及售后服务：整体工程质保期为</w:t>
      </w:r>
      <w:r>
        <w:rPr>
          <w:rFonts w:hint="eastAsia" w:ascii="宋体" w:hAnsi="宋体" w:cs="宋体"/>
          <w:b w:val="0"/>
          <w:bCs w:val="0"/>
          <w:color w:val="auto"/>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bidi="ar-SA"/>
        </w:rPr>
        <w:t xml:space="preserve">年。质保期从本项目验收合格之日起计算。质保期外，工程质量出现问题，成交供应商应主动提供维修方案，只收取材料费。 </w:t>
      </w:r>
    </w:p>
    <w:p w14:paraId="5ED559F1">
      <w:pPr>
        <w:keepNext w:val="0"/>
        <w:keepLines w:val="0"/>
        <w:pageBreakBefore w:val="0"/>
        <w:widowControl w:val="0"/>
        <w:spacing w:after="0" w:line="360" w:lineRule="auto"/>
        <w:ind w:firstLine="48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2、质保期内，如发生故障，采购人通知成交供应商售后服务人员时，相关服务人员要在2小时内到达现场配合采购人处理问题，进行更换或进行必要的维修。 </w:t>
      </w:r>
    </w:p>
    <w:p w14:paraId="0762858C">
      <w:pPr>
        <w:keepNext w:val="0"/>
        <w:keepLines w:val="0"/>
        <w:pageBreakBefore w:val="0"/>
        <w:widowControl w:val="0"/>
        <w:spacing w:after="0" w:line="360" w:lineRule="auto"/>
        <w:ind w:firstLine="48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3、供应商需根据本项目特征及自身情况编制施工方案。</w:t>
      </w:r>
    </w:p>
    <w:p w14:paraId="7E9B8F86"/>
    <w:p w14:paraId="495AA16C"/>
    <w:p w14:paraId="0C2B121E"/>
    <w:p w14:paraId="168FFCD4"/>
    <w:p w14:paraId="77CB2590"/>
    <w:p w14:paraId="56B29995"/>
    <w:p w14:paraId="410241E9"/>
    <w:p w14:paraId="34FB2BAE"/>
    <w:p w14:paraId="065323E6"/>
    <w:p w14:paraId="759F3836"/>
    <w:p w14:paraId="6BA7990C"/>
    <w:p w14:paraId="5CAD4E74"/>
    <w:p w14:paraId="20370CBA"/>
    <w:p w14:paraId="25E16361">
      <w:pPr>
        <w:rPr>
          <w:rFonts w:hint="eastAsia"/>
          <w:lang w:val="en-US" w:eastAsia="zh-CN"/>
        </w:rPr>
      </w:pPr>
      <w:r>
        <w:rPr>
          <w:rFonts w:hint="eastAsia"/>
          <w:lang w:val="en-US" w:eastAsia="zh-CN"/>
        </w:rPr>
        <w:t>本项目资格条件要求如下：</w:t>
      </w:r>
    </w:p>
    <w:p w14:paraId="74EB5C82">
      <w:pPr>
        <w:pStyle w:val="5"/>
        <w:spacing w:line="360" w:lineRule="auto"/>
        <w:ind w:firstLine="480"/>
        <w:rPr>
          <w:rFonts w:ascii="宋体" w:hAnsi="宋体"/>
          <w:sz w:val="24"/>
          <w:highlight w:val="none"/>
        </w:rPr>
      </w:pPr>
      <w:r>
        <w:rPr>
          <w:rFonts w:ascii="宋体" w:hAnsi="宋体"/>
          <w:sz w:val="24"/>
          <w:highlight w:val="none"/>
        </w:rPr>
        <w:t>1.符合《中华人民共和国政府采购法》第二十二条规定。</w:t>
      </w:r>
    </w:p>
    <w:p w14:paraId="1EA86E2E">
      <w:pPr>
        <w:pStyle w:val="5"/>
        <w:spacing w:line="360" w:lineRule="auto"/>
        <w:ind w:firstLine="480"/>
        <w:rPr>
          <w:rFonts w:ascii="宋体" w:hAnsi="宋体"/>
          <w:sz w:val="24"/>
          <w:highlight w:val="none"/>
        </w:rPr>
      </w:pPr>
      <w:r>
        <w:rPr>
          <w:rFonts w:ascii="宋体" w:hAnsi="宋体"/>
          <w:sz w:val="24"/>
          <w:highlight w:val="none"/>
        </w:rPr>
        <w:t>2.落实政府采购政策需满足的资格要求：此项目属于专门面向中小微企业采购的项目,供应商应为中小微企业、残疾人福利性单位。</w:t>
      </w:r>
    </w:p>
    <w:p w14:paraId="14A7685F">
      <w:pPr>
        <w:pStyle w:val="5"/>
        <w:spacing w:line="360" w:lineRule="auto"/>
        <w:ind w:firstLine="480"/>
        <w:rPr>
          <w:rFonts w:ascii="宋体" w:hAnsi="宋体"/>
          <w:b/>
          <w:bCs/>
          <w:sz w:val="24"/>
          <w:highlight w:val="none"/>
        </w:rPr>
      </w:pPr>
      <w:r>
        <w:rPr>
          <w:rFonts w:ascii="宋体" w:hAnsi="宋体"/>
          <w:b/>
          <w:bCs/>
          <w:sz w:val="24"/>
          <w:highlight w:val="none"/>
        </w:rPr>
        <w:t>3.本项目的特定资格要求：</w:t>
      </w:r>
    </w:p>
    <w:p w14:paraId="5CBDAD53">
      <w:pPr>
        <w:keepNext w:val="0"/>
        <w:keepLines w:val="0"/>
        <w:pageBreakBefore w:val="0"/>
        <w:widowControl/>
        <w:spacing w:line="360" w:lineRule="auto"/>
        <w:ind w:right="26" w:firstLine="361"/>
        <w:jc w:val="left"/>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(1)具有公路工程施工总承包三级及以上资质，并在有效期内；</w:t>
      </w:r>
    </w:p>
    <w:p w14:paraId="4A108C4F">
      <w:pPr>
        <w:keepNext w:val="0"/>
        <w:keepLines w:val="0"/>
        <w:pageBreakBefore w:val="0"/>
        <w:widowControl/>
        <w:spacing w:line="360" w:lineRule="auto"/>
        <w:ind w:right="26" w:firstLine="241" w:firstLineChars="100"/>
        <w:jc w:val="left"/>
        <w:rPr>
          <w:rFonts w:hint="eastAsia" w:ascii="宋体" w:hAnsi="宋体" w:cs="宋体"/>
          <w:b/>
          <w:bCs/>
          <w:color w:val="FF0000"/>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）项目经理具有公路工程专业二级注册建造师及以上资质，持有省级</w:t>
      </w:r>
      <w:r>
        <w:rPr>
          <w:rFonts w:hint="eastAsia" w:ascii="宋体" w:hAnsi="宋体" w:cs="宋体"/>
          <w:b/>
          <w:bCs/>
          <w:color w:val="auto"/>
          <w:sz w:val="24"/>
          <w:highlight w:val="none"/>
          <w:lang w:val="en-US" w:eastAsia="zh-CN"/>
        </w:rPr>
        <w:t>及以上</w:t>
      </w:r>
      <w:r>
        <w:rPr>
          <w:rFonts w:hint="eastAsia" w:ascii="宋体" w:hAnsi="宋体" w:cs="宋体"/>
          <w:b/>
          <w:bCs/>
          <w:color w:val="auto"/>
          <w:sz w:val="24"/>
          <w:highlight w:val="none"/>
        </w:rPr>
        <w:t>交通运输主管部门核发的有效的《公路水运工程施工主要负责人和安全生产管理人员安全生产考核合格证书》(B类</w:t>
      </w:r>
      <w:r>
        <w:rPr>
          <w:rFonts w:hint="eastAsia" w:ascii="宋体" w:hAnsi="宋体" w:cs="宋体"/>
          <w:b/>
          <w:bCs/>
          <w:color w:val="auto"/>
          <w:sz w:val="24"/>
          <w:highlight w:val="none"/>
          <w:lang w:eastAsia="zh-CN"/>
        </w:rPr>
        <w:t>）或《公路水运工程施工单位主要负责人、项目负责人和专职安全生产管理人员安全生产考核合格证书》(B类）</w:t>
      </w:r>
      <w:r>
        <w:rPr>
          <w:rFonts w:hint="eastAsia" w:ascii="宋体" w:hAnsi="宋体" w:cs="宋体"/>
          <w:b/>
          <w:bCs/>
          <w:color w:val="auto"/>
          <w:sz w:val="24"/>
          <w:highlight w:val="none"/>
        </w:rPr>
        <w:t>，拟投入的项目经理无其他在建项目</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（提供无在建承诺书，格式自拟）</w:t>
      </w:r>
      <w:r>
        <w:rPr>
          <w:rFonts w:hint="eastAsia" w:ascii="宋体" w:hAnsi="宋体" w:eastAsia="宋体" w:cs="宋体"/>
          <w:b/>
          <w:bCs/>
          <w:color w:val="auto"/>
          <w:sz w:val="24"/>
          <w:highlight w:val="none"/>
        </w:rPr>
        <w:t>。</w:t>
      </w:r>
    </w:p>
    <w:p w14:paraId="1D836EF2">
      <w:pPr>
        <w:keepNext w:val="0"/>
        <w:keepLines w:val="0"/>
        <w:pageBreakBefore w:val="0"/>
        <w:widowControl/>
        <w:spacing w:line="360" w:lineRule="auto"/>
        <w:ind w:right="26" w:firstLine="361"/>
        <w:jc w:val="left"/>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lang w:eastAsia="zh-CN"/>
        </w:rPr>
        <w:t>）项目总工必须具有公路工程相关专业中级及以上技术职称，持有省级交通运输主管部门核发的有效的《公路水运工程施工主要负责人和安全生产管理人员安全生产考核合格证书》(B类)；拟投入的项目总工无其他在建项目。</w:t>
      </w:r>
    </w:p>
    <w:p w14:paraId="3D4134FA">
      <w:pPr>
        <w:pStyle w:val="29"/>
        <w:ind w:left="0" w:leftChars="0" w:firstLine="241" w:firstLineChars="100"/>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lang w:eastAsia="zh-CN"/>
        </w:rPr>
        <w:t>）具有省级及以上建设行政主管部门核发的《安全生产许可证》，并在有效期内；</w:t>
      </w:r>
    </w:p>
    <w:p w14:paraId="201B5A9F">
      <w:pPr>
        <w:pStyle w:val="29"/>
        <w:spacing w:line="360" w:lineRule="auto"/>
        <w:ind w:left="0" w:leftChars="0" w:firstLine="241" w:firstLineChars="1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(5)拟投入项目负责人、项目总工应为投标人本单位人员，并提供社保系统打印的本单位人员缴费明细或其他能够证明项目负责人在本单位参加社保的有效证明材料。社保缴费时间段应为递交当月的前一个月开始往前6个月任意一个月（不含递交当月的前一个月）。</w:t>
      </w:r>
    </w:p>
    <w:p w14:paraId="14DFE7CD">
      <w:pPr>
        <w:pStyle w:val="29"/>
        <w:spacing w:line="360" w:lineRule="auto"/>
        <w:ind w:left="0" w:leftChars="0" w:firstLine="241" w:firstLineChars="100"/>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注：公路工程相关专业职称包括：公路工程、桥梁工程、公路与桥梁工程、交通土建、隧道 （地下结构）工程、交通工程等专业职称。</w:t>
      </w:r>
    </w:p>
    <w:p w14:paraId="250C4E82">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60101010101"/>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40482"/>
    <w:multiLevelType w:val="multilevel"/>
    <w:tmpl w:val="0E640482"/>
    <w:lvl w:ilvl="0" w:tentative="0">
      <w:start w:val="1"/>
      <w:numFmt w:val="decimal"/>
      <w:lvlText w:val="%1."/>
      <w:lvlJc w:val="left"/>
      <w:pPr>
        <w:tabs>
          <w:tab w:val="left" w:pos="312"/>
        </w:tabs>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60382F6E"/>
    <w:multiLevelType w:val="multilevel"/>
    <w:tmpl w:val="60382F6E"/>
    <w:lvl w:ilvl="0" w:tentative="0">
      <w:start w:val="1"/>
      <w:numFmt w:val="chineseCounting"/>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xODljNTcxZjU1MjUwZmRmYjgyNDJjY2EzZjNjOGMifQ=="/>
  </w:docVars>
  <w:rsids>
    <w:rsidRoot w:val="00000000"/>
    <w:rsid w:val="0D5E5B1F"/>
    <w:rsid w:val="2A397B9F"/>
    <w:rsid w:val="3540228A"/>
    <w:rsid w:val="3B98778D"/>
    <w:rsid w:val="3D6C58AA"/>
    <w:rsid w:val="40B37EF4"/>
    <w:rsid w:val="43AF569F"/>
    <w:rsid w:val="44376490"/>
    <w:rsid w:val="5C9D604B"/>
    <w:rsid w:val="61204913"/>
    <w:rsid w:val="642162B3"/>
    <w:rsid w:val="666E15A9"/>
    <w:rsid w:val="68CF075D"/>
    <w:rsid w:val="699C6560"/>
    <w:rsid w:val="75461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hint="default" w:ascii="Times New Roman" w:hAnsi="Times New Roman" w:eastAsia="宋体" w:cs="Times New Roman"/>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正文111"/>
    <w:next w:val="6"/>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
    <w:name w:val="正文首行缩进1"/>
    <w:basedOn w:val="7"/>
    <w:next w:val="13"/>
    <w:autoRedefine/>
    <w:qFormat/>
    <w:uiPriority w:val="0"/>
    <w:pPr>
      <w:spacing w:line="360" w:lineRule="auto"/>
      <w:ind w:firstLine="200"/>
    </w:pPr>
    <w:rPr>
      <w:rFonts w:ascii="仿宋_GB2312" w:eastAsia="仿宋_GB2312"/>
      <w:sz w:val="30"/>
      <w:szCs w:val="30"/>
      <w:lang w:val="en-US" w:eastAsia="en-US"/>
    </w:rPr>
  </w:style>
  <w:style w:type="paragraph" w:customStyle="1" w:styleId="7">
    <w:name w:val="正文文本11"/>
    <w:basedOn w:val="5"/>
    <w:next w:val="8"/>
    <w:autoRedefine/>
    <w:qFormat/>
    <w:uiPriority w:val="0"/>
    <w:pPr>
      <w:spacing w:after="120"/>
    </w:pPr>
  </w:style>
  <w:style w:type="paragraph" w:customStyle="1" w:styleId="8">
    <w:name w:val="一级条标题"/>
    <w:basedOn w:val="9"/>
    <w:next w:val="10"/>
    <w:autoRedefine/>
    <w:qFormat/>
    <w:uiPriority w:val="0"/>
    <w:pPr>
      <w:tabs>
        <w:tab w:val="left" w:pos="810"/>
        <w:tab w:val="left" w:pos="907"/>
        <w:tab w:val="left" w:pos="1265"/>
      </w:tabs>
      <w:spacing w:before="0" w:after="0"/>
      <w:ind w:left="907" w:hanging="907"/>
      <w:outlineLvl w:val="2"/>
    </w:pPr>
    <w:rPr>
      <w:rFonts w:hAnsi="宋体"/>
      <w:sz w:val="20"/>
      <w:szCs w:val="20"/>
      <w:lang w:val="en-US" w:eastAsia="en-US"/>
    </w:rPr>
  </w:style>
  <w:style w:type="paragraph" w:customStyle="1" w:styleId="9">
    <w:name w:val="章标题"/>
    <w:next w:val="1"/>
    <w:autoRedefine/>
    <w:qFormat/>
    <w:uiPriority w:val="0"/>
    <w:pPr>
      <w:tabs>
        <w:tab w:val="left" w:pos="810"/>
        <w:tab w:val="left" w:pos="1265"/>
      </w:tabs>
      <w:spacing w:before="50" w:after="50"/>
      <w:ind w:left="810" w:hanging="810"/>
      <w:jc w:val="both"/>
      <w:outlineLvl w:val="1"/>
    </w:pPr>
    <w:rPr>
      <w:rFonts w:hint="default" w:ascii="黑体" w:hAnsi="Calibri" w:eastAsia="黑体" w:cs="Times New Roman"/>
      <w:sz w:val="21"/>
      <w:szCs w:val="22"/>
      <w:lang w:val="en-US" w:eastAsia="zh-CN" w:bidi="ar-SA"/>
    </w:rPr>
  </w:style>
  <w:style w:type="paragraph" w:customStyle="1" w:styleId="10">
    <w:name w:val="段"/>
    <w:basedOn w:val="11"/>
    <w:next w:val="1"/>
    <w:autoRedefine/>
    <w:qFormat/>
    <w:uiPriority w:val="0"/>
    <w:pPr>
      <w:widowControl/>
      <w:ind w:firstLine="200"/>
    </w:pPr>
    <w:rPr>
      <w:rFonts w:ascii="宋体"/>
      <w:sz w:val="20"/>
      <w:szCs w:val="20"/>
    </w:rPr>
  </w:style>
  <w:style w:type="paragraph" w:customStyle="1" w:styleId="11">
    <w:name w:val="正文1"/>
    <w:basedOn w:val="5"/>
    <w:next w:val="12"/>
    <w:autoRedefine/>
    <w:qFormat/>
    <w:uiPriority w:val="0"/>
    <w:pPr>
      <w:spacing w:line="360" w:lineRule="atLeast"/>
      <w:jc w:val="left"/>
    </w:pPr>
    <w:rPr>
      <w:rFonts w:ascii="宋体"/>
      <w:sz w:val="24"/>
      <w:szCs w:val="20"/>
      <w:lang w:val="en-US" w:eastAsia="en-US"/>
    </w:rPr>
  </w:style>
  <w:style w:type="paragraph" w:customStyle="1" w:styleId="12">
    <w:name w:val="标题 21"/>
    <w:basedOn w:val="5"/>
    <w:next w:val="11"/>
    <w:autoRedefine/>
    <w:qFormat/>
    <w:uiPriority w:val="0"/>
    <w:pPr>
      <w:keepNext/>
      <w:keepLines/>
      <w:spacing w:before="260" w:after="260" w:line="416" w:lineRule="auto"/>
      <w:outlineLvl w:val="1"/>
    </w:pPr>
    <w:rPr>
      <w:rFonts w:ascii="Cambria" w:hAnsi="Cambria"/>
      <w:b/>
      <w:bCs/>
      <w:sz w:val="32"/>
      <w:szCs w:val="32"/>
    </w:rPr>
  </w:style>
  <w:style w:type="paragraph" w:customStyle="1" w:styleId="13">
    <w:name w:val="正文首行缩进 21"/>
    <w:basedOn w:val="14"/>
    <w:next w:val="5"/>
    <w:autoRedefine/>
    <w:qFormat/>
    <w:uiPriority w:val="0"/>
    <w:pPr>
      <w:spacing w:after="0" w:line="360" w:lineRule="auto"/>
      <w:ind w:left="0" w:firstLine="420"/>
    </w:pPr>
    <w:rPr>
      <w:rFonts w:ascii="宋体" w:hAnsi="宋体"/>
      <w:sz w:val="20"/>
      <w:szCs w:val="20"/>
    </w:rPr>
  </w:style>
  <w:style w:type="paragraph" w:customStyle="1" w:styleId="14">
    <w:name w:val="正文文本缩进1"/>
    <w:basedOn w:val="15"/>
    <w:autoRedefine/>
    <w:qFormat/>
    <w:uiPriority w:val="0"/>
    <w:pPr>
      <w:spacing w:after="120"/>
      <w:ind w:left="420"/>
    </w:pPr>
    <w:rPr>
      <w:lang w:val="en-US" w:eastAsia="en-US"/>
    </w:rPr>
  </w:style>
  <w:style w:type="paragraph" w:customStyle="1" w:styleId="15">
    <w:name w:val="正文11"/>
    <w:next w:val="16"/>
    <w:qFormat/>
    <w:uiPriority w:val="0"/>
    <w:pPr>
      <w:jc w:val="both"/>
    </w:pPr>
    <w:rPr>
      <w:rFonts w:hint="default" w:ascii="Times New Roman" w:hAnsi="Times New Roman" w:eastAsia="宋体" w:cs="Times New Roman"/>
      <w:lang w:val="en-US" w:eastAsia="zh-CN" w:bidi="ar-SA"/>
    </w:rPr>
  </w:style>
  <w:style w:type="paragraph" w:customStyle="1" w:styleId="16">
    <w:name w:val="标题 211"/>
    <w:basedOn w:val="17"/>
    <w:next w:val="15"/>
    <w:qFormat/>
    <w:uiPriority w:val="0"/>
    <w:pPr>
      <w:keepNext/>
      <w:keepLines/>
      <w:spacing w:before="260" w:after="260" w:line="416" w:lineRule="auto"/>
      <w:outlineLvl w:val="1"/>
    </w:pPr>
    <w:rPr>
      <w:rFonts w:ascii="Calibri Light" w:hAnsi="Calibri Light"/>
      <w:b/>
      <w:bCs/>
      <w:sz w:val="32"/>
      <w:szCs w:val="32"/>
    </w:rPr>
  </w:style>
  <w:style w:type="paragraph" w:customStyle="1" w:styleId="17">
    <w:name w:val="正文112"/>
    <w:next w:val="18"/>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8">
    <w:name w:val="正文首行缩进11"/>
    <w:basedOn w:val="19"/>
    <w:next w:val="20"/>
    <w:qFormat/>
    <w:uiPriority w:val="0"/>
    <w:pPr>
      <w:ind w:firstLine="420"/>
    </w:pPr>
    <w:rPr>
      <w:rFonts w:ascii="仿宋_GB2312" w:eastAsia="仿宋_GB2312"/>
      <w:sz w:val="30"/>
      <w:szCs w:val="30"/>
    </w:rPr>
  </w:style>
  <w:style w:type="paragraph" w:customStyle="1" w:styleId="19">
    <w:name w:val="正文文本1"/>
    <w:basedOn w:val="5"/>
    <w:next w:val="8"/>
    <w:qFormat/>
    <w:uiPriority w:val="0"/>
    <w:pPr>
      <w:spacing w:after="120"/>
    </w:pPr>
  </w:style>
  <w:style w:type="paragraph" w:customStyle="1" w:styleId="20">
    <w:name w:val="正文首行缩进 22"/>
    <w:basedOn w:val="21"/>
    <w:next w:val="17"/>
    <w:qFormat/>
    <w:uiPriority w:val="0"/>
    <w:pPr>
      <w:spacing w:after="0" w:line="360" w:lineRule="auto"/>
      <w:ind w:left="0" w:firstLine="420"/>
    </w:pPr>
    <w:rPr>
      <w:rFonts w:ascii="宋体" w:hAnsi="宋体"/>
      <w:sz w:val="20"/>
      <w:szCs w:val="20"/>
    </w:rPr>
  </w:style>
  <w:style w:type="paragraph" w:customStyle="1" w:styleId="21">
    <w:name w:val="正文文本缩进2"/>
    <w:basedOn w:val="17"/>
    <w:qFormat/>
    <w:uiPriority w:val="0"/>
    <w:pPr>
      <w:spacing w:after="120"/>
      <w:ind w:left="420"/>
    </w:pPr>
  </w:style>
  <w:style w:type="paragraph" w:customStyle="1" w:styleId="22">
    <w:name w:val="文本块1"/>
    <w:basedOn w:val="5"/>
    <w:autoRedefine/>
    <w:qFormat/>
    <w:uiPriority w:val="0"/>
    <w:pPr>
      <w:ind w:left="256" w:right="6" w:firstLine="624"/>
    </w:pPr>
    <w:rPr>
      <w:rFonts w:ascii="Times New Roman" w:hAnsi="Times New Roman" w:eastAsia="仿宋"/>
      <w:sz w:val="28"/>
      <w:szCs w:val="20"/>
    </w:rPr>
  </w:style>
  <w:style w:type="paragraph" w:customStyle="1" w:styleId="23">
    <w:name w:val="寄信人地址1"/>
    <w:basedOn w:val="15"/>
    <w:qFormat/>
    <w:uiPriority w:val="0"/>
    <w:rPr>
      <w:rFonts w:ascii="Arial" w:hAnsi="Arial"/>
    </w:rPr>
  </w:style>
  <w:style w:type="paragraph" w:customStyle="1" w:styleId="24">
    <w:name w:val="脚注文本1"/>
    <w:basedOn w:val="11"/>
    <w:next w:val="25"/>
    <w:qFormat/>
    <w:uiPriority w:val="0"/>
    <w:rPr>
      <w:sz w:val="18"/>
      <w:szCs w:val="18"/>
    </w:rPr>
  </w:style>
  <w:style w:type="paragraph" w:customStyle="1" w:styleId="25">
    <w:name w:val="索引 51"/>
    <w:basedOn w:val="26"/>
    <w:next w:val="11"/>
    <w:qFormat/>
    <w:uiPriority w:val="0"/>
    <w:pPr>
      <w:ind w:left="798"/>
      <w:jc w:val="left"/>
    </w:pPr>
  </w:style>
  <w:style w:type="paragraph" w:customStyle="1" w:styleId="26">
    <w:name w:val="正文12"/>
    <w:next w:val="27"/>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 w:type="paragraph" w:customStyle="1" w:styleId="27">
    <w:name w:val="正文文本111"/>
    <w:basedOn w:val="28"/>
    <w:next w:val="26"/>
    <w:qFormat/>
    <w:uiPriority w:val="0"/>
  </w:style>
  <w:style w:type="paragraph" w:customStyle="1" w:styleId="28">
    <w:name w:val="正文1121"/>
    <w:next w:val="27"/>
    <w:qFormat/>
    <w:uiPriority w:val="0"/>
    <w:pPr>
      <w:widowControl w:val="0"/>
      <w:jc w:val="both"/>
    </w:pPr>
    <w:rPr>
      <w:rFonts w:hint="default" w:ascii="Calibri" w:hAnsi="Calibri" w:eastAsia="宋体" w:cs="Times New Roman"/>
      <w:sz w:val="21"/>
      <w:szCs w:val="24"/>
      <w:lang w:val="en-US" w:eastAsia="zh-CN" w:bidi="ar-SA"/>
    </w:rPr>
  </w:style>
  <w:style w:type="paragraph" w:styleId="29">
    <w:name w:val="List Paragraph"/>
    <w:basedOn w:val="1"/>
    <w:autoRedefine/>
    <w:qFormat/>
    <w:uiPriority w:val="34"/>
    <w:pPr>
      <w:ind w:left="720"/>
      <w:contextualSpacing/>
    </w:pPr>
    <w:rPr>
      <w:rFonts w:hint="default"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162</Words>
  <Characters>178</Characters>
  <Lines>0</Lines>
  <Paragraphs>0</Paragraphs>
  <TotalTime>0</TotalTime>
  <ScaleCrop>false</ScaleCrop>
  <LinksUpToDate>false</LinksUpToDate>
  <CharactersWithSpaces>178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2022-01-12T02:43:00Z</dcterms:created>
  <dc:creator>Administrator</dc:creator>
  <cp:lastModifiedBy>Administrator</cp:lastModifiedBy>
  <dcterms:modified xsi:type="dcterms:W3CDTF">2025-08-06T06:26:58Z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F826FCCAEE054152B978FC7D3A574977_13</vt:lpwstr>
  </property>
  <property fmtid="{D5CDD505-2E9C-101B-9397-08002B2CF9AE}" pid="4" name="KSOTemplateDocerSaveRecord">
    <vt:lpwstr>eyJoZGlkIjoiMWIxODljNTcxZjU1MjUwZmRmYjgyNDJjY2EzZjNjOGMiLCJ1c2VySWQiOiIxMzg0NTY4NjY4In0=</vt:lpwstr>
  </property>
</Properties>
</file>