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56DBD">
      <w:pPr>
        <w:spacing w:line="360" w:lineRule="auto"/>
        <w:rPr>
          <w:rFonts w:ascii="宋体" w:hAnsi="宋体"/>
          <w:color w:val="000000"/>
          <w:sz w:val="28"/>
          <w:szCs w:val="28"/>
        </w:rPr>
      </w:pPr>
      <w:r>
        <w:rPr>
          <w:rFonts w:hint="eastAsia" w:ascii="宋体" w:hAnsi="宋体"/>
          <w:color w:val="000000"/>
          <w:sz w:val="28"/>
          <w:szCs w:val="28"/>
        </w:rPr>
        <w:t>附件：</w:t>
      </w:r>
    </w:p>
    <w:p w14:paraId="4398763D">
      <w:pPr>
        <w:rPr>
          <w:rFonts w:hint="eastAsia" w:ascii="宋体" w:hAnsi="宋体"/>
          <w:color w:val="000000"/>
          <w:sz w:val="28"/>
          <w:szCs w:val="28"/>
        </w:rPr>
      </w:pPr>
      <w:r>
        <w:rPr>
          <w:rFonts w:hint="eastAsia" w:ascii="宋体" w:hAnsi="宋体"/>
          <w:color w:val="000000"/>
          <w:sz w:val="28"/>
          <w:szCs w:val="28"/>
        </w:rPr>
        <w:t>如有建议或意见，请以书面形式并加盖公章、注明联系人、联系方式，于202</w:t>
      </w:r>
      <w:r>
        <w:rPr>
          <w:rFonts w:hint="eastAsia" w:ascii="宋体" w:hAnsi="宋体"/>
          <w:color w:val="000000"/>
          <w:sz w:val="28"/>
          <w:szCs w:val="28"/>
          <w:lang w:val="en-US" w:eastAsia="zh-CN"/>
        </w:rPr>
        <w:t>5</w:t>
      </w:r>
      <w:r>
        <w:rPr>
          <w:rFonts w:hint="eastAsia" w:ascii="宋体" w:hAnsi="宋体"/>
          <w:color w:val="000000"/>
          <w:sz w:val="28"/>
          <w:szCs w:val="28"/>
        </w:rPr>
        <w:t>年</w:t>
      </w:r>
      <w:r>
        <w:rPr>
          <w:rFonts w:hint="eastAsia" w:ascii="宋体" w:hAnsi="宋体"/>
          <w:color w:val="000000"/>
          <w:sz w:val="28"/>
          <w:szCs w:val="28"/>
          <w:lang w:val="en-US" w:eastAsia="zh-CN"/>
        </w:rPr>
        <w:t xml:space="preserve"> 08</w:t>
      </w:r>
      <w:r>
        <w:rPr>
          <w:rFonts w:hint="eastAsia" w:ascii="宋体" w:hAnsi="宋体"/>
          <w:color w:val="000000"/>
          <w:sz w:val="28"/>
          <w:szCs w:val="28"/>
        </w:rPr>
        <w:t>月</w:t>
      </w:r>
      <w:r>
        <w:rPr>
          <w:rFonts w:hint="eastAsia" w:ascii="宋体" w:hAnsi="宋体"/>
          <w:color w:val="000000"/>
          <w:sz w:val="28"/>
          <w:szCs w:val="28"/>
          <w:lang w:val="en-US" w:eastAsia="zh-CN"/>
        </w:rPr>
        <w:t>08</w:t>
      </w:r>
      <w:r>
        <w:rPr>
          <w:rFonts w:hint="eastAsia" w:ascii="宋体" w:hAnsi="宋体"/>
          <w:color w:val="000000"/>
          <w:sz w:val="28"/>
          <w:szCs w:val="28"/>
        </w:rPr>
        <w:t>日17:00之前送至我单位，逾期不受理（如邮寄，202</w:t>
      </w:r>
      <w:r>
        <w:rPr>
          <w:rFonts w:hint="eastAsia" w:ascii="宋体" w:hAnsi="宋体"/>
          <w:color w:val="000000"/>
          <w:sz w:val="28"/>
          <w:szCs w:val="28"/>
          <w:lang w:val="en-US" w:eastAsia="zh-CN"/>
        </w:rPr>
        <w:t>5</w:t>
      </w:r>
      <w:r>
        <w:rPr>
          <w:rFonts w:hint="eastAsia" w:ascii="宋体" w:hAnsi="宋体"/>
          <w:color w:val="000000"/>
          <w:sz w:val="28"/>
          <w:szCs w:val="28"/>
        </w:rPr>
        <w:t>年</w:t>
      </w:r>
      <w:r>
        <w:rPr>
          <w:rFonts w:hint="eastAsia" w:ascii="宋体" w:hAnsi="宋体"/>
          <w:color w:val="000000"/>
          <w:sz w:val="28"/>
          <w:szCs w:val="28"/>
          <w:lang w:val="en-US" w:eastAsia="zh-CN"/>
        </w:rPr>
        <w:t>08</w:t>
      </w:r>
      <w:r>
        <w:rPr>
          <w:rFonts w:hint="eastAsia" w:ascii="宋体" w:hAnsi="宋体"/>
          <w:color w:val="000000"/>
          <w:sz w:val="28"/>
          <w:szCs w:val="28"/>
        </w:rPr>
        <w:t>月</w:t>
      </w:r>
      <w:r>
        <w:rPr>
          <w:rFonts w:hint="eastAsia" w:ascii="宋体" w:hAnsi="宋体"/>
          <w:color w:val="000000"/>
          <w:sz w:val="28"/>
          <w:szCs w:val="28"/>
          <w:lang w:val="en-US" w:eastAsia="zh-CN"/>
        </w:rPr>
        <w:t xml:space="preserve"> 08</w:t>
      </w:r>
      <w:bookmarkStart w:id="0" w:name="_GoBack"/>
      <w:bookmarkEnd w:id="0"/>
      <w:r>
        <w:rPr>
          <w:rFonts w:hint="eastAsia" w:ascii="宋体" w:hAnsi="宋体"/>
          <w:color w:val="000000"/>
          <w:sz w:val="28"/>
          <w:szCs w:val="28"/>
        </w:rPr>
        <w:t>日17:00之后到达本公司的邮件将不再受理）。</w:t>
      </w:r>
    </w:p>
    <w:p w14:paraId="018F6901">
      <w:pPr>
        <w:pStyle w:val="14"/>
        <w:rPr>
          <w:rFonts w:hint="eastAsia" w:ascii="宋体" w:hAnsi="宋体"/>
          <w:color w:val="000000"/>
          <w:sz w:val="28"/>
          <w:szCs w:val="28"/>
        </w:rPr>
      </w:pPr>
    </w:p>
    <w:p w14:paraId="39D704FB">
      <w:pPr>
        <w:pStyle w:val="14"/>
        <w:rPr>
          <w:rFonts w:hint="eastAsia" w:ascii="宋体" w:hAnsi="宋体"/>
          <w:color w:val="000000"/>
          <w:sz w:val="28"/>
          <w:szCs w:val="28"/>
        </w:rPr>
      </w:pPr>
    </w:p>
    <w:p w14:paraId="4C57DFBA">
      <w:pPr>
        <w:pStyle w:val="14"/>
        <w:rPr>
          <w:rFonts w:hint="eastAsia" w:ascii="宋体" w:hAnsi="宋体"/>
          <w:color w:val="000000"/>
          <w:sz w:val="28"/>
          <w:szCs w:val="28"/>
        </w:rPr>
      </w:pPr>
    </w:p>
    <w:p w14:paraId="2AF378E8">
      <w:pPr>
        <w:pStyle w:val="14"/>
        <w:rPr>
          <w:rFonts w:hint="eastAsia" w:ascii="宋体" w:hAnsi="宋体"/>
          <w:color w:val="000000"/>
          <w:sz w:val="28"/>
          <w:szCs w:val="28"/>
        </w:rPr>
      </w:pPr>
    </w:p>
    <w:p w14:paraId="234ECFB0">
      <w:pPr>
        <w:pStyle w:val="14"/>
        <w:rPr>
          <w:rFonts w:hint="eastAsia" w:ascii="宋体" w:hAnsi="宋体"/>
          <w:color w:val="000000"/>
          <w:sz w:val="28"/>
          <w:szCs w:val="28"/>
        </w:rPr>
      </w:pPr>
    </w:p>
    <w:p w14:paraId="65A6691D">
      <w:pPr>
        <w:pStyle w:val="14"/>
        <w:rPr>
          <w:rFonts w:hint="eastAsia" w:ascii="宋体" w:hAnsi="宋体"/>
          <w:color w:val="000000"/>
          <w:sz w:val="28"/>
          <w:szCs w:val="28"/>
        </w:rPr>
      </w:pPr>
    </w:p>
    <w:p w14:paraId="708CE299">
      <w:pPr>
        <w:pStyle w:val="14"/>
        <w:rPr>
          <w:rFonts w:hint="eastAsia" w:ascii="宋体" w:hAnsi="宋体"/>
          <w:color w:val="000000"/>
          <w:sz w:val="28"/>
          <w:szCs w:val="28"/>
        </w:rPr>
      </w:pPr>
    </w:p>
    <w:p w14:paraId="55012643">
      <w:pPr>
        <w:pStyle w:val="14"/>
        <w:rPr>
          <w:rFonts w:hint="eastAsia" w:ascii="宋体" w:hAnsi="宋体"/>
          <w:color w:val="000000"/>
          <w:sz w:val="28"/>
          <w:szCs w:val="28"/>
        </w:rPr>
      </w:pPr>
    </w:p>
    <w:p w14:paraId="3CC60422">
      <w:pPr>
        <w:pStyle w:val="14"/>
        <w:rPr>
          <w:rFonts w:hint="eastAsia" w:ascii="宋体" w:hAnsi="宋体"/>
          <w:color w:val="000000"/>
          <w:sz w:val="28"/>
          <w:szCs w:val="28"/>
        </w:rPr>
      </w:pPr>
    </w:p>
    <w:p w14:paraId="31F79808">
      <w:pPr>
        <w:pStyle w:val="14"/>
        <w:rPr>
          <w:rFonts w:hint="eastAsia" w:ascii="宋体" w:hAnsi="宋体"/>
          <w:color w:val="000000"/>
          <w:sz w:val="28"/>
          <w:szCs w:val="28"/>
        </w:rPr>
      </w:pPr>
    </w:p>
    <w:p w14:paraId="75F7AD0A">
      <w:pPr>
        <w:pStyle w:val="14"/>
        <w:rPr>
          <w:rFonts w:hint="eastAsia" w:ascii="宋体" w:hAnsi="宋体"/>
          <w:color w:val="000000"/>
          <w:sz w:val="28"/>
          <w:szCs w:val="28"/>
        </w:rPr>
      </w:pPr>
    </w:p>
    <w:p w14:paraId="0AED8CC9">
      <w:pPr>
        <w:pStyle w:val="14"/>
        <w:rPr>
          <w:rFonts w:hint="eastAsia" w:ascii="宋体" w:hAnsi="宋体"/>
          <w:color w:val="000000"/>
          <w:sz w:val="28"/>
          <w:szCs w:val="28"/>
        </w:rPr>
      </w:pPr>
    </w:p>
    <w:p w14:paraId="161B070E">
      <w:pPr>
        <w:pStyle w:val="14"/>
        <w:rPr>
          <w:rFonts w:hint="eastAsia" w:ascii="宋体" w:hAnsi="宋体"/>
          <w:color w:val="000000"/>
          <w:sz w:val="28"/>
          <w:szCs w:val="28"/>
        </w:rPr>
      </w:pPr>
    </w:p>
    <w:p w14:paraId="49E386F3">
      <w:pPr>
        <w:pStyle w:val="14"/>
        <w:rPr>
          <w:rFonts w:hint="eastAsia" w:ascii="宋体" w:hAnsi="宋体"/>
          <w:color w:val="000000"/>
          <w:sz w:val="28"/>
          <w:szCs w:val="28"/>
        </w:rPr>
      </w:pPr>
    </w:p>
    <w:p w14:paraId="6F16FA95">
      <w:pPr>
        <w:pStyle w:val="14"/>
        <w:rPr>
          <w:rFonts w:hint="eastAsia" w:ascii="宋体" w:hAnsi="宋体"/>
          <w:color w:val="000000"/>
          <w:sz w:val="28"/>
          <w:szCs w:val="28"/>
        </w:rPr>
      </w:pPr>
    </w:p>
    <w:p w14:paraId="3BDEDABB">
      <w:pPr>
        <w:pStyle w:val="14"/>
        <w:rPr>
          <w:rFonts w:hint="eastAsia" w:ascii="宋体" w:hAnsi="宋体"/>
          <w:color w:val="000000"/>
          <w:sz w:val="28"/>
          <w:szCs w:val="28"/>
        </w:rPr>
      </w:pPr>
    </w:p>
    <w:p w14:paraId="033FEDC3">
      <w:pPr>
        <w:pStyle w:val="14"/>
        <w:rPr>
          <w:rFonts w:hint="eastAsia" w:ascii="宋体" w:hAnsi="宋体"/>
          <w:color w:val="000000"/>
          <w:sz w:val="28"/>
          <w:szCs w:val="28"/>
        </w:rPr>
      </w:pPr>
    </w:p>
    <w:p w14:paraId="50F99AB8">
      <w:pPr>
        <w:pStyle w:val="14"/>
        <w:rPr>
          <w:rFonts w:hint="eastAsia" w:ascii="宋体" w:hAnsi="宋体"/>
          <w:color w:val="000000"/>
          <w:sz w:val="28"/>
          <w:szCs w:val="28"/>
        </w:rPr>
      </w:pPr>
    </w:p>
    <w:p w14:paraId="0E9C76A1">
      <w:pPr>
        <w:pStyle w:val="3"/>
        <w:rPr>
          <w:rFonts w:hint="eastAsia" w:ascii="宋体" w:hAnsi="宋体" w:eastAsia="宋体" w:cs="宋体"/>
          <w:color w:val="000000"/>
        </w:rPr>
      </w:pPr>
      <w:r>
        <w:rPr>
          <w:color w:val="auto"/>
          <w:highlight w:val="none"/>
        </w:rPr>
        <w:t xml:space="preserve"> 采购需求</w:t>
      </w:r>
    </w:p>
    <w:p w14:paraId="46BB2B2B">
      <w:pPr>
        <w:pStyle w:val="3"/>
        <w:keepNext/>
        <w:keepLines/>
        <w:pageBreakBefore w:val="0"/>
        <w:widowControl w:val="0"/>
        <w:spacing w:before="0" w:after="0" w:line="360" w:lineRule="auto"/>
        <w:jc w:val="left"/>
        <w:rPr>
          <w:rFonts w:hint="eastAsia"/>
          <w:sz w:val="24"/>
          <w:szCs w:val="24"/>
        </w:rPr>
      </w:pPr>
      <w:r>
        <w:rPr>
          <w:rFonts w:hint="eastAsia"/>
          <w:sz w:val="24"/>
          <w:szCs w:val="24"/>
        </w:rPr>
        <w:t>一、项目概况</w:t>
      </w:r>
    </w:p>
    <w:p w14:paraId="28B0F918">
      <w:pPr>
        <w:pStyle w:val="10"/>
        <w:spacing w:line="360" w:lineRule="auto"/>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rPr>
        <w:t>1、招标人：徐州市铜山</w:t>
      </w:r>
      <w:r>
        <w:rPr>
          <w:rFonts w:hint="eastAsia" w:hAnsi="宋体" w:cs="宋体"/>
          <w:bCs/>
          <w:color w:val="000000"/>
          <w:sz w:val="24"/>
          <w:szCs w:val="24"/>
          <w:lang w:val="en-US" w:eastAsia="zh-CN"/>
        </w:rPr>
        <w:t>生态环境局</w:t>
      </w:r>
    </w:p>
    <w:p w14:paraId="67D3175B">
      <w:pPr>
        <w:pStyle w:val="1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2、项目名称：水环境监测监控预警平台系统运维</w:t>
      </w:r>
      <w:r>
        <w:rPr>
          <w:rFonts w:hint="eastAsia" w:ascii="宋体" w:hAnsi="宋体" w:cs="宋体"/>
          <w:bCs/>
          <w:color w:val="000000"/>
          <w:sz w:val="24"/>
          <w:szCs w:val="24"/>
          <w:lang w:val="en-US" w:eastAsia="zh-CN"/>
        </w:rPr>
        <w:t>项目</w:t>
      </w:r>
    </w:p>
    <w:p w14:paraId="50CD29FC">
      <w:pPr>
        <w:pStyle w:val="1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3</w:t>
      </w:r>
      <w:r>
        <w:rPr>
          <w:rFonts w:hint="eastAsia" w:ascii="宋体" w:hAnsi="宋体" w:eastAsia="宋体" w:cs="宋体"/>
          <w:bCs/>
          <w:color w:val="000000"/>
          <w:sz w:val="24"/>
          <w:szCs w:val="24"/>
        </w:rPr>
        <w:t>、项目预算：本项目不接受超过</w:t>
      </w:r>
      <w:r>
        <w:rPr>
          <w:rFonts w:hint="eastAsia" w:hAnsi="宋体" w:cs="宋体"/>
          <w:bCs/>
          <w:color w:val="000000"/>
          <w:sz w:val="24"/>
          <w:szCs w:val="24"/>
          <w:lang w:val="en-US" w:eastAsia="zh-CN"/>
        </w:rPr>
        <w:t>60</w:t>
      </w:r>
      <w:r>
        <w:rPr>
          <w:rFonts w:hint="eastAsia" w:ascii="宋体" w:hAnsi="宋体" w:eastAsia="宋体" w:cs="宋体"/>
          <w:bCs/>
          <w:color w:val="000000"/>
          <w:sz w:val="24"/>
          <w:szCs w:val="24"/>
        </w:rPr>
        <w:t>万元人民币（采购项目预算金额）的投标报价。报价包括全部费用，采购人不再支付报价以外的任何费用。</w:t>
      </w:r>
    </w:p>
    <w:p w14:paraId="3156B252">
      <w:pPr>
        <w:pStyle w:val="10"/>
        <w:spacing w:line="360" w:lineRule="auto"/>
        <w:rPr>
          <w:rFonts w:hint="eastAsia" w:hAnsi="宋体" w:cs="宋体"/>
          <w:bCs/>
          <w:color w:val="auto"/>
          <w:sz w:val="24"/>
          <w:szCs w:val="24"/>
        </w:rPr>
      </w:pPr>
      <w:r>
        <w:rPr>
          <w:rFonts w:hint="eastAsia" w:hAnsi="宋体" w:cs="宋体"/>
          <w:bCs/>
          <w:color w:val="000000"/>
          <w:sz w:val="24"/>
          <w:szCs w:val="24"/>
          <w:lang w:eastAsia="zh-CN"/>
        </w:rPr>
        <w:t>4</w:t>
      </w:r>
      <w:r>
        <w:rPr>
          <w:rFonts w:hint="eastAsia" w:hAnsi="宋体" w:cs="宋体"/>
          <w:bCs/>
          <w:color w:val="000000"/>
          <w:sz w:val="24"/>
          <w:szCs w:val="24"/>
        </w:rPr>
        <w:t>、服务</w:t>
      </w:r>
      <w:r>
        <w:rPr>
          <w:rFonts w:hint="eastAsia" w:hAnsi="宋体" w:cs="宋体"/>
          <w:bCs/>
          <w:color w:val="auto"/>
          <w:sz w:val="24"/>
          <w:szCs w:val="24"/>
        </w:rPr>
        <w:t>期限：</w:t>
      </w:r>
      <w:r>
        <w:rPr>
          <w:rFonts w:hint="eastAsia"/>
          <w:bCs/>
          <w:color w:val="auto"/>
          <w:sz w:val="24"/>
          <w:szCs w:val="24"/>
          <w:lang w:val="en-US" w:eastAsia="zh-CN"/>
        </w:rPr>
        <w:t>1年</w:t>
      </w:r>
      <w:r>
        <w:rPr>
          <w:rFonts w:hint="eastAsia" w:hAnsi="宋体" w:cs="宋体"/>
          <w:bCs/>
          <w:color w:val="auto"/>
          <w:sz w:val="24"/>
          <w:szCs w:val="24"/>
        </w:rPr>
        <w:t>。</w:t>
      </w:r>
    </w:p>
    <w:p w14:paraId="045A80CF">
      <w:pPr>
        <w:pStyle w:val="3"/>
        <w:keepNext/>
        <w:keepLines/>
        <w:pageBreakBefore w:val="0"/>
        <w:widowControl w:val="0"/>
        <w:spacing w:before="0" w:after="0" w:line="360" w:lineRule="auto"/>
        <w:jc w:val="left"/>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二、项目内容</w:t>
      </w:r>
      <w:r>
        <w:rPr>
          <w:rFonts w:hint="eastAsia" w:ascii="Times New Roman" w:hAnsi="Times New Roman" w:eastAsia="宋体" w:cs="Times New Roman"/>
          <w:b/>
          <w:sz w:val="24"/>
          <w:szCs w:val="24"/>
        </w:rPr>
        <w:tab/>
      </w:r>
    </w:p>
    <w:p w14:paraId="593D4252">
      <w:pPr>
        <w:pStyle w:val="4"/>
        <w:keepNext/>
        <w:keepLines/>
        <w:pageBreakBefore w:val="0"/>
        <w:widowControl w:val="0"/>
        <w:spacing w:before="0"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【一】项目说明</w:t>
      </w:r>
    </w:p>
    <w:p w14:paraId="7A9A3A08">
      <w:pPr>
        <w:spacing w:line="360" w:lineRule="auto"/>
        <w:ind w:firstLine="48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拟采购1家供应商对徐州市铜山区地</w:t>
      </w:r>
      <w:r>
        <w:rPr>
          <w:rFonts w:hint="eastAsia" w:ascii="宋体" w:hAnsi="宋体" w:cs="宋体"/>
          <w:bCs/>
          <w:color w:val="000000"/>
          <w:sz w:val="24"/>
          <w:szCs w:val="24"/>
          <w:highlight w:val="none"/>
          <w:lang w:eastAsia="zh-CN"/>
        </w:rPr>
        <w:t>表</w:t>
      </w:r>
      <w:r>
        <w:rPr>
          <w:rFonts w:hint="eastAsia" w:ascii="宋体" w:hAnsi="宋体" w:eastAsia="宋体" w:cs="宋体"/>
          <w:bCs/>
          <w:color w:val="000000"/>
          <w:sz w:val="24"/>
          <w:szCs w:val="24"/>
          <w:highlight w:val="none"/>
        </w:rPr>
        <w:t>水环境监测监控预警平台系统进行运行维护</w:t>
      </w:r>
      <w:r>
        <w:rPr>
          <w:rFonts w:hint="eastAsia" w:ascii="宋体" w:hAnsi="宋体" w:cs="宋体"/>
          <w:bCs/>
          <w:color w:val="000000"/>
          <w:sz w:val="24"/>
          <w:szCs w:val="24"/>
          <w:highlight w:val="none"/>
          <w:lang w:val="en-US" w:eastAsia="zh-CN"/>
        </w:rPr>
        <w:t>并对区内</w:t>
      </w:r>
      <w:r>
        <w:rPr>
          <w:rFonts w:hint="eastAsia" w:ascii="宋体" w:hAnsi="宋体" w:eastAsia="宋体" w:cs="宋体"/>
          <w:sz w:val="24"/>
          <w:szCs w:val="24"/>
          <w:highlight w:val="none"/>
          <w:lang w:val="en-US" w:eastAsia="zh-CN"/>
        </w:rPr>
        <w:t>水质自动站周边水系</w:t>
      </w:r>
      <w:r>
        <w:rPr>
          <w:rFonts w:hint="eastAsia" w:ascii="宋体" w:hAnsi="宋体" w:cs="宋体"/>
          <w:sz w:val="24"/>
          <w:szCs w:val="24"/>
          <w:highlight w:val="none"/>
          <w:lang w:val="en-US" w:eastAsia="zh-CN"/>
        </w:rPr>
        <w:t>进行溯源分析服务</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主要包括</w:t>
      </w:r>
      <w:r>
        <w:rPr>
          <w:rFonts w:hint="eastAsia" w:ascii="宋体" w:hAnsi="宋体" w:eastAsia="宋体" w:cs="宋体"/>
          <w:bCs/>
          <w:color w:val="000000"/>
          <w:sz w:val="24"/>
          <w:szCs w:val="24"/>
          <w:highlight w:val="none"/>
        </w:rPr>
        <w:t>信息采集、溯源分析、预警信息发布、软硬件升级、网络通讯、软件平台维护等</w:t>
      </w:r>
      <w:r>
        <w:rPr>
          <w:rFonts w:hint="eastAsia" w:ascii="宋体" w:hAnsi="宋体" w:eastAsia="宋体" w:cs="宋体"/>
          <w:bCs/>
          <w:color w:val="000000"/>
          <w:sz w:val="24"/>
          <w:szCs w:val="24"/>
          <w:highlight w:val="none"/>
          <w:lang w:val="en-US" w:eastAsia="zh-CN"/>
        </w:rPr>
        <w:t>等内容，</w:t>
      </w:r>
      <w:r>
        <w:rPr>
          <w:rFonts w:hint="eastAsia" w:ascii="宋体" w:hAnsi="宋体" w:eastAsia="宋体" w:cs="宋体"/>
          <w:bCs/>
          <w:color w:val="000000"/>
          <w:sz w:val="24"/>
          <w:szCs w:val="24"/>
          <w:highlight w:val="none"/>
        </w:rPr>
        <w:t>要求供应商对该系统所涉及到数据库、系统功能方面进行运维和技术咨询服务。同时要求采购单位的管理需求，做好系统优化改善，提升性能与支撑，提高可操作性，配合采购单位做好数据共享与保密等工作</w:t>
      </w:r>
      <w:r>
        <w:rPr>
          <w:rFonts w:hint="eastAsia" w:ascii="宋体" w:hAnsi="宋体" w:eastAsia="宋体" w:cs="宋体"/>
          <w:bCs/>
          <w:color w:val="000000"/>
          <w:sz w:val="24"/>
          <w:szCs w:val="24"/>
          <w:highlight w:val="none"/>
          <w:lang w:eastAsia="zh-CN"/>
        </w:rPr>
        <w:t>，项目服务期</w:t>
      </w:r>
      <w:r>
        <w:rPr>
          <w:rFonts w:hint="eastAsia" w:ascii="宋体" w:hAnsi="宋体" w:eastAsia="宋体" w:cs="宋体"/>
          <w:bCs/>
          <w:color w:val="000000"/>
          <w:sz w:val="24"/>
          <w:szCs w:val="24"/>
          <w:highlight w:val="none"/>
          <w:lang w:val="en-US" w:eastAsia="zh-CN"/>
        </w:rPr>
        <w:t>一年</w:t>
      </w:r>
      <w:r>
        <w:rPr>
          <w:rFonts w:hint="eastAsia" w:ascii="宋体" w:hAnsi="宋体" w:eastAsia="宋体" w:cs="宋体"/>
          <w:bCs/>
          <w:color w:val="000000"/>
          <w:sz w:val="24"/>
          <w:szCs w:val="24"/>
          <w:highlight w:val="none"/>
          <w:lang w:eastAsia="zh-CN"/>
        </w:rPr>
        <w:t>。</w:t>
      </w:r>
    </w:p>
    <w:p w14:paraId="2C2BBBF2">
      <w:pPr>
        <w:pStyle w:val="4"/>
        <w:keepNext/>
        <w:keepLines/>
        <w:pageBreakBefore w:val="0"/>
        <w:widowControl w:val="0"/>
        <w:spacing w:before="0" w:after="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【二】服务内容</w:t>
      </w:r>
    </w:p>
    <w:p w14:paraId="14578143">
      <w:pPr>
        <w:tabs>
          <w:tab w:val="left" w:pos="2280"/>
        </w:tabs>
        <w:spacing w:line="440" w:lineRule="exact"/>
        <w:contextualSpacing/>
        <w:rPr>
          <w:b/>
          <w:bCs/>
          <w:sz w:val="24"/>
        </w:rPr>
      </w:pPr>
      <w:r>
        <w:rPr>
          <w:rFonts w:hint="eastAsia"/>
          <w:b/>
          <w:bCs/>
          <w:sz w:val="24"/>
          <w:lang w:val="en-US" w:eastAsia="zh-CN"/>
        </w:rPr>
        <w:t>1、平台</w:t>
      </w:r>
      <w:r>
        <w:rPr>
          <w:rFonts w:hint="eastAsia"/>
          <w:b/>
          <w:bCs/>
          <w:sz w:val="24"/>
        </w:rPr>
        <w:t>运维目标</w:t>
      </w:r>
    </w:p>
    <w:p w14:paraId="76D47164">
      <w:pPr>
        <w:tabs>
          <w:tab w:val="left" w:pos="2280"/>
        </w:tabs>
        <w:spacing w:line="440" w:lineRule="exact"/>
        <w:ind w:firstLine="480"/>
        <w:contextualSpacing/>
        <w:rPr>
          <w:rFonts w:hint="eastAsia" w:ascii="宋体" w:hAnsi="宋体" w:eastAsia="宋体" w:cs="宋体"/>
          <w:sz w:val="24"/>
          <w:szCs w:val="24"/>
        </w:rPr>
      </w:pPr>
      <w:r>
        <w:rPr>
          <w:rFonts w:hint="eastAsia" w:ascii="宋体" w:hAnsi="宋体" w:eastAsia="宋体" w:cs="宋体"/>
          <w:sz w:val="24"/>
          <w:szCs w:val="24"/>
        </w:rPr>
        <w:t>确保水质数据发布平台上全部水站</w:t>
      </w:r>
      <w:r>
        <w:rPr>
          <w:rFonts w:hint="eastAsia" w:ascii="宋体" w:hAnsi="宋体" w:eastAsia="宋体" w:cs="宋体"/>
          <w:sz w:val="24"/>
          <w:szCs w:val="24"/>
          <w:lang w:val="en-US" w:eastAsia="zh-CN"/>
        </w:rPr>
        <w:t>数据信息采集率</w:t>
      </w:r>
      <w:r>
        <w:rPr>
          <w:rFonts w:hint="eastAsia" w:ascii="宋体" w:hAnsi="宋体" w:eastAsia="宋体" w:cs="宋体"/>
          <w:sz w:val="24"/>
          <w:szCs w:val="24"/>
        </w:rPr>
        <w:t>大于95%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水站</w:t>
      </w:r>
      <w:r>
        <w:rPr>
          <w:rFonts w:hint="eastAsia" w:ascii="宋体" w:hAnsi="宋体" w:eastAsia="宋体" w:cs="宋体"/>
          <w:sz w:val="24"/>
          <w:szCs w:val="24"/>
        </w:rPr>
        <w:t>在线率大于95%（子站因断电、网络欠费与仪器故障情况除外），年有效数据上传率大于90%。</w:t>
      </w:r>
    </w:p>
    <w:p w14:paraId="1F784DDF">
      <w:pPr>
        <w:tabs>
          <w:tab w:val="left" w:pos="2280"/>
        </w:tabs>
        <w:spacing w:line="440" w:lineRule="exact"/>
        <w:ind w:firstLine="480"/>
        <w:contextualSpacing/>
        <w:rPr>
          <w:rFonts w:hint="eastAsia" w:ascii="宋体" w:hAnsi="宋体" w:eastAsia="宋体" w:cs="宋体"/>
          <w:sz w:val="24"/>
          <w:szCs w:val="24"/>
        </w:rPr>
      </w:pPr>
      <w:r>
        <w:rPr>
          <w:rFonts w:hint="eastAsia" w:ascii="宋体" w:hAnsi="宋体" w:eastAsia="宋体" w:cs="宋体"/>
          <w:sz w:val="24"/>
          <w:szCs w:val="24"/>
        </w:rPr>
        <w:t>本次服务系统对象为徐州市</w:t>
      </w:r>
      <w:r>
        <w:rPr>
          <w:rFonts w:hint="eastAsia" w:ascii="宋体" w:hAnsi="宋体" w:eastAsia="宋体" w:cs="宋体"/>
          <w:bCs/>
          <w:color w:val="000000"/>
          <w:sz w:val="24"/>
          <w:szCs w:val="24"/>
        </w:rPr>
        <w:t>铜山区地水环境监测监控预警平台</w:t>
      </w:r>
      <w:r>
        <w:rPr>
          <w:rFonts w:hint="eastAsia" w:ascii="宋体" w:hAnsi="宋体" w:eastAsia="宋体" w:cs="宋体"/>
          <w:sz w:val="24"/>
          <w:szCs w:val="24"/>
        </w:rPr>
        <w:t>，其中包含五个子系统明细如下：</w:t>
      </w:r>
    </w:p>
    <w:tbl>
      <w:tblPr>
        <w:tblStyle w:val="11"/>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4141"/>
        <w:gridCol w:w="1347"/>
        <w:gridCol w:w="1773"/>
      </w:tblGrid>
      <w:tr w14:paraId="4992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7" w:type="dxa"/>
            <w:noWrap w:val="0"/>
            <w:vAlign w:val="center"/>
          </w:tcPr>
          <w:p w14:paraId="236E8D6C">
            <w:pPr>
              <w:pStyle w:val="16"/>
              <w:spacing w:line="240" w:lineRule="auto"/>
              <w:ind w:firstLine="0"/>
              <w:jc w:val="center"/>
              <w:rPr>
                <w:rFonts w:hint="eastAsia" w:ascii="宋体" w:hAnsi="宋体" w:cs="宋体"/>
                <w:sz w:val="21"/>
                <w:szCs w:val="21"/>
              </w:rPr>
            </w:pPr>
            <w:r>
              <w:rPr>
                <w:rFonts w:hint="eastAsia" w:ascii="宋体" w:hAnsi="宋体" w:cs="宋体"/>
                <w:sz w:val="21"/>
                <w:szCs w:val="21"/>
              </w:rPr>
              <w:t>序号</w:t>
            </w:r>
          </w:p>
        </w:tc>
        <w:tc>
          <w:tcPr>
            <w:tcW w:w="4141" w:type="dxa"/>
            <w:noWrap w:val="0"/>
            <w:vAlign w:val="center"/>
          </w:tcPr>
          <w:p w14:paraId="783DC1AA">
            <w:pPr>
              <w:pStyle w:val="16"/>
              <w:spacing w:line="240" w:lineRule="auto"/>
              <w:ind w:firstLine="0"/>
              <w:jc w:val="center"/>
              <w:rPr>
                <w:rFonts w:hint="eastAsia" w:ascii="宋体" w:hAnsi="宋体" w:cs="宋体"/>
                <w:sz w:val="21"/>
                <w:szCs w:val="21"/>
              </w:rPr>
            </w:pPr>
            <w:r>
              <w:rPr>
                <w:rFonts w:hint="eastAsia" w:ascii="宋体" w:hAnsi="宋体" w:cs="宋体"/>
                <w:sz w:val="21"/>
                <w:szCs w:val="21"/>
              </w:rPr>
              <w:t>子系统名称</w:t>
            </w:r>
          </w:p>
        </w:tc>
        <w:tc>
          <w:tcPr>
            <w:tcW w:w="1347" w:type="dxa"/>
            <w:noWrap w:val="0"/>
            <w:vAlign w:val="center"/>
          </w:tcPr>
          <w:p w14:paraId="74AF8F94">
            <w:pPr>
              <w:pStyle w:val="16"/>
              <w:spacing w:line="240" w:lineRule="auto"/>
              <w:ind w:firstLine="0"/>
              <w:jc w:val="center"/>
              <w:rPr>
                <w:rFonts w:hint="eastAsia" w:ascii="宋体" w:hAnsi="宋体" w:cs="宋体"/>
                <w:sz w:val="21"/>
                <w:szCs w:val="21"/>
              </w:rPr>
            </w:pPr>
            <w:r>
              <w:rPr>
                <w:rFonts w:hint="eastAsia" w:ascii="宋体" w:hAnsi="宋体" w:cs="宋体"/>
                <w:sz w:val="21"/>
                <w:szCs w:val="21"/>
              </w:rPr>
              <w:t>数量</w:t>
            </w:r>
          </w:p>
        </w:tc>
        <w:tc>
          <w:tcPr>
            <w:tcW w:w="1773" w:type="dxa"/>
            <w:noWrap w:val="0"/>
            <w:vAlign w:val="center"/>
          </w:tcPr>
          <w:p w14:paraId="4593ADCD">
            <w:pPr>
              <w:pStyle w:val="16"/>
              <w:spacing w:line="240" w:lineRule="auto"/>
              <w:ind w:firstLine="0"/>
              <w:jc w:val="center"/>
              <w:rPr>
                <w:rFonts w:hint="eastAsia" w:ascii="宋体" w:hAnsi="宋体" w:cs="宋体"/>
                <w:sz w:val="21"/>
                <w:szCs w:val="21"/>
              </w:rPr>
            </w:pPr>
            <w:r>
              <w:rPr>
                <w:rFonts w:hint="eastAsia" w:ascii="宋体" w:hAnsi="宋体" w:cs="宋体"/>
                <w:sz w:val="21"/>
                <w:szCs w:val="21"/>
              </w:rPr>
              <w:t>备注</w:t>
            </w:r>
          </w:p>
        </w:tc>
      </w:tr>
      <w:tr w14:paraId="5F02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7" w:type="dxa"/>
            <w:noWrap w:val="0"/>
            <w:vAlign w:val="center"/>
          </w:tcPr>
          <w:p w14:paraId="5E0DEE04">
            <w:pPr>
              <w:pStyle w:val="16"/>
              <w:spacing w:line="240" w:lineRule="auto"/>
              <w:ind w:firstLine="0"/>
              <w:jc w:val="center"/>
              <w:rPr>
                <w:rFonts w:hint="eastAsia" w:ascii="宋体" w:hAnsi="宋体" w:cs="宋体"/>
                <w:sz w:val="21"/>
                <w:szCs w:val="21"/>
              </w:rPr>
            </w:pPr>
            <w:r>
              <w:rPr>
                <w:rFonts w:hint="eastAsia" w:ascii="宋体" w:hAnsi="宋体" w:cs="宋体"/>
                <w:sz w:val="21"/>
                <w:szCs w:val="21"/>
              </w:rPr>
              <w:t>1</w:t>
            </w:r>
          </w:p>
        </w:tc>
        <w:tc>
          <w:tcPr>
            <w:tcW w:w="4141" w:type="dxa"/>
            <w:noWrap w:val="0"/>
            <w:vAlign w:val="center"/>
          </w:tcPr>
          <w:p w14:paraId="34C3CEAE">
            <w:pPr>
              <w:pStyle w:val="16"/>
              <w:spacing w:line="240" w:lineRule="auto"/>
              <w:ind w:firstLine="0"/>
              <w:jc w:val="center"/>
              <w:rPr>
                <w:rFonts w:ascii="宋体" w:hAnsi="宋体" w:cs="宋体"/>
                <w:sz w:val="21"/>
                <w:szCs w:val="21"/>
              </w:rPr>
            </w:pPr>
            <w:r>
              <w:rPr>
                <w:rFonts w:hint="eastAsia" w:ascii="宋体" w:hAnsi="宋体" w:cs="宋体"/>
                <w:sz w:val="21"/>
                <w:szCs w:val="21"/>
              </w:rPr>
              <w:t>地表水子系统</w:t>
            </w:r>
          </w:p>
        </w:tc>
        <w:tc>
          <w:tcPr>
            <w:tcW w:w="1347" w:type="dxa"/>
            <w:noWrap w:val="0"/>
            <w:vAlign w:val="center"/>
          </w:tcPr>
          <w:p w14:paraId="24F83FA5">
            <w:pPr>
              <w:pStyle w:val="16"/>
              <w:spacing w:line="240" w:lineRule="auto"/>
              <w:ind w:firstLine="0"/>
              <w:jc w:val="center"/>
              <w:rPr>
                <w:rFonts w:hint="eastAsia" w:ascii="宋体" w:hAnsi="宋体" w:cs="宋体"/>
                <w:sz w:val="21"/>
                <w:szCs w:val="21"/>
              </w:rPr>
            </w:pPr>
            <w:r>
              <w:rPr>
                <w:rFonts w:hint="eastAsia" w:ascii="宋体" w:hAnsi="宋体" w:cs="宋体"/>
                <w:sz w:val="21"/>
                <w:szCs w:val="21"/>
              </w:rPr>
              <w:t>1套</w:t>
            </w:r>
          </w:p>
        </w:tc>
        <w:tc>
          <w:tcPr>
            <w:tcW w:w="1773" w:type="dxa"/>
            <w:noWrap w:val="0"/>
            <w:vAlign w:val="center"/>
          </w:tcPr>
          <w:p w14:paraId="5612B9B4">
            <w:pPr>
              <w:pStyle w:val="16"/>
              <w:spacing w:line="240" w:lineRule="auto"/>
              <w:ind w:firstLine="0"/>
              <w:jc w:val="center"/>
              <w:rPr>
                <w:rFonts w:hint="eastAsia" w:ascii="宋体" w:hAnsi="宋体" w:cs="宋体"/>
                <w:sz w:val="21"/>
                <w:szCs w:val="21"/>
              </w:rPr>
            </w:pPr>
          </w:p>
        </w:tc>
      </w:tr>
      <w:tr w14:paraId="27BA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7" w:type="dxa"/>
            <w:noWrap w:val="0"/>
            <w:vAlign w:val="center"/>
          </w:tcPr>
          <w:p w14:paraId="05E3D163">
            <w:pPr>
              <w:pStyle w:val="16"/>
              <w:spacing w:line="240" w:lineRule="auto"/>
              <w:ind w:firstLine="0"/>
              <w:jc w:val="center"/>
              <w:rPr>
                <w:rFonts w:hint="eastAsia" w:ascii="宋体" w:hAnsi="宋体" w:cs="宋体"/>
                <w:sz w:val="21"/>
                <w:szCs w:val="21"/>
              </w:rPr>
            </w:pPr>
            <w:r>
              <w:rPr>
                <w:rFonts w:hint="eastAsia" w:ascii="宋体" w:hAnsi="宋体" w:cs="宋体"/>
                <w:sz w:val="21"/>
                <w:szCs w:val="21"/>
              </w:rPr>
              <w:t>2</w:t>
            </w:r>
          </w:p>
        </w:tc>
        <w:tc>
          <w:tcPr>
            <w:tcW w:w="4141" w:type="dxa"/>
            <w:noWrap w:val="0"/>
            <w:vAlign w:val="center"/>
          </w:tcPr>
          <w:p w14:paraId="0DD31FF7">
            <w:pPr>
              <w:pStyle w:val="16"/>
              <w:spacing w:line="240" w:lineRule="auto"/>
              <w:ind w:firstLine="0"/>
              <w:jc w:val="center"/>
              <w:rPr>
                <w:rFonts w:ascii="宋体" w:hAnsi="宋体" w:cs="宋体"/>
                <w:sz w:val="21"/>
                <w:szCs w:val="21"/>
              </w:rPr>
            </w:pPr>
            <w:r>
              <w:rPr>
                <w:rFonts w:hint="eastAsia" w:ascii="宋体" w:hAnsi="宋体" w:cs="宋体"/>
                <w:sz w:val="21"/>
                <w:szCs w:val="21"/>
              </w:rPr>
              <w:t>综合大屏子系统</w:t>
            </w:r>
          </w:p>
        </w:tc>
        <w:tc>
          <w:tcPr>
            <w:tcW w:w="1347" w:type="dxa"/>
            <w:noWrap w:val="0"/>
            <w:vAlign w:val="center"/>
          </w:tcPr>
          <w:p w14:paraId="6AD1EEB7">
            <w:pPr>
              <w:pStyle w:val="16"/>
              <w:spacing w:line="240" w:lineRule="auto"/>
              <w:ind w:firstLine="0"/>
              <w:jc w:val="center"/>
              <w:rPr>
                <w:rFonts w:hint="eastAsia" w:ascii="宋体" w:hAnsi="宋体" w:cs="宋体"/>
                <w:sz w:val="21"/>
                <w:szCs w:val="21"/>
              </w:rPr>
            </w:pPr>
            <w:r>
              <w:rPr>
                <w:rFonts w:hint="eastAsia" w:ascii="宋体" w:hAnsi="宋体" w:cs="宋体"/>
                <w:sz w:val="21"/>
                <w:szCs w:val="21"/>
              </w:rPr>
              <w:t>1套</w:t>
            </w:r>
          </w:p>
        </w:tc>
        <w:tc>
          <w:tcPr>
            <w:tcW w:w="1773" w:type="dxa"/>
            <w:noWrap w:val="0"/>
            <w:vAlign w:val="center"/>
          </w:tcPr>
          <w:p w14:paraId="048BF7D7">
            <w:pPr>
              <w:pStyle w:val="16"/>
              <w:spacing w:line="240" w:lineRule="auto"/>
              <w:ind w:firstLine="0"/>
              <w:jc w:val="center"/>
              <w:rPr>
                <w:rFonts w:hint="eastAsia" w:ascii="宋体" w:hAnsi="宋体" w:cs="宋体"/>
                <w:sz w:val="21"/>
                <w:szCs w:val="21"/>
              </w:rPr>
            </w:pPr>
          </w:p>
        </w:tc>
      </w:tr>
      <w:tr w14:paraId="6A65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7" w:type="dxa"/>
            <w:noWrap w:val="0"/>
            <w:vAlign w:val="center"/>
          </w:tcPr>
          <w:p w14:paraId="72D99AF2">
            <w:pPr>
              <w:pStyle w:val="16"/>
              <w:spacing w:line="240" w:lineRule="auto"/>
              <w:ind w:firstLine="0"/>
              <w:jc w:val="center"/>
              <w:rPr>
                <w:rFonts w:hint="eastAsia" w:ascii="宋体" w:hAnsi="宋体" w:cs="宋体"/>
                <w:sz w:val="21"/>
                <w:szCs w:val="21"/>
              </w:rPr>
            </w:pPr>
            <w:r>
              <w:rPr>
                <w:rFonts w:hint="eastAsia" w:ascii="宋体" w:hAnsi="宋体" w:cs="宋体"/>
                <w:sz w:val="21"/>
                <w:szCs w:val="21"/>
              </w:rPr>
              <w:t>3</w:t>
            </w:r>
          </w:p>
        </w:tc>
        <w:tc>
          <w:tcPr>
            <w:tcW w:w="4141" w:type="dxa"/>
            <w:noWrap w:val="0"/>
            <w:vAlign w:val="center"/>
          </w:tcPr>
          <w:p w14:paraId="3453EF92">
            <w:pPr>
              <w:pStyle w:val="16"/>
              <w:spacing w:line="240" w:lineRule="auto"/>
              <w:ind w:firstLine="0"/>
              <w:jc w:val="center"/>
              <w:rPr>
                <w:rFonts w:ascii="宋体" w:hAnsi="宋体" w:cs="宋体"/>
                <w:sz w:val="21"/>
                <w:szCs w:val="21"/>
              </w:rPr>
            </w:pPr>
            <w:r>
              <w:rPr>
                <w:rFonts w:hint="eastAsia" w:ascii="宋体" w:hAnsi="宋体" w:cs="宋体"/>
                <w:sz w:val="21"/>
                <w:szCs w:val="21"/>
              </w:rPr>
              <w:t>视频子系统</w:t>
            </w:r>
          </w:p>
        </w:tc>
        <w:tc>
          <w:tcPr>
            <w:tcW w:w="1347" w:type="dxa"/>
            <w:noWrap w:val="0"/>
            <w:vAlign w:val="center"/>
          </w:tcPr>
          <w:p w14:paraId="43D2C339">
            <w:pPr>
              <w:pStyle w:val="16"/>
              <w:spacing w:line="240" w:lineRule="auto"/>
              <w:ind w:firstLine="0"/>
              <w:jc w:val="center"/>
              <w:rPr>
                <w:rFonts w:hint="eastAsia" w:ascii="宋体" w:hAnsi="宋体" w:cs="宋体"/>
                <w:sz w:val="21"/>
                <w:szCs w:val="21"/>
              </w:rPr>
            </w:pPr>
            <w:r>
              <w:rPr>
                <w:rFonts w:hint="eastAsia" w:ascii="宋体" w:hAnsi="宋体" w:cs="宋体"/>
                <w:sz w:val="21"/>
                <w:szCs w:val="21"/>
              </w:rPr>
              <w:t>1套</w:t>
            </w:r>
          </w:p>
        </w:tc>
        <w:tc>
          <w:tcPr>
            <w:tcW w:w="1773" w:type="dxa"/>
            <w:noWrap w:val="0"/>
            <w:vAlign w:val="center"/>
          </w:tcPr>
          <w:p w14:paraId="5B74C46C">
            <w:pPr>
              <w:pStyle w:val="16"/>
              <w:spacing w:line="240" w:lineRule="auto"/>
              <w:ind w:firstLine="0"/>
              <w:jc w:val="center"/>
              <w:rPr>
                <w:rFonts w:hint="eastAsia" w:ascii="宋体" w:hAnsi="宋体" w:cs="宋体"/>
                <w:sz w:val="21"/>
                <w:szCs w:val="21"/>
              </w:rPr>
            </w:pPr>
          </w:p>
        </w:tc>
      </w:tr>
      <w:tr w14:paraId="5ACB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7" w:type="dxa"/>
            <w:noWrap w:val="0"/>
            <w:vAlign w:val="center"/>
          </w:tcPr>
          <w:p w14:paraId="5ED0236F">
            <w:pPr>
              <w:pStyle w:val="16"/>
              <w:spacing w:line="240" w:lineRule="auto"/>
              <w:ind w:firstLine="0"/>
              <w:jc w:val="center"/>
              <w:rPr>
                <w:rFonts w:hint="eastAsia" w:ascii="宋体" w:hAnsi="宋体" w:cs="宋体"/>
                <w:sz w:val="21"/>
                <w:szCs w:val="21"/>
              </w:rPr>
            </w:pPr>
            <w:r>
              <w:rPr>
                <w:rFonts w:hint="eastAsia" w:ascii="宋体" w:hAnsi="宋体" w:cs="宋体"/>
                <w:sz w:val="21"/>
                <w:szCs w:val="21"/>
              </w:rPr>
              <w:t>4</w:t>
            </w:r>
          </w:p>
        </w:tc>
        <w:tc>
          <w:tcPr>
            <w:tcW w:w="4141" w:type="dxa"/>
            <w:noWrap w:val="0"/>
            <w:vAlign w:val="center"/>
          </w:tcPr>
          <w:p w14:paraId="3BBEE5A0">
            <w:pPr>
              <w:pStyle w:val="16"/>
              <w:spacing w:line="240" w:lineRule="auto"/>
              <w:ind w:firstLine="0"/>
              <w:jc w:val="center"/>
              <w:rPr>
                <w:rFonts w:ascii="宋体" w:hAnsi="宋体" w:cs="宋体"/>
                <w:sz w:val="21"/>
                <w:szCs w:val="21"/>
              </w:rPr>
            </w:pPr>
            <w:r>
              <w:rPr>
                <w:rFonts w:hint="eastAsia" w:ascii="宋体" w:hAnsi="宋体" w:cs="宋体"/>
                <w:sz w:val="21"/>
                <w:szCs w:val="21"/>
              </w:rPr>
              <w:t>地理信息系统子系统</w:t>
            </w:r>
          </w:p>
        </w:tc>
        <w:tc>
          <w:tcPr>
            <w:tcW w:w="1347" w:type="dxa"/>
            <w:noWrap w:val="0"/>
            <w:vAlign w:val="center"/>
          </w:tcPr>
          <w:p w14:paraId="7337FB10">
            <w:pPr>
              <w:pStyle w:val="16"/>
              <w:spacing w:line="240" w:lineRule="auto"/>
              <w:ind w:firstLine="0"/>
              <w:jc w:val="center"/>
              <w:rPr>
                <w:rFonts w:hint="eastAsia" w:ascii="宋体" w:hAnsi="宋体" w:cs="宋体"/>
                <w:sz w:val="21"/>
                <w:szCs w:val="21"/>
              </w:rPr>
            </w:pPr>
            <w:r>
              <w:rPr>
                <w:rFonts w:hint="eastAsia" w:ascii="宋体" w:hAnsi="宋体" w:cs="宋体"/>
                <w:sz w:val="21"/>
                <w:szCs w:val="21"/>
              </w:rPr>
              <w:t>1套</w:t>
            </w:r>
          </w:p>
        </w:tc>
        <w:tc>
          <w:tcPr>
            <w:tcW w:w="1773" w:type="dxa"/>
            <w:noWrap w:val="0"/>
            <w:vAlign w:val="center"/>
          </w:tcPr>
          <w:p w14:paraId="475B0CE5">
            <w:pPr>
              <w:pStyle w:val="16"/>
              <w:spacing w:line="240" w:lineRule="auto"/>
              <w:ind w:firstLine="0"/>
              <w:jc w:val="center"/>
              <w:rPr>
                <w:rFonts w:hint="eastAsia" w:ascii="宋体" w:hAnsi="宋体" w:cs="宋体"/>
                <w:sz w:val="21"/>
                <w:szCs w:val="21"/>
              </w:rPr>
            </w:pPr>
          </w:p>
        </w:tc>
      </w:tr>
      <w:tr w14:paraId="354C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37" w:type="dxa"/>
            <w:noWrap w:val="0"/>
            <w:vAlign w:val="center"/>
          </w:tcPr>
          <w:p w14:paraId="6213F6A6">
            <w:pPr>
              <w:pStyle w:val="16"/>
              <w:spacing w:line="240" w:lineRule="auto"/>
              <w:ind w:firstLine="0"/>
              <w:jc w:val="center"/>
              <w:rPr>
                <w:rFonts w:hint="eastAsia" w:ascii="宋体" w:hAnsi="宋体" w:cs="宋体"/>
                <w:sz w:val="21"/>
                <w:szCs w:val="21"/>
              </w:rPr>
            </w:pPr>
            <w:r>
              <w:rPr>
                <w:rFonts w:hint="eastAsia" w:ascii="宋体" w:hAnsi="宋体" w:cs="宋体"/>
                <w:sz w:val="21"/>
                <w:szCs w:val="21"/>
              </w:rPr>
              <w:t>5</w:t>
            </w:r>
          </w:p>
        </w:tc>
        <w:tc>
          <w:tcPr>
            <w:tcW w:w="4141" w:type="dxa"/>
            <w:noWrap w:val="0"/>
            <w:vAlign w:val="center"/>
          </w:tcPr>
          <w:p w14:paraId="742EB770">
            <w:pPr>
              <w:pStyle w:val="16"/>
              <w:spacing w:line="240" w:lineRule="auto"/>
              <w:ind w:firstLine="0"/>
              <w:jc w:val="center"/>
              <w:rPr>
                <w:rFonts w:ascii="宋体" w:hAnsi="宋体" w:cs="宋体"/>
                <w:sz w:val="21"/>
                <w:szCs w:val="21"/>
              </w:rPr>
            </w:pPr>
            <w:r>
              <w:rPr>
                <w:rFonts w:hint="eastAsia" w:ascii="宋体" w:hAnsi="宋体" w:cs="宋体"/>
                <w:sz w:val="21"/>
                <w:szCs w:val="21"/>
              </w:rPr>
              <w:t>后台管理子系统</w:t>
            </w:r>
          </w:p>
        </w:tc>
        <w:tc>
          <w:tcPr>
            <w:tcW w:w="1347" w:type="dxa"/>
            <w:noWrap w:val="0"/>
            <w:vAlign w:val="center"/>
          </w:tcPr>
          <w:p w14:paraId="427580E1">
            <w:pPr>
              <w:pStyle w:val="16"/>
              <w:spacing w:line="240" w:lineRule="auto"/>
              <w:ind w:firstLine="0"/>
              <w:jc w:val="center"/>
              <w:rPr>
                <w:rFonts w:hint="eastAsia" w:ascii="宋体" w:hAnsi="宋体" w:cs="宋体"/>
                <w:sz w:val="21"/>
                <w:szCs w:val="21"/>
              </w:rPr>
            </w:pPr>
            <w:r>
              <w:rPr>
                <w:rFonts w:hint="eastAsia" w:ascii="宋体" w:hAnsi="宋体" w:cs="宋体"/>
                <w:sz w:val="21"/>
                <w:szCs w:val="21"/>
              </w:rPr>
              <w:t>1套</w:t>
            </w:r>
          </w:p>
        </w:tc>
        <w:tc>
          <w:tcPr>
            <w:tcW w:w="1773" w:type="dxa"/>
            <w:noWrap w:val="0"/>
            <w:vAlign w:val="center"/>
          </w:tcPr>
          <w:p w14:paraId="5038A7B9">
            <w:pPr>
              <w:pStyle w:val="16"/>
              <w:spacing w:line="240" w:lineRule="auto"/>
              <w:ind w:firstLine="0"/>
              <w:jc w:val="center"/>
              <w:rPr>
                <w:rFonts w:hint="eastAsia" w:ascii="宋体" w:hAnsi="宋体" w:cs="宋体"/>
                <w:sz w:val="21"/>
                <w:szCs w:val="21"/>
              </w:rPr>
            </w:pPr>
          </w:p>
        </w:tc>
      </w:tr>
    </w:tbl>
    <w:p w14:paraId="6D75D47C">
      <w:pPr>
        <w:pStyle w:val="17"/>
        <w:rPr>
          <w:rFonts w:hint="eastAsia"/>
        </w:rPr>
      </w:pPr>
    </w:p>
    <w:p w14:paraId="39ACE2B7">
      <w:pPr>
        <w:tabs>
          <w:tab w:val="left" w:pos="2280"/>
        </w:tabs>
        <w:spacing w:line="440" w:lineRule="exact"/>
        <w:contextualSpacing/>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2、日常运维巡检服务</w:t>
      </w:r>
    </w:p>
    <w:p w14:paraId="43FD4F74">
      <w:pPr>
        <w:tabs>
          <w:tab w:val="left" w:pos="2280"/>
        </w:tabs>
        <w:spacing w:line="440" w:lineRule="exact"/>
        <w:ind w:firstLine="480"/>
        <w:contextualSpacing/>
        <w:rPr>
          <w:rFonts w:hint="eastAsia" w:ascii="Times New Roman" w:hAnsi="Times New Roman" w:eastAsia="宋体" w:cs="Times New Roman"/>
          <w:b/>
          <w:bCs/>
          <w:sz w:val="24"/>
          <w:lang w:val="en-US" w:eastAsia="zh-CN"/>
        </w:rPr>
      </w:pPr>
      <w:r>
        <w:rPr>
          <w:rFonts w:hint="eastAsia" w:ascii="Times New Roman" w:hAnsi="Times New Roman" w:eastAsia="宋体" w:cs="Times New Roman"/>
          <w:sz w:val="24"/>
          <w:lang w:val="en-US" w:eastAsia="zh-CN"/>
        </w:rPr>
        <w:t>建立1套完善的日常巡检制度，配合甲方对使用以上软件平台的服务器、存储设备等硬件部分和系统软件进行巡查，同时对网络安全、数据库、应用系统等软件部分的运行状况要求每月至少1次。通过定期检查设备、网络安全、系统软件及应用系统的运行日志和状态，及时查出存在的故障隐患，排除潜在的故障隐患，确保系统性能、安全、稳定性都处于最佳状态，以满足采购单位日常需求。巡查内容至少包含如下内容：查看系统日志信息；查看有无新操作系统更新；查看杀毒软件病毒库是否最新；检查磁盘空间是否异常；检查系统服务是否正常；检查系统安全补丁是否正常；检查有无可疑进程、进行性能调优；根据运维月报和用户反馈的结果，分析服务器运行的健康状态，提出合理建议并实施。</w:t>
      </w:r>
    </w:p>
    <w:p w14:paraId="2065EC72">
      <w:pPr>
        <w:tabs>
          <w:tab w:val="left" w:pos="2280"/>
        </w:tabs>
        <w:spacing w:line="440" w:lineRule="exact"/>
        <w:contextualSpacing/>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3、驻场技术服务</w:t>
      </w:r>
    </w:p>
    <w:p w14:paraId="065F3063">
      <w:pPr>
        <w:tabs>
          <w:tab w:val="left" w:pos="2280"/>
        </w:tabs>
        <w:spacing w:line="440" w:lineRule="exact"/>
        <w:ind w:firstLine="480"/>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运维单位需提供</w:t>
      </w:r>
      <w:r>
        <w:rPr>
          <w:rFonts w:hint="eastAsia" w:cs="Times New Roman"/>
          <w:sz w:val="24"/>
          <w:lang w:val="en-US" w:eastAsia="zh-CN"/>
        </w:rPr>
        <w:t>1</w:t>
      </w:r>
      <w:r>
        <w:rPr>
          <w:rFonts w:hint="eastAsia" w:ascii="Times New Roman" w:hAnsi="Times New Roman" w:eastAsia="宋体" w:cs="Times New Roman"/>
          <w:sz w:val="24"/>
          <w:lang w:val="en-US" w:eastAsia="zh-CN"/>
        </w:rPr>
        <w:t>名常驻人员驻点服务，按照采购方的工作时间上下班（特殊情况服从工作需要），严格遵守采购方办公场所的规章制度，接受采购方的管理。</w:t>
      </w:r>
    </w:p>
    <w:p w14:paraId="673EEC28">
      <w:pPr>
        <w:tabs>
          <w:tab w:val="left" w:pos="2280"/>
        </w:tabs>
        <w:spacing w:line="440" w:lineRule="exact"/>
        <w:ind w:firstLine="480"/>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运维人员需要熟练掌握系统操作流程，掌握每个功能模块的使用要求，并及时发现监测数据及其他应用方面的问题，做好问题处理、汇报、跟踪，并在系统中及时做好记录。</w:t>
      </w:r>
    </w:p>
    <w:p w14:paraId="7F338853">
      <w:pPr>
        <w:tabs>
          <w:tab w:val="left" w:pos="2280"/>
        </w:tabs>
        <w:spacing w:line="440" w:lineRule="exact"/>
        <w:ind w:firstLine="480"/>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配合采购单位做好培训工作，使用指导工作，及时解决采购单位实际的使用问题。</w:t>
      </w:r>
    </w:p>
    <w:p w14:paraId="488C8CB8">
      <w:pPr>
        <w:tabs>
          <w:tab w:val="left" w:pos="2280"/>
        </w:tabs>
        <w:spacing w:line="440" w:lineRule="exact"/>
        <w:contextualSpacing/>
        <w:rPr>
          <w:rFonts w:hint="eastAsia" w:ascii="Times New Roman" w:hAnsi="Times New Roman" w:eastAsia="宋体" w:cs="Times New Roman"/>
          <w:b/>
          <w:bCs/>
          <w:sz w:val="24"/>
          <w:lang w:val="en-US" w:eastAsia="zh-CN"/>
        </w:rPr>
      </w:pPr>
      <w:r>
        <w:rPr>
          <w:rFonts w:hint="eastAsia" w:cs="Times New Roman"/>
          <w:b/>
          <w:bCs/>
          <w:sz w:val="24"/>
          <w:lang w:val="en-US" w:eastAsia="zh-CN"/>
        </w:rPr>
        <w:t>4、</w:t>
      </w:r>
      <w:r>
        <w:rPr>
          <w:rFonts w:hint="eastAsia" w:ascii="Times New Roman" w:hAnsi="Times New Roman" w:eastAsia="宋体" w:cs="Times New Roman"/>
          <w:b/>
          <w:bCs/>
          <w:sz w:val="24"/>
          <w:lang w:val="en-US" w:eastAsia="zh-CN"/>
        </w:rPr>
        <w:t>预警信息发布：</w:t>
      </w:r>
    </w:p>
    <w:p w14:paraId="4F27D237">
      <w:pPr>
        <w:tabs>
          <w:tab w:val="left" w:pos="2280"/>
        </w:tabs>
        <w:spacing w:line="440" w:lineRule="exact"/>
        <w:ind w:firstLine="480"/>
        <w:contextualSpacing/>
        <w:rPr>
          <w:rFonts w:hint="eastAsia" w:ascii="Times New Roman" w:hAnsi="Times New Roman" w:eastAsia="宋体" w:cs="Times New Roman"/>
          <w:b/>
          <w:bCs/>
          <w:sz w:val="24"/>
          <w:lang w:val="en-US" w:eastAsia="zh-CN"/>
        </w:rPr>
      </w:pPr>
      <w:r>
        <w:rPr>
          <w:rFonts w:hint="eastAsia" w:ascii="Times New Roman" w:hAnsi="Times New Roman" w:eastAsia="宋体" w:cs="Times New Roman"/>
          <w:sz w:val="24"/>
          <w:lang w:val="en-US" w:eastAsia="zh-CN"/>
        </w:rPr>
        <w:t>运维单位</w:t>
      </w:r>
      <w:r>
        <w:rPr>
          <w:rFonts w:hint="eastAsia" w:cs="Times New Roman"/>
          <w:sz w:val="24"/>
          <w:lang w:val="en-US" w:eastAsia="zh-CN"/>
        </w:rPr>
        <w:t>驻场人员应及时对</w:t>
      </w:r>
      <w:r>
        <w:rPr>
          <w:rFonts w:hint="eastAsia" w:ascii="Times New Roman" w:hAnsi="Times New Roman" w:eastAsia="宋体" w:cs="Times New Roman"/>
          <w:sz w:val="24"/>
          <w:lang w:val="en-US" w:eastAsia="zh-CN"/>
        </w:rPr>
        <w:t>污染信息</w:t>
      </w:r>
      <w:r>
        <w:rPr>
          <w:rFonts w:hint="eastAsia" w:cs="Times New Roman"/>
          <w:sz w:val="24"/>
          <w:lang w:val="en-US" w:eastAsia="zh-CN"/>
        </w:rPr>
        <w:t>进行</w:t>
      </w:r>
      <w:r>
        <w:rPr>
          <w:rFonts w:hint="eastAsia" w:ascii="Times New Roman" w:hAnsi="Times New Roman" w:eastAsia="宋体" w:cs="Times New Roman"/>
          <w:sz w:val="24"/>
          <w:lang w:val="en-US" w:eastAsia="zh-CN"/>
        </w:rPr>
        <w:t>收集</w:t>
      </w:r>
      <w:r>
        <w:rPr>
          <w:rFonts w:hint="eastAsia" w:cs="Times New Roman"/>
          <w:sz w:val="24"/>
          <w:lang w:val="en-US" w:eastAsia="zh-CN"/>
        </w:rPr>
        <w:t>、核实、分析及</w:t>
      </w:r>
      <w:r>
        <w:rPr>
          <w:rFonts w:hint="eastAsia" w:ascii="Times New Roman" w:hAnsi="Times New Roman" w:eastAsia="宋体" w:cs="Times New Roman"/>
          <w:sz w:val="24"/>
          <w:lang w:val="en-US" w:eastAsia="zh-CN"/>
        </w:rPr>
        <w:t>研判</w:t>
      </w:r>
      <w:r>
        <w:rPr>
          <w:rFonts w:hint="eastAsia" w:cs="Times New Roman"/>
          <w:sz w:val="24"/>
          <w:lang w:val="en-US" w:eastAsia="zh-CN"/>
        </w:rPr>
        <w:t>，</w:t>
      </w:r>
      <w:r>
        <w:rPr>
          <w:rFonts w:hint="eastAsia" w:ascii="Times New Roman" w:hAnsi="Times New Roman" w:eastAsia="宋体" w:cs="Times New Roman"/>
          <w:sz w:val="24"/>
          <w:lang w:val="en-US" w:eastAsia="zh-CN"/>
        </w:rPr>
        <w:t>并及时</w:t>
      </w:r>
      <w:r>
        <w:rPr>
          <w:rFonts w:hint="eastAsia" w:cs="Times New Roman"/>
          <w:sz w:val="24"/>
          <w:lang w:val="en-US" w:eastAsia="zh-CN"/>
        </w:rPr>
        <w:t>上报</w:t>
      </w:r>
      <w:r>
        <w:rPr>
          <w:rFonts w:hint="eastAsia" w:ascii="Times New Roman" w:hAnsi="Times New Roman" w:eastAsia="宋体" w:cs="Times New Roman"/>
          <w:sz w:val="24"/>
          <w:lang w:val="en-US" w:eastAsia="zh-CN"/>
        </w:rPr>
        <w:t>主管单位</w:t>
      </w:r>
      <w:r>
        <w:rPr>
          <w:rFonts w:hint="eastAsia" w:cs="Times New Roman"/>
          <w:sz w:val="24"/>
          <w:lang w:val="en-US" w:eastAsia="zh-CN"/>
        </w:rPr>
        <w:t>，经主管单位同意后向相关部门发布</w:t>
      </w:r>
      <w:r>
        <w:rPr>
          <w:rFonts w:hint="eastAsia" w:ascii="Times New Roman" w:hAnsi="Times New Roman" w:eastAsia="宋体" w:cs="Times New Roman"/>
          <w:sz w:val="24"/>
          <w:lang w:val="en-US" w:eastAsia="zh-CN"/>
        </w:rPr>
        <w:t>预警信息</w:t>
      </w:r>
      <w:r>
        <w:rPr>
          <w:rFonts w:hint="eastAsia" w:cs="Times New Roman"/>
          <w:sz w:val="24"/>
          <w:lang w:val="en-US" w:eastAsia="zh-CN"/>
        </w:rPr>
        <w:t>。</w:t>
      </w:r>
    </w:p>
    <w:p w14:paraId="4C7CFF4C">
      <w:pPr>
        <w:tabs>
          <w:tab w:val="left" w:pos="2280"/>
        </w:tabs>
        <w:spacing w:line="440" w:lineRule="exact"/>
        <w:contextualSpacing/>
        <w:rPr>
          <w:rFonts w:hint="eastAsia" w:ascii="Times New Roman" w:hAnsi="Times New Roman" w:eastAsia="宋体" w:cs="Times New Roman"/>
          <w:b/>
          <w:bCs/>
          <w:sz w:val="24"/>
          <w:lang w:val="en-US" w:eastAsia="zh-CN"/>
        </w:rPr>
      </w:pPr>
      <w:r>
        <w:rPr>
          <w:rFonts w:hint="eastAsia" w:cs="Times New Roman"/>
          <w:b/>
          <w:bCs/>
          <w:sz w:val="24"/>
          <w:lang w:val="en-US" w:eastAsia="zh-CN"/>
        </w:rPr>
        <w:t>5</w:t>
      </w:r>
      <w:r>
        <w:rPr>
          <w:rFonts w:hint="eastAsia" w:ascii="Times New Roman" w:hAnsi="Times New Roman" w:eastAsia="宋体" w:cs="Times New Roman"/>
          <w:b/>
          <w:bCs/>
          <w:sz w:val="24"/>
          <w:lang w:val="en-US" w:eastAsia="zh-CN"/>
        </w:rPr>
        <w:t>、巡检与值班要求</w:t>
      </w:r>
    </w:p>
    <w:p w14:paraId="075E7F99">
      <w:pPr>
        <w:tabs>
          <w:tab w:val="left" w:pos="2280"/>
        </w:tabs>
        <w:spacing w:line="440" w:lineRule="exact"/>
        <w:ind w:firstLine="480"/>
        <w:contextualSpacing/>
        <w:rPr>
          <w:sz w:val="24"/>
        </w:rPr>
      </w:pPr>
      <w:r>
        <w:rPr>
          <w:rFonts w:hint="eastAsia"/>
          <w:sz w:val="24"/>
        </w:rPr>
        <w:t>（1）</w:t>
      </w:r>
      <w:r>
        <w:rPr>
          <w:sz w:val="24"/>
        </w:rPr>
        <w:t>及时对</w:t>
      </w:r>
      <w:r>
        <w:rPr>
          <w:rFonts w:hint="eastAsia"/>
          <w:sz w:val="24"/>
        </w:rPr>
        <w:t>水</w:t>
      </w:r>
      <w:r>
        <w:rPr>
          <w:sz w:val="24"/>
        </w:rPr>
        <w:t>平台进行防火墙软件及杀毒软件升级，保障水平台正常运行，协助甲方完成数据归档。</w:t>
      </w:r>
    </w:p>
    <w:p w14:paraId="29156B2D">
      <w:pPr>
        <w:tabs>
          <w:tab w:val="left" w:pos="2280"/>
        </w:tabs>
        <w:spacing w:line="440" w:lineRule="exact"/>
        <w:ind w:firstLine="480"/>
        <w:contextualSpacing/>
        <w:rPr>
          <w:sz w:val="24"/>
        </w:rPr>
      </w:pPr>
      <w:r>
        <w:rPr>
          <w:rFonts w:hint="eastAsia"/>
          <w:sz w:val="24"/>
        </w:rPr>
        <w:t>（</w:t>
      </w:r>
      <w:r>
        <w:rPr>
          <w:sz w:val="24"/>
        </w:rPr>
        <w:t>2</w:t>
      </w:r>
      <w:r>
        <w:rPr>
          <w:rFonts w:hint="eastAsia"/>
          <w:sz w:val="24"/>
        </w:rPr>
        <w:t>）</w:t>
      </w:r>
      <w:r>
        <w:rPr>
          <w:sz w:val="24"/>
        </w:rPr>
        <w:t>现场工</w:t>
      </w:r>
      <w:r>
        <w:rPr>
          <w:rFonts w:hint="eastAsia"/>
          <w:sz w:val="24"/>
        </w:rPr>
        <w:t>程师需熟悉水平台数据传输及网络架构，遇必须要到现场解决的问题须</w:t>
      </w:r>
      <w:r>
        <w:rPr>
          <w:rFonts w:hint="eastAsia"/>
          <w:sz w:val="24"/>
          <w:lang w:val="en-US" w:eastAsia="zh-CN"/>
        </w:rPr>
        <w:t>2</w:t>
      </w:r>
      <w:r>
        <w:rPr>
          <w:rFonts w:hint="eastAsia"/>
          <w:sz w:val="24"/>
        </w:rPr>
        <w:t>小时内赶到现场解决。</w:t>
      </w:r>
    </w:p>
    <w:p w14:paraId="24B8DEFB">
      <w:pPr>
        <w:tabs>
          <w:tab w:val="left" w:pos="2280"/>
        </w:tabs>
        <w:spacing w:line="440" w:lineRule="exact"/>
        <w:ind w:firstLine="480"/>
        <w:contextualSpacing/>
        <w:rPr>
          <w:sz w:val="24"/>
        </w:rPr>
      </w:pPr>
      <w:r>
        <w:rPr>
          <w:rFonts w:hint="eastAsia"/>
          <w:sz w:val="24"/>
        </w:rPr>
        <w:t>（</w:t>
      </w:r>
      <w:r>
        <w:rPr>
          <w:sz w:val="24"/>
        </w:rPr>
        <w:t>3</w:t>
      </w:r>
      <w:r>
        <w:rPr>
          <w:rFonts w:hint="eastAsia"/>
          <w:sz w:val="24"/>
        </w:rPr>
        <w:t>）每周对</w:t>
      </w:r>
      <w:r>
        <w:rPr>
          <w:rFonts w:hint="eastAsia"/>
          <w:sz w:val="24"/>
          <w:lang w:val="en-US" w:eastAsia="zh-CN"/>
        </w:rPr>
        <w:t>全区</w:t>
      </w:r>
      <w:r>
        <w:rPr>
          <w:rFonts w:hint="eastAsia"/>
          <w:sz w:val="24"/>
        </w:rPr>
        <w:t>水站在线率、数据上传情况及中心站机房运行情况进行检查。</w:t>
      </w:r>
    </w:p>
    <w:p w14:paraId="3453CF09">
      <w:pPr>
        <w:tabs>
          <w:tab w:val="left" w:pos="2280"/>
        </w:tabs>
        <w:spacing w:line="440" w:lineRule="exact"/>
        <w:ind w:firstLine="480"/>
        <w:contextualSpacing/>
        <w:rPr>
          <w:sz w:val="24"/>
        </w:rPr>
      </w:pPr>
      <w:r>
        <w:rPr>
          <w:rFonts w:hint="eastAsia"/>
          <w:sz w:val="24"/>
        </w:rPr>
        <w:t>（</w:t>
      </w:r>
      <w:r>
        <w:rPr>
          <w:sz w:val="24"/>
        </w:rPr>
        <w:t>4</w:t>
      </w:r>
      <w:r>
        <w:rPr>
          <w:rFonts w:hint="eastAsia"/>
          <w:sz w:val="24"/>
        </w:rPr>
        <w:t>）保证自动监测数据不泄露不更改并严格保密，不得对外泄漏或公开相关内容，如发现，应当服从甲方的处理条例，甲方亦具有中止该维护合同的权利。</w:t>
      </w:r>
    </w:p>
    <w:p w14:paraId="23F7237E">
      <w:pPr>
        <w:pStyle w:val="17"/>
        <w:rPr>
          <w:rFonts w:hint="eastAsia"/>
          <w:lang w:val="en-US" w:eastAsia="zh-CN"/>
        </w:rPr>
      </w:pPr>
    </w:p>
    <w:p w14:paraId="2892D609">
      <w:pPr>
        <w:tabs>
          <w:tab w:val="left" w:pos="2280"/>
        </w:tabs>
        <w:spacing w:line="440" w:lineRule="exact"/>
        <w:contextualSpacing/>
        <w:rPr>
          <w:rFonts w:hint="eastAsia" w:ascii="Times New Roman" w:hAnsi="Times New Roman" w:eastAsia="宋体" w:cs="Times New Roman"/>
          <w:b/>
          <w:bCs/>
          <w:sz w:val="24"/>
          <w:lang w:val="en-US" w:eastAsia="zh-CN"/>
        </w:rPr>
      </w:pPr>
      <w:r>
        <w:rPr>
          <w:rFonts w:hint="eastAsia" w:cs="Times New Roman"/>
          <w:b/>
          <w:bCs/>
          <w:sz w:val="24"/>
          <w:lang w:val="en-US" w:eastAsia="zh-CN"/>
        </w:rPr>
        <w:t>6</w:t>
      </w:r>
      <w:r>
        <w:rPr>
          <w:rFonts w:hint="eastAsia" w:ascii="Times New Roman" w:hAnsi="Times New Roman" w:eastAsia="宋体" w:cs="Times New Roman"/>
          <w:b/>
          <w:bCs/>
          <w:sz w:val="24"/>
          <w:lang w:val="en-US" w:eastAsia="zh-CN"/>
        </w:rPr>
        <w:t>、故障处理及响应时间要求</w:t>
      </w:r>
    </w:p>
    <w:p w14:paraId="5453E564">
      <w:pPr>
        <w:tabs>
          <w:tab w:val="left" w:pos="2280"/>
        </w:tabs>
        <w:spacing w:line="440" w:lineRule="exact"/>
        <w:ind w:firstLine="480"/>
        <w:contextualSpacing/>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运维单位</w:t>
      </w:r>
      <w:r>
        <w:rPr>
          <w:rFonts w:hint="eastAsia" w:ascii="Times New Roman" w:hAnsi="Times New Roman" w:eastAsia="宋体" w:cs="Times New Roman"/>
          <w:sz w:val="24"/>
        </w:rPr>
        <w:t>应提供7×24小时电话/电子邮件/传真/即时通讯/等服务方式的售后服务，确保系统各项模块稳定运行。远程解决不了问题且属于重大故障时候，应立即通知采购单位相关人员，同时2小时内安排本地服务技术人员现场应急上门方法进行故障排查解决，故障未排除但不属于重大故障或故障发生后24小时内仍然未解决，需安排供应商资深技术人员到现场完成运维服务工作并记录，同时协助启动备用系统。供应商应建立分故障级别的现场快速响应措施，落实技术服务维护人员，同时要求建立本地服务和重大故障2小时内到达现场应急技术服务支撑的响应机制。</w:t>
      </w:r>
    </w:p>
    <w:p w14:paraId="0A539552">
      <w:pPr>
        <w:pStyle w:val="17"/>
        <w:rPr>
          <w:rFonts w:hint="eastAsia"/>
          <w:lang w:val="en-US" w:eastAsia="zh-CN"/>
        </w:rPr>
      </w:pPr>
    </w:p>
    <w:p w14:paraId="77C9E85C">
      <w:pPr>
        <w:tabs>
          <w:tab w:val="left" w:pos="2280"/>
        </w:tabs>
        <w:spacing w:line="440" w:lineRule="exact"/>
        <w:contextualSpacing/>
        <w:rPr>
          <w:rFonts w:hint="eastAsia" w:ascii="Times New Roman" w:hAnsi="Times New Roman" w:eastAsia="宋体" w:cs="Times New Roman"/>
          <w:b/>
          <w:bCs/>
          <w:sz w:val="24"/>
          <w:lang w:val="en-US" w:eastAsia="zh-CN"/>
        </w:rPr>
      </w:pPr>
      <w:r>
        <w:rPr>
          <w:rFonts w:hint="eastAsia" w:cs="Times New Roman"/>
          <w:b/>
          <w:bCs/>
          <w:sz w:val="24"/>
          <w:lang w:val="en-US" w:eastAsia="zh-CN"/>
        </w:rPr>
        <w:t>7</w:t>
      </w:r>
      <w:r>
        <w:rPr>
          <w:rFonts w:hint="eastAsia" w:ascii="Times New Roman" w:hAnsi="Times New Roman" w:eastAsia="宋体" w:cs="Times New Roman"/>
          <w:b/>
          <w:bCs/>
          <w:sz w:val="24"/>
          <w:lang w:val="en-US" w:eastAsia="zh-CN"/>
        </w:rPr>
        <w:t>、数据库维护服务要求</w:t>
      </w:r>
    </w:p>
    <w:p w14:paraId="0937784F">
      <w:pPr>
        <w:spacing w:line="360" w:lineRule="auto"/>
        <w:rPr>
          <w:rFonts w:hint="eastAsia" w:ascii="宋体" w:hAnsi="宋体" w:eastAsia="宋体" w:cs="宋体"/>
          <w:sz w:val="24"/>
          <w:szCs w:val="24"/>
        </w:rPr>
      </w:pPr>
      <w:r>
        <w:rPr>
          <w:rFonts w:hint="eastAsia"/>
          <w:sz w:val="24"/>
        </w:rPr>
        <w:t>（1）</w:t>
      </w:r>
      <w:r>
        <w:rPr>
          <w:rFonts w:hint="eastAsia" w:ascii="宋体" w:hAnsi="宋体" w:eastAsia="宋体" w:cs="宋体"/>
          <w:sz w:val="24"/>
          <w:szCs w:val="24"/>
        </w:rPr>
        <w:t>服务对象与目标</w:t>
      </w:r>
    </w:p>
    <w:p w14:paraId="38EC9DA8">
      <w:pPr>
        <w:spacing w:line="360" w:lineRule="auto"/>
        <w:ind w:firstLine="360"/>
        <w:rPr>
          <w:rFonts w:hint="eastAsia" w:ascii="宋体" w:hAnsi="宋体" w:eastAsia="宋体" w:cs="宋体"/>
          <w:sz w:val="24"/>
          <w:szCs w:val="24"/>
        </w:rPr>
      </w:pPr>
      <w:r>
        <w:rPr>
          <w:rFonts w:hint="eastAsia" w:ascii="宋体" w:hAnsi="宋体" w:eastAsia="宋体" w:cs="宋体"/>
          <w:sz w:val="24"/>
          <w:szCs w:val="24"/>
        </w:rPr>
        <w:t>服务对象为1套 SQL Server 数据库。其中，SQL Server 运行平台为Windows Server 2012，供应商应提供监控、调优、备份、还原等一系列数据库管理服务。</w:t>
      </w:r>
    </w:p>
    <w:p w14:paraId="3D0391FE">
      <w:pPr>
        <w:spacing w:line="360" w:lineRule="auto"/>
        <w:rPr>
          <w:rFonts w:hint="eastAsia" w:ascii="宋体" w:hAnsi="宋体" w:eastAsia="宋体" w:cs="宋体"/>
          <w:sz w:val="24"/>
          <w:szCs w:val="24"/>
        </w:rPr>
      </w:pPr>
      <w:r>
        <w:rPr>
          <w:rFonts w:hint="eastAsia"/>
          <w:sz w:val="24"/>
        </w:rPr>
        <w:t>（</w:t>
      </w:r>
      <w:r>
        <w:rPr>
          <w:rFonts w:hint="eastAsia"/>
          <w:sz w:val="24"/>
          <w:lang w:val="en-US" w:eastAsia="zh-CN"/>
        </w:rPr>
        <w:t>2</w:t>
      </w:r>
      <w:r>
        <w:rPr>
          <w:rFonts w:hint="eastAsia"/>
          <w:sz w:val="24"/>
        </w:rPr>
        <w:t>）</w:t>
      </w:r>
      <w:r>
        <w:rPr>
          <w:rFonts w:hint="eastAsia" w:ascii="宋体" w:hAnsi="宋体" w:eastAsia="宋体" w:cs="宋体"/>
          <w:sz w:val="24"/>
          <w:szCs w:val="24"/>
        </w:rPr>
        <w:t>数据安全保障</w:t>
      </w:r>
    </w:p>
    <w:p w14:paraId="4090A946">
      <w:pPr>
        <w:spacing w:line="360" w:lineRule="auto"/>
        <w:ind w:firstLine="360"/>
        <w:rPr>
          <w:rFonts w:hint="eastAsia" w:ascii="宋体" w:hAnsi="宋体" w:eastAsia="宋体" w:cs="宋体"/>
          <w:sz w:val="24"/>
          <w:szCs w:val="24"/>
        </w:rPr>
      </w:pPr>
      <w:r>
        <w:rPr>
          <w:rFonts w:hint="eastAsia" w:ascii="宋体" w:hAnsi="宋体" w:eastAsia="宋体" w:cs="宋体"/>
          <w:sz w:val="24"/>
          <w:szCs w:val="24"/>
        </w:rPr>
        <w:t>供应商提供数据库数据的安全保障服务，针对数据库各类数据在一定时期内的增长量，制定有差异性的数据备份、还原方案。</w:t>
      </w:r>
    </w:p>
    <w:p w14:paraId="25EA5B68">
      <w:pPr>
        <w:spacing w:line="360" w:lineRule="auto"/>
        <w:rPr>
          <w:rFonts w:hint="eastAsia" w:ascii="宋体" w:hAnsi="宋体" w:eastAsia="宋体" w:cs="宋体"/>
          <w:sz w:val="24"/>
          <w:szCs w:val="24"/>
        </w:rPr>
      </w:pPr>
      <w:r>
        <w:rPr>
          <w:rFonts w:hint="eastAsia"/>
          <w:sz w:val="24"/>
        </w:rPr>
        <w:t>（</w:t>
      </w:r>
      <w:r>
        <w:rPr>
          <w:rFonts w:hint="eastAsia"/>
          <w:sz w:val="24"/>
          <w:lang w:val="en-US" w:eastAsia="zh-CN"/>
        </w:rPr>
        <w:t>3</w:t>
      </w:r>
      <w:r>
        <w:rPr>
          <w:rFonts w:hint="eastAsia"/>
          <w:sz w:val="24"/>
        </w:rPr>
        <w:t>）</w:t>
      </w:r>
      <w:r>
        <w:rPr>
          <w:rFonts w:hint="eastAsia" w:ascii="宋体" w:hAnsi="宋体" w:eastAsia="宋体" w:cs="宋体"/>
          <w:sz w:val="24"/>
          <w:szCs w:val="24"/>
        </w:rPr>
        <w:t>数据库管理服务</w:t>
      </w:r>
    </w:p>
    <w:p w14:paraId="367DF662">
      <w:pPr>
        <w:spacing w:line="360" w:lineRule="auto"/>
        <w:ind w:firstLine="360"/>
        <w:rPr>
          <w:rFonts w:hint="eastAsia" w:ascii="宋体" w:hAnsi="宋体" w:eastAsia="宋体" w:cs="宋体"/>
          <w:b/>
          <w:bCs/>
          <w:sz w:val="24"/>
          <w:szCs w:val="24"/>
          <w:lang w:val="en-US" w:eastAsia="zh-CN"/>
        </w:rPr>
      </w:pPr>
      <w:r>
        <w:rPr>
          <w:rFonts w:hint="eastAsia" w:ascii="宋体" w:hAnsi="宋体" w:eastAsia="宋体" w:cs="宋体"/>
          <w:sz w:val="24"/>
          <w:szCs w:val="24"/>
        </w:rPr>
        <w:t>供应商提供数据库用户管理、存储空间管理、资源和性能监控、数据迁移、调优等管理服务，制定数据库管理方案。至少包含的工作内容有：验证服务的可用性，确保起关键作用的数据库服务的可用性。供应商现场服务人员将每日确定是否所有的数据库服务都正常运转。监控数据库可用性，数据库运转不正常时，能够及时发现，并立即作出响应，启动相应措施。监控 SQL 代理作业，供应商现场服务人员可每日检查这些作业，以确保它们能够正常运行。</w:t>
      </w:r>
    </w:p>
    <w:p w14:paraId="74B8BBCC">
      <w:pPr>
        <w:tabs>
          <w:tab w:val="left" w:pos="2280"/>
        </w:tabs>
        <w:spacing w:line="440" w:lineRule="exact"/>
        <w:contextualSpacing/>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8</w:t>
      </w:r>
      <w:r>
        <w:rPr>
          <w:rFonts w:hint="eastAsia" w:ascii="宋体" w:hAnsi="宋体" w:eastAsia="宋体" w:cs="宋体"/>
          <w:b/>
          <w:bCs/>
          <w:sz w:val="24"/>
          <w:szCs w:val="24"/>
          <w:lang w:val="en-US" w:eastAsia="zh-CN"/>
        </w:rPr>
        <w:t>、数据备份</w:t>
      </w:r>
    </w:p>
    <w:p w14:paraId="7221159E">
      <w:pPr>
        <w:spacing w:line="360" w:lineRule="auto"/>
        <w:ind w:firstLine="360"/>
        <w:rPr>
          <w:rFonts w:hint="eastAsia" w:ascii="宋体" w:hAnsi="宋体" w:eastAsia="宋体" w:cs="宋体"/>
          <w:sz w:val="24"/>
          <w:szCs w:val="24"/>
        </w:rPr>
      </w:pPr>
      <w:r>
        <w:rPr>
          <w:rFonts w:hint="eastAsia" w:ascii="宋体" w:hAnsi="宋体" w:eastAsia="宋体" w:cs="宋体"/>
          <w:sz w:val="24"/>
          <w:szCs w:val="24"/>
        </w:rPr>
        <w:t>（1）每月第一个工作日须将所有水站数据及软件进行备份。</w:t>
      </w:r>
    </w:p>
    <w:p w14:paraId="47E15A09">
      <w:pPr>
        <w:spacing w:line="360" w:lineRule="auto"/>
        <w:ind w:firstLine="360"/>
        <w:rPr>
          <w:rFonts w:hint="eastAsia" w:ascii="宋体" w:hAnsi="宋体" w:eastAsia="宋体" w:cs="宋体"/>
          <w:b/>
          <w:bCs/>
          <w:sz w:val="24"/>
          <w:szCs w:val="24"/>
          <w:lang w:val="en-US" w:eastAsia="zh-CN"/>
        </w:rPr>
      </w:pPr>
      <w:r>
        <w:rPr>
          <w:rFonts w:hint="eastAsia" w:ascii="宋体" w:hAnsi="宋体" w:eastAsia="宋体" w:cs="宋体"/>
          <w:sz w:val="24"/>
          <w:szCs w:val="24"/>
        </w:rPr>
        <w:t>（2）备份使用移动硬盘，定期将移动硬盘送至业主单位。</w:t>
      </w:r>
    </w:p>
    <w:p w14:paraId="258133E3">
      <w:pPr>
        <w:tabs>
          <w:tab w:val="left" w:pos="2280"/>
        </w:tabs>
        <w:spacing w:line="440" w:lineRule="exact"/>
        <w:contextualSpacing/>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、应急方案的制定和维护</w:t>
      </w:r>
    </w:p>
    <w:p w14:paraId="43E74397">
      <w:pPr>
        <w:spacing w:line="360" w:lineRule="auto"/>
        <w:ind w:firstLine="480"/>
        <w:rPr>
          <w:rFonts w:hint="eastAsia" w:ascii="宋体" w:hAnsi="宋体" w:eastAsia="宋体" w:cs="宋体"/>
          <w:b/>
          <w:bCs/>
          <w:sz w:val="24"/>
          <w:szCs w:val="24"/>
          <w:lang w:val="en-US" w:eastAsia="zh-CN"/>
        </w:rPr>
      </w:pPr>
      <w:r>
        <w:rPr>
          <w:rFonts w:hint="eastAsia" w:ascii="宋体" w:hAnsi="宋体" w:eastAsia="宋体" w:cs="宋体"/>
          <w:sz w:val="24"/>
          <w:szCs w:val="24"/>
        </w:rPr>
        <w:t>针对系统中可能出现的问题，供应商将提供应急备选方案，定期演练，定时备份，确保在最短时间恢复所有正常业务数据。</w:t>
      </w:r>
    </w:p>
    <w:p w14:paraId="2265F73E">
      <w:pPr>
        <w:tabs>
          <w:tab w:val="left" w:pos="2280"/>
        </w:tabs>
        <w:spacing w:line="440" w:lineRule="exact"/>
        <w:contextualSpacing/>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10</w:t>
      </w:r>
      <w:r>
        <w:rPr>
          <w:rFonts w:hint="eastAsia" w:ascii="宋体" w:hAnsi="宋体" w:eastAsia="宋体" w:cs="宋体"/>
          <w:b/>
          <w:bCs/>
          <w:sz w:val="24"/>
          <w:szCs w:val="24"/>
          <w:lang w:val="en-US" w:eastAsia="zh-CN"/>
        </w:rPr>
        <w:t>、运维报告</w:t>
      </w:r>
    </w:p>
    <w:p w14:paraId="316FD6D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每日运维（巡检）报告（除重大故障外）每周向采购单位提交；</w:t>
      </w:r>
    </w:p>
    <w:p w14:paraId="5453DFC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每月向采购单位提交《专项核查表》；发生影响范围为全局或影响用户为核心业务用户，需提交《故障处理报告》，要求在故障处理后不超过 5 个工作日内提交；</w:t>
      </w:r>
    </w:p>
    <w:p w14:paraId="0176C77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每半年向采购单位提交半年度总结；</w:t>
      </w:r>
    </w:p>
    <w:p w14:paraId="5CAF35A3">
      <w:pPr>
        <w:spacing w:line="360" w:lineRule="auto"/>
        <w:ind w:firstLine="480"/>
        <w:rPr>
          <w:rFonts w:hint="default" w:ascii="宋体" w:hAnsi="宋体" w:eastAsia="宋体" w:cs="宋体"/>
          <w:b/>
          <w:bCs/>
          <w:sz w:val="24"/>
          <w:szCs w:val="24"/>
          <w:lang w:val="en-US" w:eastAsia="zh-CN"/>
        </w:rPr>
      </w:pPr>
      <w:r>
        <w:rPr>
          <w:rFonts w:hint="eastAsia" w:ascii="宋体" w:hAnsi="宋体" w:eastAsia="宋体" w:cs="宋体"/>
          <w:sz w:val="24"/>
          <w:szCs w:val="24"/>
        </w:rPr>
        <w:t>每年向采购单位提交报告，年度报告中需包括系统优化建议等内容，同时要求提供1套年度运维汇编和年度运维总结，装订成册提交采购单位备案。</w:t>
      </w:r>
    </w:p>
    <w:p w14:paraId="2DBFDE5B">
      <w:pPr>
        <w:keepNext w:val="0"/>
        <w:keepLines w:val="0"/>
        <w:pageBreakBefore w:val="0"/>
        <w:widowControl w:val="0"/>
        <w:numPr>
          <w:ilvl w:val="0"/>
          <w:numId w:val="0"/>
        </w:numPr>
        <w:tabs>
          <w:tab w:val="left" w:pos="2280"/>
        </w:tabs>
        <w:spacing w:line="360" w:lineRule="auto"/>
        <w:contextualSpacing/>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11</w:t>
      </w:r>
      <w:r>
        <w:rPr>
          <w:rFonts w:hint="eastAsia" w:ascii="宋体" w:hAnsi="宋体" w:eastAsia="宋体" w:cs="宋体"/>
          <w:b/>
          <w:bCs/>
          <w:sz w:val="24"/>
          <w:szCs w:val="24"/>
          <w:lang w:val="en-US" w:eastAsia="zh-CN"/>
        </w:rPr>
        <w:t>、网络通讯</w:t>
      </w:r>
    </w:p>
    <w:p w14:paraId="343E27D8">
      <w:pPr>
        <w:pStyle w:val="17"/>
        <w:widowControl w:val="0"/>
        <w:numPr>
          <w:ilvl w:val="0"/>
          <w:numId w:val="0"/>
        </w:numPr>
        <w:ind w:firstLine="480"/>
        <w:jc w:val="left"/>
        <w:rPr>
          <w:rFonts w:hint="eastAsia" w:ascii="宋体" w:hAnsi="宋体" w:eastAsia="宋体" w:cs="宋体"/>
          <w:b/>
          <w:bCs/>
          <w:sz w:val="24"/>
          <w:szCs w:val="24"/>
          <w:lang w:val="en-US" w:eastAsia="zh-CN"/>
        </w:rPr>
      </w:pPr>
      <w:r>
        <w:rPr>
          <w:rFonts w:hint="eastAsia" w:ascii="宋体" w:hAnsi="宋体" w:eastAsia="宋体" w:cs="宋体"/>
          <w:bCs w:val="0"/>
          <w:i w:val="0"/>
          <w:iCs w:val="0"/>
          <w:caps w:val="0"/>
          <w:color w:val="333333"/>
          <w:spacing w:val="0"/>
          <w:sz w:val="24"/>
          <w:szCs w:val="24"/>
          <w:lang w:val="en-US" w:eastAsia="zh-CN" w:bidi="ar-SA"/>
        </w:rPr>
        <w:t>服务期内铜山区地水环境监测监控预警平台系统网络通讯费用由中标人支付。</w:t>
      </w:r>
    </w:p>
    <w:p w14:paraId="761960C9">
      <w:pPr>
        <w:keepNext w:val="0"/>
        <w:keepLines w:val="0"/>
        <w:pageBreakBefore w:val="0"/>
        <w:widowControl w:val="0"/>
        <w:tabs>
          <w:tab w:val="left" w:pos="2280"/>
        </w:tabs>
        <w:spacing w:line="360" w:lineRule="auto"/>
        <w:contextualSpacing/>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12</w:t>
      </w:r>
      <w:r>
        <w:rPr>
          <w:rFonts w:hint="eastAsia" w:ascii="宋体" w:hAnsi="宋体" w:eastAsia="宋体" w:cs="宋体"/>
          <w:b/>
          <w:bCs/>
          <w:sz w:val="24"/>
          <w:szCs w:val="24"/>
          <w:lang w:val="en-US" w:eastAsia="zh-CN"/>
        </w:rPr>
        <w:t>、溯源分析</w:t>
      </w:r>
    </w:p>
    <w:p w14:paraId="526D1C06">
      <w:pPr>
        <w:numPr>
          <w:ilvl w:val="0"/>
          <w:numId w:val="0"/>
        </w:numPr>
        <w:tabs>
          <w:tab w:val="left" w:pos="2280"/>
        </w:tabs>
        <w:spacing w:line="360" w:lineRule="auto"/>
        <w:ind w:firstLine="480"/>
        <w:contextualSpacing/>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投标人应</w:t>
      </w:r>
      <w:r>
        <w:rPr>
          <w:rFonts w:hint="eastAsia" w:cs="Times New Roman"/>
          <w:sz w:val="24"/>
          <w:szCs w:val="24"/>
          <w:lang w:val="en-US" w:eastAsia="zh-CN"/>
        </w:rPr>
        <w:t>配合业主</w:t>
      </w:r>
      <w:r>
        <w:rPr>
          <w:rFonts w:hint="eastAsia" w:ascii="Times New Roman" w:hAnsi="Times New Roman" w:eastAsia="宋体" w:cs="Times New Roman"/>
          <w:sz w:val="24"/>
          <w:szCs w:val="24"/>
          <w:lang w:val="en-US" w:eastAsia="zh-CN"/>
        </w:rPr>
        <w:t>做好水质自动站周边水系情况调查及污染溯源排查工作，针对水质重点监测站开展溯源监测工作，以期识别重点断面污染类型及问题断面污染来源，为后期水环境治理措施提供重要依据，促进水环境质量改善。溯源分析根据业主要求调查水质自动站周边3km范围内的工业、农业、生活污染源的分布、排放强度及其特征污染组分，分析污染源可能对水质造成的影响，并提交溯源分析报告。</w:t>
      </w:r>
    </w:p>
    <w:p w14:paraId="0951E88A">
      <w:pPr>
        <w:pStyle w:val="17"/>
        <w:keepNext w:val="0"/>
        <w:keepLines w:val="0"/>
        <w:pageBreakBefore w:val="0"/>
        <w:widowControl w:val="0"/>
        <w:numPr>
          <w:ilvl w:val="0"/>
          <w:numId w:val="0"/>
        </w:numPr>
        <w:spacing w:line="360" w:lineRule="auto"/>
        <w:ind w:left="0" w:firstLine="480"/>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溯源方式主要</w:t>
      </w:r>
      <w:r>
        <w:rPr>
          <w:rFonts w:hint="eastAsia" w:ascii="宋体" w:hAnsi="宋体" w:cs="宋体"/>
          <w:spacing w:val="0"/>
          <w:sz w:val="24"/>
          <w:szCs w:val="24"/>
          <w:lang w:val="en-US" w:eastAsia="zh-CN"/>
        </w:rPr>
        <w:t>以</w:t>
      </w:r>
      <w:r>
        <w:rPr>
          <w:rFonts w:hint="eastAsia" w:ascii="宋体" w:hAnsi="宋体" w:eastAsia="宋体" w:cs="宋体"/>
          <w:spacing w:val="0"/>
          <w:sz w:val="24"/>
          <w:szCs w:val="24"/>
          <w:lang w:val="en-US" w:eastAsia="zh-CN"/>
        </w:rPr>
        <w:t>人工采样后送实验室分析</w:t>
      </w:r>
      <w:r>
        <w:rPr>
          <w:rFonts w:hint="eastAsia" w:ascii="宋体" w:hAnsi="宋体" w:cs="宋体"/>
          <w:spacing w:val="0"/>
          <w:sz w:val="24"/>
          <w:szCs w:val="24"/>
          <w:lang w:val="en-US" w:eastAsia="zh-CN"/>
        </w:rPr>
        <w:t>方式</w:t>
      </w:r>
      <w:r>
        <w:rPr>
          <w:rFonts w:hint="eastAsia" w:ascii="宋体" w:hAnsi="宋体" w:eastAsia="宋体" w:cs="宋体"/>
          <w:spacing w:val="0"/>
          <w:sz w:val="24"/>
          <w:szCs w:val="24"/>
          <w:lang w:val="en-US" w:eastAsia="zh-CN"/>
        </w:rPr>
        <w:t>，通过测定水质</w:t>
      </w:r>
      <w:r>
        <w:rPr>
          <w:rFonts w:hint="eastAsia" w:ascii="宋体" w:hAnsi="宋体" w:cs="宋体"/>
          <w:spacing w:val="0"/>
          <w:sz w:val="24"/>
          <w:szCs w:val="24"/>
          <w:lang w:val="en-US" w:eastAsia="zh-CN"/>
        </w:rPr>
        <w:t>指标</w:t>
      </w:r>
      <w:r>
        <w:rPr>
          <w:rFonts w:hint="eastAsia" w:ascii="宋体" w:hAnsi="宋体" w:eastAsia="宋体" w:cs="宋体"/>
          <w:spacing w:val="0"/>
          <w:sz w:val="24"/>
          <w:szCs w:val="24"/>
          <w:lang w:val="en-US" w:eastAsia="zh-CN"/>
        </w:rPr>
        <w:t>来确定河流的水化学特性，从而推算出污染物在河流中的转化规律和影响程度，为水质改善和生态修复提供依据。</w:t>
      </w:r>
    </w:p>
    <w:p w14:paraId="60B408C9">
      <w:pPr>
        <w:pStyle w:val="6"/>
        <w:keepNext w:val="0"/>
        <w:keepLines w:val="0"/>
        <w:pageBreakBefore w:val="0"/>
        <w:widowControl w:val="0"/>
        <w:ind w:firstLine="480"/>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工作内容及要求</w:t>
      </w:r>
    </w:p>
    <w:p w14:paraId="46FF7C78">
      <w:pPr>
        <w:pStyle w:val="17"/>
        <w:keepNext w:val="0"/>
        <w:keepLines w:val="0"/>
        <w:pageBreakBefore w:val="0"/>
        <w:widowControl w:val="0"/>
        <w:numPr>
          <w:ilvl w:val="0"/>
          <w:numId w:val="0"/>
        </w:numPr>
        <w:spacing w:line="360" w:lineRule="auto"/>
        <w:ind w:left="0" w:firstLine="480"/>
        <w:rPr>
          <w:rFonts w:hint="eastAsia" w:ascii="宋体" w:hAnsi="宋体" w:eastAsia="宋体" w:cs="宋体"/>
          <w:spacing w:val="0"/>
          <w:sz w:val="24"/>
          <w:szCs w:val="24"/>
          <w:lang w:val="en-US" w:eastAsia="zh-CN"/>
        </w:rPr>
      </w:pPr>
      <w:r>
        <w:rPr>
          <w:rFonts w:hint="default" w:ascii="宋体" w:hAnsi="宋体" w:eastAsia="宋体" w:cs="宋体"/>
          <w:bCs/>
          <w:spacing w:val="0"/>
          <w:sz w:val="24"/>
          <w:szCs w:val="24"/>
          <w:lang w:val="en-US" w:eastAsia="zh-CN" w:bidi="ar-SA"/>
        </w:rPr>
        <w:t>(1)</w:t>
      </w:r>
      <w:r>
        <w:rPr>
          <w:rFonts w:hint="eastAsia" w:ascii="宋体" w:hAnsi="宋体" w:eastAsia="宋体" w:cs="宋体"/>
          <w:spacing w:val="0"/>
          <w:sz w:val="24"/>
          <w:szCs w:val="24"/>
          <w:lang w:val="en-US" w:eastAsia="zh-CN"/>
        </w:rPr>
        <w:t>前期调研</w:t>
      </w:r>
    </w:p>
    <w:p w14:paraId="1D368144">
      <w:pPr>
        <w:pStyle w:val="17"/>
        <w:keepNext w:val="0"/>
        <w:keepLines w:val="0"/>
        <w:pageBreakBefore w:val="0"/>
        <w:widowControl w:val="0"/>
        <w:numPr>
          <w:ilvl w:val="0"/>
          <w:numId w:val="0"/>
        </w:numPr>
        <w:spacing w:line="360" w:lineRule="auto"/>
        <w:ind w:firstLine="480"/>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投标人</w:t>
      </w:r>
      <w:r>
        <w:rPr>
          <w:rFonts w:hint="eastAsia" w:ascii="宋体" w:hAnsi="宋体" w:eastAsia="宋体" w:cs="宋体"/>
          <w:spacing w:val="0"/>
          <w:sz w:val="24"/>
          <w:szCs w:val="24"/>
          <w:lang w:val="en-US" w:eastAsia="zh-CN"/>
        </w:rPr>
        <w:t>需对现有资料进行充分收集、梳理和分析，并开展实地调研工作，了解重点水质监测站水质现状、入河排污口情况、周边污染源状况等。根据资料调研及现场调研结果，制定针对本工程的溯源排查技术路线及实施计划。可以建立污染源数据库，通过收集和整理水质自动站周边各类有关污染源的信息，如企业名称、位置、规模、生产工艺、排放量、排放标准等，形成完整的数据集合，并与空间数据进行关联，实现对污染源的可视化展示和查询。</w:t>
      </w:r>
    </w:p>
    <w:p w14:paraId="77A46D8F">
      <w:pPr>
        <w:pStyle w:val="17"/>
        <w:keepNext w:val="0"/>
        <w:keepLines w:val="0"/>
        <w:pageBreakBefore w:val="0"/>
        <w:widowControl w:val="0"/>
        <w:numPr>
          <w:ilvl w:val="0"/>
          <w:numId w:val="0"/>
        </w:numPr>
        <w:spacing w:line="360" w:lineRule="auto"/>
        <w:ind w:left="0" w:firstLine="480"/>
        <w:rPr>
          <w:rFonts w:hint="eastAsia" w:ascii="宋体" w:hAnsi="宋体" w:eastAsia="宋体" w:cs="宋体"/>
          <w:spacing w:val="0"/>
          <w:sz w:val="24"/>
          <w:szCs w:val="24"/>
          <w:lang w:val="en-US" w:eastAsia="zh-CN"/>
        </w:rPr>
      </w:pPr>
      <w:r>
        <w:rPr>
          <w:rFonts w:hint="default" w:ascii="宋体" w:hAnsi="宋体" w:eastAsia="宋体" w:cs="宋体"/>
          <w:bCs/>
          <w:spacing w:val="0"/>
          <w:sz w:val="24"/>
          <w:szCs w:val="24"/>
          <w:lang w:val="en-US" w:eastAsia="zh-CN" w:bidi="ar-SA"/>
        </w:rPr>
        <w:t>(2)</w:t>
      </w:r>
      <w:r>
        <w:rPr>
          <w:rFonts w:hint="eastAsia" w:ascii="宋体" w:hAnsi="宋体" w:eastAsia="宋体" w:cs="宋体"/>
          <w:spacing w:val="0"/>
          <w:sz w:val="24"/>
          <w:szCs w:val="24"/>
          <w:lang w:val="en-US" w:eastAsia="zh-CN"/>
        </w:rPr>
        <w:t>现场采样</w:t>
      </w:r>
    </w:p>
    <w:p w14:paraId="7A548C15">
      <w:pPr>
        <w:pStyle w:val="17"/>
        <w:keepNext w:val="0"/>
        <w:keepLines w:val="0"/>
        <w:pageBreakBefore w:val="0"/>
        <w:widowControl w:val="0"/>
        <w:numPr>
          <w:ilvl w:val="0"/>
          <w:numId w:val="0"/>
        </w:numPr>
        <w:spacing w:line="360" w:lineRule="auto"/>
        <w:ind w:firstLine="480"/>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根据溯源排查实施计划，开展现场采样工作，依据《水质采样技术指导》(HJ/T 494-2009)、《地表水环境质量监测技术规范》(HJ91. 2-2022)、《污水监测技术规范》(HJ 91.1-2019)及委托方其他相关规定要求开展采样工作。</w:t>
      </w:r>
    </w:p>
    <w:p w14:paraId="1ED8C0EE">
      <w:pPr>
        <w:pStyle w:val="17"/>
        <w:keepNext w:val="0"/>
        <w:keepLines w:val="0"/>
        <w:pageBreakBefore w:val="0"/>
        <w:widowControl w:val="0"/>
        <w:numPr>
          <w:ilvl w:val="0"/>
          <w:numId w:val="0"/>
        </w:numPr>
        <w:spacing w:line="360" w:lineRule="auto"/>
        <w:ind w:left="0" w:firstLine="480"/>
        <w:rPr>
          <w:rFonts w:hint="eastAsia" w:ascii="宋体" w:hAnsi="宋体" w:eastAsia="宋体" w:cs="宋体"/>
          <w:spacing w:val="0"/>
          <w:sz w:val="24"/>
          <w:szCs w:val="24"/>
          <w:lang w:val="en-US" w:eastAsia="zh-CN"/>
        </w:rPr>
      </w:pPr>
      <w:r>
        <w:rPr>
          <w:rFonts w:hint="default" w:ascii="宋体" w:hAnsi="宋体" w:eastAsia="宋体" w:cs="宋体"/>
          <w:bCs/>
          <w:spacing w:val="0"/>
          <w:sz w:val="24"/>
          <w:szCs w:val="24"/>
          <w:lang w:val="en-US" w:eastAsia="zh-CN" w:bidi="ar-SA"/>
        </w:rPr>
        <w:t>(3)</w:t>
      </w:r>
      <w:r>
        <w:rPr>
          <w:rFonts w:hint="eastAsia" w:ascii="宋体" w:hAnsi="宋体" w:eastAsia="宋体" w:cs="宋体"/>
          <w:spacing w:val="0"/>
          <w:sz w:val="24"/>
          <w:szCs w:val="24"/>
          <w:lang w:val="en-US" w:eastAsia="zh-CN"/>
        </w:rPr>
        <w:t>实验室分析测试</w:t>
      </w:r>
    </w:p>
    <w:p w14:paraId="56309A6E">
      <w:pPr>
        <w:pStyle w:val="17"/>
        <w:keepNext w:val="0"/>
        <w:keepLines w:val="0"/>
        <w:pageBreakBefore w:val="0"/>
        <w:widowControl w:val="0"/>
        <w:numPr>
          <w:ilvl w:val="0"/>
          <w:numId w:val="0"/>
        </w:numPr>
        <w:spacing w:line="360" w:lineRule="auto"/>
        <w:ind w:firstLine="480"/>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现场采集的样品要尽快送往实验室测试分析，按照相关测试分析方法开展分析测试工作，测试指标包括常规指标及其他指标。</w:t>
      </w:r>
    </w:p>
    <w:p w14:paraId="138E4D4D">
      <w:pPr>
        <w:pStyle w:val="17"/>
        <w:keepNext w:val="0"/>
        <w:keepLines w:val="0"/>
        <w:pageBreakBefore w:val="0"/>
        <w:widowControl w:val="0"/>
        <w:numPr>
          <w:ilvl w:val="0"/>
          <w:numId w:val="0"/>
        </w:numPr>
        <w:spacing w:line="360" w:lineRule="auto"/>
        <w:ind w:left="0" w:firstLine="480"/>
        <w:rPr>
          <w:rFonts w:hint="eastAsia" w:ascii="宋体" w:hAnsi="宋体" w:eastAsia="宋体" w:cs="宋体"/>
          <w:spacing w:val="0"/>
          <w:sz w:val="24"/>
          <w:szCs w:val="24"/>
          <w:lang w:val="en-US" w:eastAsia="zh-CN"/>
        </w:rPr>
      </w:pPr>
      <w:r>
        <w:rPr>
          <w:rFonts w:hint="default" w:ascii="宋体" w:hAnsi="宋体" w:eastAsia="宋体" w:cs="宋体"/>
          <w:bCs/>
          <w:spacing w:val="0"/>
          <w:sz w:val="24"/>
          <w:szCs w:val="24"/>
          <w:lang w:val="en-US" w:eastAsia="zh-CN" w:bidi="ar-SA"/>
        </w:rPr>
        <w:t>(5)</w:t>
      </w:r>
      <w:r>
        <w:rPr>
          <w:rFonts w:hint="eastAsia" w:ascii="宋体" w:hAnsi="宋体" w:eastAsia="宋体" w:cs="宋体"/>
          <w:spacing w:val="0"/>
          <w:sz w:val="24"/>
          <w:szCs w:val="24"/>
          <w:lang w:val="en-US" w:eastAsia="zh-CN"/>
        </w:rPr>
        <w:t>成果提交</w:t>
      </w:r>
    </w:p>
    <w:p w14:paraId="4C369C9D">
      <w:pPr>
        <w:pStyle w:val="17"/>
        <w:keepNext w:val="0"/>
        <w:keepLines w:val="0"/>
        <w:pageBreakBefore w:val="0"/>
        <w:widowControl w:val="0"/>
        <w:numPr>
          <w:ilvl w:val="0"/>
          <w:numId w:val="1"/>
        </w:numPr>
        <w:spacing w:line="360" w:lineRule="auto"/>
        <w:ind w:firstLine="480"/>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检测报告:根据相关规范和环境管理要求，及时提交数据检测报告。分阶段的任务每阶段完成采样后7个工作日出具检测报告。</w:t>
      </w:r>
    </w:p>
    <w:p w14:paraId="50790D84">
      <w:pPr>
        <w:pStyle w:val="17"/>
        <w:keepNext w:val="0"/>
        <w:keepLines w:val="0"/>
        <w:pageBreakBefore w:val="0"/>
        <w:widowControl w:val="0"/>
        <w:numPr>
          <w:ilvl w:val="0"/>
          <w:numId w:val="1"/>
        </w:numPr>
        <w:spacing w:line="360" w:lineRule="auto"/>
        <w:ind w:firstLine="480"/>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溯源分析报告:所有阶段溯源排查工作任务结束后，提交一份溯源综合分析报告。</w:t>
      </w:r>
    </w:p>
    <w:p w14:paraId="1142DCE8">
      <w:pPr>
        <w:pStyle w:val="6"/>
        <w:keepNext w:val="0"/>
        <w:keepLines w:val="0"/>
        <w:pageBreakBefore w:val="0"/>
        <w:widowControl w:val="0"/>
        <w:ind w:firstLine="480"/>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3.投标人职责要求</w:t>
      </w:r>
    </w:p>
    <w:p w14:paraId="11EF2DBC">
      <w:pPr>
        <w:pStyle w:val="17"/>
        <w:keepNext w:val="0"/>
        <w:keepLines w:val="0"/>
        <w:pageBreakBefore w:val="0"/>
        <w:widowControl w:val="0"/>
        <w:numPr>
          <w:ilvl w:val="0"/>
          <w:numId w:val="0"/>
        </w:numPr>
        <w:spacing w:line="360" w:lineRule="auto"/>
        <w:ind w:left="0" w:firstLine="480"/>
        <w:rPr>
          <w:rFonts w:hint="eastAsia" w:ascii="宋体" w:hAnsi="宋体" w:eastAsia="宋体" w:cs="宋体"/>
          <w:spacing w:val="0"/>
          <w:sz w:val="24"/>
          <w:szCs w:val="24"/>
          <w:lang w:val="en-US" w:eastAsia="zh-CN"/>
        </w:rPr>
      </w:pPr>
      <w:r>
        <w:rPr>
          <w:rFonts w:hint="default" w:ascii="宋体" w:hAnsi="宋体" w:eastAsia="宋体" w:cs="宋体"/>
          <w:bCs/>
          <w:spacing w:val="0"/>
          <w:sz w:val="24"/>
          <w:szCs w:val="24"/>
          <w:lang w:val="en-US" w:eastAsia="zh-CN" w:bidi="ar-SA"/>
        </w:rPr>
        <w:t>(1)</w:t>
      </w:r>
      <w:r>
        <w:rPr>
          <w:rFonts w:hint="eastAsia" w:ascii="宋体" w:hAnsi="宋体" w:cs="宋体"/>
          <w:spacing w:val="0"/>
          <w:sz w:val="24"/>
          <w:szCs w:val="24"/>
          <w:lang w:val="en-US" w:eastAsia="zh-CN"/>
        </w:rPr>
        <w:t>投标</w:t>
      </w:r>
      <w:r>
        <w:rPr>
          <w:rFonts w:hint="eastAsia" w:ascii="宋体" w:hAnsi="宋体" w:eastAsia="宋体" w:cs="宋体"/>
          <w:spacing w:val="0"/>
          <w:sz w:val="24"/>
          <w:szCs w:val="24"/>
          <w:lang w:val="en-US" w:eastAsia="zh-CN"/>
        </w:rPr>
        <w:t>人应针对本工程制定合理的工程组织架构管理制度，合理安排</w:t>
      </w:r>
      <w:r>
        <w:rPr>
          <w:rFonts w:hint="eastAsia" w:ascii="宋体" w:hAnsi="宋体" w:cs="宋体"/>
          <w:spacing w:val="0"/>
          <w:sz w:val="24"/>
          <w:szCs w:val="24"/>
          <w:lang w:val="en-US" w:eastAsia="zh-CN"/>
        </w:rPr>
        <w:t>溯源工作</w:t>
      </w:r>
      <w:r>
        <w:rPr>
          <w:rFonts w:hint="eastAsia" w:ascii="宋体" w:hAnsi="宋体" w:eastAsia="宋体" w:cs="宋体"/>
          <w:spacing w:val="0"/>
          <w:sz w:val="24"/>
          <w:szCs w:val="24"/>
          <w:lang w:val="en-US" w:eastAsia="zh-CN"/>
        </w:rPr>
        <w:t>的实施进度</w:t>
      </w:r>
    </w:p>
    <w:p w14:paraId="0F55B6FC">
      <w:pPr>
        <w:pStyle w:val="17"/>
        <w:keepNext w:val="0"/>
        <w:keepLines w:val="0"/>
        <w:pageBreakBefore w:val="0"/>
        <w:widowControl w:val="0"/>
        <w:numPr>
          <w:ilvl w:val="0"/>
          <w:numId w:val="0"/>
        </w:numPr>
        <w:spacing w:line="360" w:lineRule="auto"/>
        <w:ind w:left="0" w:firstLine="480"/>
        <w:rPr>
          <w:rFonts w:hint="eastAsia" w:ascii="宋体" w:hAnsi="宋体" w:eastAsia="宋体" w:cs="宋体"/>
          <w:spacing w:val="0"/>
          <w:sz w:val="24"/>
          <w:szCs w:val="24"/>
          <w:lang w:val="en-US" w:eastAsia="zh-CN"/>
        </w:rPr>
      </w:pPr>
      <w:r>
        <w:rPr>
          <w:rFonts w:hint="default" w:ascii="宋体" w:hAnsi="宋体" w:eastAsia="宋体" w:cs="宋体"/>
          <w:bCs/>
          <w:spacing w:val="0"/>
          <w:sz w:val="24"/>
          <w:szCs w:val="24"/>
          <w:lang w:val="en-US" w:eastAsia="zh-CN" w:bidi="ar-SA"/>
        </w:rPr>
        <w:t>(2)</w:t>
      </w:r>
      <w:r>
        <w:rPr>
          <w:rFonts w:hint="eastAsia" w:ascii="宋体" w:hAnsi="宋体" w:cs="宋体"/>
          <w:spacing w:val="0"/>
          <w:sz w:val="24"/>
          <w:szCs w:val="24"/>
          <w:lang w:val="en-US" w:eastAsia="zh-CN"/>
        </w:rPr>
        <w:t>投标</w:t>
      </w:r>
      <w:r>
        <w:rPr>
          <w:rFonts w:hint="eastAsia" w:ascii="宋体" w:hAnsi="宋体" w:eastAsia="宋体" w:cs="宋体"/>
          <w:spacing w:val="0"/>
          <w:sz w:val="24"/>
          <w:szCs w:val="24"/>
          <w:lang w:val="en-US" w:eastAsia="zh-CN"/>
        </w:rPr>
        <w:t>人需及时响应</w:t>
      </w:r>
      <w:r>
        <w:rPr>
          <w:rFonts w:hint="eastAsia" w:ascii="宋体" w:hAnsi="宋体" w:cs="宋体"/>
          <w:spacing w:val="0"/>
          <w:sz w:val="24"/>
          <w:szCs w:val="24"/>
          <w:lang w:val="en-US" w:eastAsia="zh-CN"/>
        </w:rPr>
        <w:t>业主</w:t>
      </w:r>
      <w:r>
        <w:rPr>
          <w:rFonts w:hint="eastAsia" w:ascii="宋体" w:hAnsi="宋体" w:eastAsia="宋体" w:cs="宋体"/>
          <w:spacing w:val="0"/>
          <w:sz w:val="24"/>
          <w:szCs w:val="24"/>
          <w:lang w:val="en-US" w:eastAsia="zh-CN"/>
        </w:rPr>
        <w:t>的工作指导，按照工作要求及时提交溯源分析报告及其他成果。</w:t>
      </w:r>
    </w:p>
    <w:p w14:paraId="3162C779">
      <w:pPr>
        <w:pStyle w:val="14"/>
        <w:rPr>
          <w:rFonts w:hint="eastAsia" w:ascii="宋体" w:hAnsi="宋体"/>
          <w:color w:val="000000"/>
          <w:sz w:val="28"/>
          <w:szCs w:val="28"/>
        </w:rPr>
      </w:pPr>
      <w:r>
        <w:rPr>
          <w:rFonts w:hint="default" w:ascii="宋体" w:hAnsi="宋体" w:eastAsia="宋体" w:cs="宋体"/>
          <w:bCs/>
          <w:spacing w:val="0"/>
          <w:sz w:val="24"/>
          <w:szCs w:val="24"/>
          <w:lang w:val="en-US" w:eastAsia="zh-CN" w:bidi="ar-SA"/>
        </w:rPr>
        <w:t>(3)</w:t>
      </w:r>
      <w:r>
        <w:rPr>
          <w:rFonts w:hint="eastAsia" w:ascii="宋体" w:hAnsi="宋体" w:cs="宋体"/>
          <w:spacing w:val="0"/>
          <w:sz w:val="24"/>
          <w:szCs w:val="24"/>
          <w:lang w:val="en-US" w:eastAsia="zh-CN"/>
        </w:rPr>
        <w:t>为更好的完成溯源要求，在服务期内投标人须为本项目配备一辆SUV车辆。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03E58"/>
    <w:rsid w:val="021B6C9C"/>
    <w:rsid w:val="1AA86CA8"/>
    <w:rsid w:val="2A003E58"/>
    <w:rsid w:val="37FC066A"/>
    <w:rsid w:val="431E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360" w:lineRule="auto"/>
      <w:jc w:val="center"/>
      <w:outlineLvl w:val="0"/>
    </w:pPr>
    <w:rPr>
      <w:rFonts w:hint="default" w:ascii="Arial" w:hAnsi="Arial" w:eastAsia="宋体" w:cs="Arial"/>
      <w:b/>
      <w:sz w:val="36"/>
      <w:szCs w:val="40"/>
      <w:lang w:val="en-US" w:eastAsia="zh-CN" w:bidi="ar-SA"/>
    </w:rPr>
  </w:style>
  <w:style w:type="paragraph" w:styleId="4">
    <w:name w:val="heading 2"/>
    <w:basedOn w:val="1"/>
    <w:next w:val="1"/>
    <w:unhideWhenUsed/>
    <w:qFormat/>
    <w:uiPriority w:val="0"/>
    <w:pPr>
      <w:keepNext/>
      <w:keepLines/>
      <w:spacing w:line="360" w:lineRule="auto"/>
      <w:jc w:val="center"/>
      <w:outlineLvl w:val="1"/>
    </w:pPr>
    <w:rPr>
      <w:rFonts w:ascii="Arial" w:hAnsi="Arial" w:cs="Arial"/>
      <w:b/>
      <w:sz w:val="30"/>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pPr>
  </w:style>
  <w:style w:type="paragraph" w:styleId="5">
    <w:name w:val="Body Text"/>
    <w:basedOn w:val="1"/>
    <w:next w:val="6"/>
    <w:qFormat/>
    <w:uiPriority w:val="0"/>
    <w:pPr>
      <w:tabs>
        <w:tab w:val="left" w:pos="420"/>
      </w:tabs>
      <w:spacing w:after="120"/>
    </w:pPr>
  </w:style>
  <w:style w:type="paragraph" w:styleId="6">
    <w:name w:val="Body Text First Indent"/>
    <w:basedOn w:val="5"/>
    <w:next w:val="7"/>
    <w:qFormat/>
    <w:uiPriority w:val="0"/>
    <w:pPr>
      <w:spacing w:after="0"/>
      <w:ind w:firstLine="420"/>
    </w:pPr>
    <w:rPr>
      <w:sz w:val="28"/>
      <w:szCs w:val="28"/>
    </w:rPr>
  </w:style>
  <w:style w:type="paragraph" w:styleId="7">
    <w:name w:val="Body Text First Indent 2"/>
    <w:basedOn w:val="8"/>
    <w:next w:val="1"/>
    <w:qFormat/>
    <w:uiPriority w:val="0"/>
    <w:pPr>
      <w:ind w:firstLine="420"/>
    </w:pPr>
    <w:rPr>
      <w:rFonts w:ascii="宋体" w:hAnsi="宋体"/>
    </w:rPr>
  </w:style>
  <w:style w:type="paragraph" w:styleId="8">
    <w:name w:val="Body Text Indent"/>
    <w:basedOn w:val="1"/>
    <w:next w:val="9"/>
    <w:unhideWhenUsed/>
    <w:qFormat/>
    <w:uiPriority w:val="99"/>
    <w:pPr>
      <w:spacing w:line="360" w:lineRule="auto"/>
      <w:ind w:firstLine="425"/>
    </w:pPr>
  </w:style>
  <w:style w:type="paragraph" w:styleId="9">
    <w:name w:val="envelope return"/>
    <w:basedOn w:val="1"/>
    <w:unhideWhenUsed/>
    <w:qFormat/>
    <w:uiPriority w:val="99"/>
    <w:rPr>
      <w:rFonts w:ascii="Arial" w:hAnsi="Arial"/>
    </w:rPr>
  </w:style>
  <w:style w:type="paragraph" w:styleId="10">
    <w:name w:val="Plain Text"/>
    <w:basedOn w:val="1"/>
    <w:qFormat/>
    <w:uiPriority w:val="99"/>
    <w:rPr>
      <w:rFonts w:ascii="宋体" w:hAnsi="Courier New"/>
      <w:szCs w:val="20"/>
    </w:rPr>
  </w:style>
  <w:style w:type="character" w:customStyle="1" w:styleId="13">
    <w:name w:val="NormalCharacter"/>
    <w:link w:val="1"/>
    <w:semiHidden/>
    <w:qFormat/>
    <w:uiPriority w:val="0"/>
    <w:rPr>
      <w:rFonts w:hint="default" w:ascii="Times New Roman" w:hAnsi="Times New Roman" w:eastAsia="宋体" w:cs="宋体"/>
      <w:bCs/>
      <w:szCs w:val="21"/>
      <w:u w:val="single"/>
    </w:rPr>
  </w:style>
  <w:style w:type="paragraph" w:customStyle="1" w:styleId="14">
    <w:name w:val="文本块11"/>
    <w:basedOn w:val="15"/>
    <w:qFormat/>
    <w:uiPriority w:val="0"/>
    <w:pPr>
      <w:ind w:left="420" w:right="33"/>
      <w:jc w:val="left"/>
    </w:pPr>
    <w:rPr>
      <w:sz w:val="24"/>
      <w:szCs w:val="20"/>
    </w:rPr>
  </w:style>
  <w:style w:type="paragraph" w:customStyle="1" w:styleId="15">
    <w:name w:val="正文12"/>
    <w:next w:val="14"/>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customStyle="1" w:styleId="16">
    <w:name w:val="+正文"/>
    <w:basedOn w:val="1"/>
    <w:qFormat/>
    <w:uiPriority w:val="0"/>
    <w:pPr>
      <w:spacing w:line="360" w:lineRule="auto"/>
      <w:ind w:firstLine="200"/>
    </w:pPr>
    <w:rPr>
      <w:sz w:val="24"/>
      <w:szCs w:val="20"/>
    </w:rPr>
  </w:style>
  <w:style w:type="paragraph" w:customStyle="1" w:styleId="17">
    <w:name w:val="表格文字"/>
    <w:basedOn w:val="1"/>
    <w:next w:val="5"/>
    <w:qFormat/>
    <w:uiPriority w:val="0"/>
    <w:pPr>
      <w:jc w:val="left"/>
    </w:pPr>
    <w:rPr>
      <w:bCs/>
      <w:spacing w:val="1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3196</Words>
  <Characters>3305</Characters>
  <Lines>0</Lines>
  <Paragraphs>0</Paragraphs>
  <TotalTime>0</TotalTime>
  <ScaleCrop>false</ScaleCrop>
  <LinksUpToDate>false</LinksUpToDate>
  <CharactersWithSpaces>3329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2025-07-23T07:47:00Z</dcterms:created>
  <dc:creator>爱-翼</dc:creator>
  <cp:lastModifiedBy>爱-翼</cp:lastModifiedBy>
  <dcterms:modified xsi:type="dcterms:W3CDTF">2025-08-01T01:27:20Z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7F9FA174F8DF4DF39359DEC8542E20E6_11</vt:lpwstr>
  </property>
  <property fmtid="{D5CDD505-2E9C-101B-9397-08002B2CF9AE}" pid="4" name="KSOTemplateDocerSaveRecord">
    <vt:lpwstr>eyJoZGlkIjoiZDJlOTlmMjJhODAyYzM1ODJlZDliMGZhYjZjMmIwYjYiLCJ1c2VySWQiOiI3NTE4ODI1MTgifQ==</vt:lpwstr>
  </property>
</Properties>
</file>