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5AC43">
      <w:pPr>
        <w:pStyle w:val="1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ind w:left="0" w:right="0" w:firstLine="560"/>
      </w:pPr>
      <w:r>
        <w:rPr>
          <w:rFonts w:hint="eastAsia" w:ascii="宋体" w:hAnsi="宋体" w:eastAsia="宋体" w:cs="宋体"/>
          <w:color w:val="000000"/>
          <w:sz w:val="28"/>
          <w:szCs w:val="28"/>
        </w:rPr>
        <w:t>如有建议或意见，请以书面形式并加盖公章、注明联系人、联系方式，于2025年</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日17:00之前送至我单位，逾期不受理（如邮寄，2025年</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日17:00之后到达本公司的邮件将不再受理）。</w:t>
      </w:r>
    </w:p>
    <w:p w14:paraId="3584F6AD">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3B48156A">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1314BF23">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2D14A1C8">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7F2EEB75">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4F2A423B">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4730A34A">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4D3B17A1">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3E58C4B9">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1FD7B93B">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784D646C">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0FEC397B">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55FA12F5">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3737FBD1">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6F51C0C9">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22A8B107">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725D0E57">
      <w:pPr>
        <w:ind w:firstLine="0" w:firstLineChars="0"/>
        <w:jc w:val="both"/>
        <w:rPr>
          <w:rFonts w:hint="eastAsia" w:ascii="宋体" w:hAnsi="宋体" w:eastAsia="宋体" w:cs="宋体"/>
          <w:b/>
          <w:color w:val="000000" w:themeColor="text1"/>
          <w:sz w:val="36"/>
          <w:szCs w:val="36"/>
          <w:lang w:eastAsia="zh-CN"/>
          <w14:textFill>
            <w14:solidFill>
              <w14:schemeClr w14:val="tx1"/>
            </w14:solidFill>
          </w14:textFill>
        </w:rPr>
      </w:pPr>
    </w:p>
    <w:p w14:paraId="7EC11F94">
      <w:pPr>
        <w:ind w:firstLine="0" w:firstLineChars="0"/>
        <w:jc w:val="center"/>
        <w:rPr>
          <w:rFonts w:hint="eastAsia" w:ascii="宋体" w:hAnsi="宋体" w:eastAsia="宋体" w:cs="宋体"/>
          <w:b/>
          <w:color w:val="000000" w:themeColor="text1"/>
          <w:sz w:val="36"/>
          <w:szCs w:val="36"/>
          <w:lang w:eastAsia="zh-CN"/>
          <w14:textFill>
            <w14:solidFill>
              <w14:schemeClr w14:val="tx1"/>
            </w14:solidFill>
          </w14:textFill>
        </w:rPr>
      </w:pPr>
    </w:p>
    <w:p w14:paraId="599DF4DE">
      <w:pPr>
        <w:ind w:firstLine="0" w:firstLineChars="0"/>
        <w:jc w:val="center"/>
        <w:rPr>
          <w:rFonts w:hint="default" w:ascii="宋体" w:hAnsi="宋体" w:eastAsia="宋体" w:cs="宋体"/>
          <w:b/>
          <w:color w:val="000000" w:themeColor="text1"/>
          <w:sz w:val="36"/>
          <w:szCs w:val="36"/>
          <w:lang w:val="en-US" w:eastAsia="zh-CN"/>
          <w14:textFill>
            <w14:solidFill>
              <w14:schemeClr w14:val="tx1"/>
            </w14:solidFill>
          </w14:textFill>
        </w:rPr>
      </w:pPr>
      <w:r>
        <w:rPr>
          <w:rFonts w:hint="eastAsia" w:ascii="宋体" w:hAnsi="宋体" w:eastAsia="宋体" w:cs="宋体"/>
          <w:b/>
          <w:color w:val="000000" w:themeColor="text1"/>
          <w:sz w:val="36"/>
          <w:szCs w:val="36"/>
          <w:lang w:eastAsia="zh-CN"/>
          <w14:textFill>
            <w14:solidFill>
              <w14:schemeClr w14:val="tx1"/>
            </w14:solidFill>
          </w14:textFill>
        </w:rPr>
        <w:t>2025年审判诉讼辅助事务服务外包项目</w:t>
      </w:r>
      <w:r>
        <w:rPr>
          <w:rFonts w:hint="eastAsia" w:ascii="宋体" w:hAnsi="宋体" w:eastAsia="宋体" w:cs="宋体"/>
          <w:b/>
          <w:color w:val="000000" w:themeColor="text1"/>
          <w:sz w:val="36"/>
          <w:szCs w:val="36"/>
          <w:lang w:val="en-US" w:eastAsia="zh-CN"/>
          <w14:textFill>
            <w14:solidFill>
              <w14:schemeClr w14:val="tx1"/>
            </w14:solidFill>
          </w14:textFill>
        </w:rPr>
        <w:t>采购需求</w:t>
      </w:r>
    </w:p>
    <w:p w14:paraId="1BC7CABB">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p>
    <w:p w14:paraId="5AB938DB">
      <w:pPr>
        <w:ind w:firstLine="56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2025年审判诉讼辅助事务服务外包项目</w:t>
      </w:r>
    </w:p>
    <w:p w14:paraId="39B5C824">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项目预算</w:t>
      </w:r>
    </w:p>
    <w:p w14:paraId="3BDA1DCB">
      <w:pPr>
        <w:ind w:firstLine="56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项目预算：334.8万元</w:t>
      </w:r>
    </w:p>
    <w:p w14:paraId="4A58A08C">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总则</w:t>
      </w:r>
    </w:p>
    <w:p w14:paraId="72450B0E">
      <w:pPr>
        <w:ind w:firstLine="56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（1）本次招标的项目及范围为：</w:t>
      </w:r>
      <w:r>
        <w:rPr>
          <w:rFonts w:hint="eastAsia" w:ascii="宋体" w:hAnsi="宋体" w:eastAsia="宋体" w:cs="宋体"/>
          <w:color w:val="000000" w:themeColor="text1"/>
          <w:lang w:eastAsia="zh-CN"/>
          <w14:textFill>
            <w14:solidFill>
              <w14:schemeClr w14:val="tx1"/>
            </w14:solidFill>
          </w14:textFill>
        </w:rPr>
        <w:t>2025年审判诉讼辅助事务服务外包项目</w:t>
      </w:r>
      <w:r>
        <w:rPr>
          <w:rFonts w:hint="eastAsia" w:ascii="宋体" w:hAnsi="宋体" w:eastAsia="宋体" w:cs="宋体"/>
          <w:color w:val="000000" w:themeColor="text1"/>
          <w14:textFill>
            <w14:solidFill>
              <w14:schemeClr w14:val="tx1"/>
            </w14:solidFill>
          </w14:textFill>
        </w:rPr>
        <w:t>。</w:t>
      </w:r>
    </w:p>
    <w:p w14:paraId="5D993DDD">
      <w:pPr>
        <w:ind w:firstLine="56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（2）服务期限：12个月（具体时间，以合同签订时间为准）。</w:t>
      </w:r>
    </w:p>
    <w:p w14:paraId="11CCF595">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（3）中标人不得转包和违法分包本项目。如中标人出现有转包行为的，采购人有权终止合同并由中标人承担违约责任。</w:t>
      </w:r>
    </w:p>
    <w:p w14:paraId="7EF61E8E">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（4）本项目由中标人负责招标文件对中标人要求的一切事宜及责任。</w:t>
      </w:r>
    </w:p>
    <w:p w14:paraId="4513F0A7">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（5）中标人领取中标通知书后三天内要与采购人签订合同，签订合同后五日内需进场正常开展工作。</w:t>
      </w:r>
    </w:p>
    <w:p w14:paraId="518F3AFD">
      <w:pPr>
        <w:pStyle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需求一览表</w:t>
      </w:r>
    </w:p>
    <w:tbl>
      <w:tblPr>
        <w:tblStyle w:val="15"/>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1070"/>
        <w:gridCol w:w="2545"/>
        <w:gridCol w:w="1220"/>
        <w:gridCol w:w="1884"/>
      </w:tblGrid>
      <w:tr w14:paraId="7BEF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361" w:type="dxa"/>
            <w:vAlign w:val="center"/>
          </w:tcPr>
          <w:p w14:paraId="0EB128DB">
            <w:pPr>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项目名称</w:t>
            </w:r>
          </w:p>
        </w:tc>
        <w:tc>
          <w:tcPr>
            <w:tcW w:w="1070" w:type="dxa"/>
            <w:vAlign w:val="center"/>
          </w:tcPr>
          <w:p w14:paraId="3D790A90">
            <w:pPr>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服务</w:t>
            </w:r>
          </w:p>
          <w:p w14:paraId="67970835">
            <w:pPr>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期限</w:t>
            </w:r>
          </w:p>
        </w:tc>
        <w:tc>
          <w:tcPr>
            <w:tcW w:w="2545" w:type="dxa"/>
            <w:vAlign w:val="center"/>
          </w:tcPr>
          <w:p w14:paraId="2822C78D">
            <w:pPr>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工作概述</w:t>
            </w:r>
          </w:p>
        </w:tc>
        <w:tc>
          <w:tcPr>
            <w:tcW w:w="1220" w:type="dxa"/>
            <w:vAlign w:val="center"/>
          </w:tcPr>
          <w:p w14:paraId="594E2E15">
            <w:pPr>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最高岗位数人数</w:t>
            </w:r>
          </w:p>
        </w:tc>
        <w:tc>
          <w:tcPr>
            <w:tcW w:w="1884" w:type="dxa"/>
            <w:vAlign w:val="center"/>
          </w:tcPr>
          <w:p w14:paraId="016690F3">
            <w:pPr>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最高投标限价</w:t>
            </w:r>
          </w:p>
          <w:p w14:paraId="274ACEDF">
            <w:pPr>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（万元）</w:t>
            </w:r>
          </w:p>
        </w:tc>
      </w:tr>
      <w:tr w14:paraId="7AD3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361" w:type="dxa"/>
            <w:vAlign w:val="center"/>
          </w:tcPr>
          <w:p w14:paraId="1B3CD908">
            <w:pPr>
              <w:spacing w:line="240" w:lineRule="auto"/>
              <w:ind w:firstLine="0" w:firstLineChars="0"/>
              <w:jc w:val="center"/>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eastAsia="宋体" w:cs="宋体"/>
                <w:color w:val="000000" w:themeColor="text1"/>
                <w:sz w:val="21"/>
                <w:lang w:eastAsia="zh-CN"/>
                <w14:textFill>
                  <w14:solidFill>
                    <w14:schemeClr w14:val="tx1"/>
                  </w14:solidFill>
                </w14:textFill>
              </w:rPr>
              <w:t>2025年审判诉讼辅助事务服务外包项目</w:t>
            </w:r>
          </w:p>
        </w:tc>
        <w:tc>
          <w:tcPr>
            <w:tcW w:w="1070" w:type="dxa"/>
            <w:vAlign w:val="center"/>
          </w:tcPr>
          <w:p w14:paraId="085EBBAF">
            <w:pPr>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12个月</w:t>
            </w:r>
          </w:p>
        </w:tc>
        <w:tc>
          <w:tcPr>
            <w:tcW w:w="2545" w:type="dxa"/>
            <w:vAlign w:val="center"/>
          </w:tcPr>
          <w:p w14:paraId="3552EFC2">
            <w:pPr>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诉讼辅助服务、审判辅助服务、卷宗辅助服务</w:t>
            </w:r>
          </w:p>
        </w:tc>
        <w:tc>
          <w:tcPr>
            <w:tcW w:w="1220" w:type="dxa"/>
            <w:vAlign w:val="center"/>
          </w:tcPr>
          <w:p w14:paraId="49C4AE62">
            <w:pPr>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45人</w:t>
            </w:r>
          </w:p>
        </w:tc>
        <w:tc>
          <w:tcPr>
            <w:tcW w:w="1884" w:type="dxa"/>
            <w:vAlign w:val="center"/>
          </w:tcPr>
          <w:p w14:paraId="1962B554">
            <w:pPr>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334.8</w:t>
            </w:r>
          </w:p>
        </w:tc>
      </w:tr>
    </w:tbl>
    <w:p w14:paraId="516CE5B5">
      <w:pPr>
        <w:ind w:firstLine="0" w:firstLineChars="0"/>
        <w:rPr>
          <w:rFonts w:hint="eastAsia" w:ascii="宋体" w:hAnsi="宋体" w:eastAsia="宋体" w:cs="宋体"/>
          <w:color w:val="000000" w:themeColor="text1"/>
          <w14:textFill>
            <w14:solidFill>
              <w14:schemeClr w14:val="tx1"/>
            </w14:solidFill>
          </w14:textFill>
        </w:rPr>
      </w:pPr>
    </w:p>
    <w:p w14:paraId="05E7C20C">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根据项目内容要求，中标人应完成整体运作流程图、岗位职责、岗位要求、工作流程、工作业务量及工作人数安排。中标人需负责各岗位人员的招聘、上岗培训、日常管理、业务流程等全面性的工作。不得出现因岗位设置不齐全、岗位人数不符合而导致的工作效能问题，影响审判效率。</w:t>
      </w:r>
    </w:p>
    <w:p w14:paraId="337CC024">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（2）采购人对项目运转的结果和质量进行监督管理。</w:t>
      </w:r>
    </w:p>
    <w:p w14:paraId="454FFA37">
      <w:pPr>
        <w:pStyle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审判辅助事务社会化服务人员条件</w:t>
      </w:r>
    </w:p>
    <w:p w14:paraId="25D33C47">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（1）本项目按工作量进行测算，需在现场安排管理人员，负责整个项目的运营。</w:t>
      </w:r>
    </w:p>
    <w:p w14:paraId="33BC34A7">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（2）按项目工作要求，合理配置项目经理、现场管理人员和其他服务人员。</w:t>
      </w:r>
    </w:p>
    <w:p w14:paraId="563CC1BC">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（3）人员要求：</w:t>
      </w:r>
    </w:p>
    <w:p w14:paraId="73E125AE">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具有中华人民共和国国籍，拥护党的理论和路线方针政策，遵纪守法，具有良好的政治素质和职业道德品行，热爱审判辅助工作；具备较强的法律意识、责任意识和保密意识。</w:t>
      </w:r>
    </w:p>
    <w:p w14:paraId="1F6F82FE">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w:t>
      </w:r>
      <w:r>
        <w:rPr>
          <w:rFonts w:hint="eastAsia" w:ascii="宋体" w:hAnsi="宋体" w:eastAsia="宋体" w:cs="宋体"/>
          <w:color w:val="000000" w:themeColor="text1"/>
          <w14:textFill>
            <w14:solidFill>
              <w14:schemeClr w14:val="tx1"/>
            </w14:solidFill>
          </w14:textFill>
        </w:rPr>
        <w:t>身体健康，具有正常履行职责的身体条件和工作能力，能胜任岗位的工作；</w:t>
      </w:r>
    </w:p>
    <w:p w14:paraId="14010AA4">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w:t>
      </w:r>
      <w:r>
        <w:rPr>
          <w:rFonts w:hint="eastAsia" w:ascii="宋体" w:hAnsi="宋体" w:eastAsia="宋体" w:cs="宋体"/>
          <w:color w:val="000000" w:themeColor="text1"/>
          <w14:textFill>
            <w14:solidFill>
              <w14:schemeClr w14:val="tx1"/>
            </w14:solidFill>
          </w14:textFill>
        </w:rPr>
        <w:t>全日制大专及以上学历，法律专业优先，年龄在35周岁以下；</w:t>
      </w:r>
    </w:p>
    <w:p w14:paraId="0701EA2E">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w:t>
      </w:r>
      <w:r>
        <w:rPr>
          <w:rFonts w:hint="eastAsia" w:ascii="宋体" w:hAnsi="宋体" w:eastAsia="宋体" w:cs="宋体"/>
          <w:color w:val="000000" w:themeColor="text1"/>
          <w14:textFill>
            <w14:solidFill>
              <w14:schemeClr w14:val="tx1"/>
            </w14:solidFill>
          </w14:textFill>
        </w:rPr>
        <w:t>有审判辅助事务工作经验优先，懂得所管辖业务的操作技能，富于创新精神和团队精神,勇于接受挑战；</w:t>
      </w:r>
    </w:p>
    <w:p w14:paraId="6F81ADD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w:t>
      </w:r>
      <w:r>
        <w:rPr>
          <w:rFonts w:hint="eastAsia" w:ascii="宋体" w:hAnsi="宋体" w:eastAsia="宋体" w:cs="宋体"/>
          <w:color w:val="000000" w:themeColor="text1"/>
          <w14:textFill>
            <w14:solidFill>
              <w14:schemeClr w14:val="tx1"/>
            </w14:solidFill>
          </w14:textFill>
        </w:rPr>
        <w:t>能熟练操作计算机，会使用常用办公软件（如：Word、Excel），快速进行文字输入工作及扫描、档案整理工作。</w:t>
      </w:r>
    </w:p>
    <w:p w14:paraId="5CF61339">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（4）有下列情形之一的不得从事本工作： </w:t>
      </w:r>
    </w:p>
    <w:p w14:paraId="674C6BEA">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①曾因犯罪受过刑事处罚的；</w:t>
      </w:r>
    </w:p>
    <w:p w14:paraId="79D4D3A9">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②曾因违法违纪受过行政处分或治安处罚的；</w:t>
      </w:r>
    </w:p>
    <w:p w14:paraId="74C8EA8F">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③直系亲属曾被判过刑的；</w:t>
      </w:r>
    </w:p>
    <w:p w14:paraId="5ADB6D0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④涉嫌违法违纪正在接受审查，尚未作出结论的；</w:t>
      </w:r>
    </w:p>
    <w:p w14:paraId="6B48076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⑤被列入失信人员名单的。</w:t>
      </w:r>
    </w:p>
    <w:p w14:paraId="7ED6CA35">
      <w:pPr>
        <w:pStyle w:val="2"/>
        <w:rPr>
          <w:rFonts w:hint="eastAsia" w:ascii="宋体" w:hAnsi="宋体" w:eastAsia="宋体" w:cs="宋体"/>
          <w:color w:val="000000" w:themeColor="text1"/>
          <w14:textFill>
            <w14:solidFill>
              <w14:schemeClr w14:val="tx1"/>
            </w14:solidFill>
          </w14:textFill>
        </w:rPr>
      </w:pPr>
      <w:bookmarkStart w:id="0" w:name="_Toc101058585"/>
      <w:bookmarkStart w:id="1" w:name="_Toc150154880"/>
      <w:r>
        <w:rPr>
          <w:rFonts w:hint="eastAsia" w:ascii="宋体" w:hAnsi="宋体" w:eastAsia="宋体" w:cs="宋体"/>
          <w:color w:val="000000" w:themeColor="text1"/>
          <w14:textFill>
            <w14:solidFill>
              <w14:schemeClr w14:val="tx1"/>
            </w14:solidFill>
          </w14:textFill>
        </w:rPr>
        <w:t>项目内容及技术需求</w:t>
      </w:r>
    </w:p>
    <w:p w14:paraId="6C356D76">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项目内容</w:t>
      </w:r>
    </w:p>
    <w:p w14:paraId="5F5EF54F">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法院审判辅助事务社会化服务外包项目，包含诉讼服务辅助工作、审判辅助工作、卷宗辅助工作等一系列的辅助事务社会化工作。</w:t>
      </w:r>
    </w:p>
    <w:p w14:paraId="2A9EB4FA">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负责对铜山区人民法院的合同期内立案的且纳入无纸化办案的案件完成材料收转、立案扫描、补充材料扫描、中间柜管理、电子卷转档、纸质卷归档理卷、档案装订以及无纸化办案涉及到的软、硬件基础性配套服务等工作，实现铜山区人民法院无纸化办案需求，提升法官获得感</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w:t>
      </w:r>
    </w:p>
    <w:p w14:paraId="2AAB8275">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（2）完成合同期内暂不纳入无纸化办理的如刑事、破产、诉前调、知产、建工等案件的传统档案数字化加工</w:t>
      </w:r>
      <w:r>
        <w:rPr>
          <w:rFonts w:hint="eastAsia" w:ascii="宋体" w:hAnsi="宋体" w:eastAsia="宋体" w:cs="宋体"/>
          <w:color w:val="000000" w:themeColor="text1"/>
          <w14:textFill>
            <w14:solidFill>
              <w14:schemeClr w14:val="tx1"/>
            </w14:solidFill>
          </w14:textFill>
        </w:rPr>
        <w:t>。</w:t>
      </w:r>
    </w:p>
    <w:p w14:paraId="1B3F8D3E">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技术需求</w:t>
      </w:r>
    </w:p>
    <w:p w14:paraId="3B08B37C">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诉讼服务辅助工作</w:t>
      </w:r>
    </w:p>
    <w:p w14:paraId="57DA816C">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主要工作包含：诉讼引导、诉讼咨询、诉讼材料发放、案件信息录入等工作。</w:t>
      </w:r>
    </w:p>
    <w:p w14:paraId="74A40338">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诉讼引导、诉讼咨询</w:t>
      </w:r>
    </w:p>
    <w:p w14:paraId="531C6644">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负责当事人立案接待、引导、自助立案设备的指导工作，并为当事人提供一般的程序性法律咨询，对立案材料进行初步审查等。</w:t>
      </w:r>
    </w:p>
    <w:p w14:paraId="604275A3">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诉讼材料发放</w:t>
      </w:r>
    </w:p>
    <w:p w14:paraId="70A7E36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负责向当事人发放诉讼服务等相关材料。</w:t>
      </w:r>
    </w:p>
    <w:p w14:paraId="76CB1FDA">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案件信息录入</w:t>
      </w:r>
    </w:p>
    <w:p w14:paraId="277A9754">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主要负责立案信息快速录入及核对工作，指导当事人填写相关材料。</w:t>
      </w:r>
    </w:p>
    <w:p w14:paraId="09E9289A">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鉴定、评估事务性工作</w:t>
      </w:r>
    </w:p>
    <w:p w14:paraId="08923BAB">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通知当事人提交欠缺资料、制作鉴定笔录及草拟相关审批表格、材料交接表、与诉讼服务团队交接鉴定、评估材料和报告。</w:t>
      </w:r>
    </w:p>
    <w:p w14:paraId="0D308DC5">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采购方指定其他诉讼服务工作</w:t>
      </w:r>
    </w:p>
    <w:p w14:paraId="0AD07B75">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审判辅助服务</w:t>
      </w:r>
    </w:p>
    <w:p w14:paraId="7B1CDFF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主要工作包含：数据信息录入、陪审保障、程序转换协助办理退费等工作。</w:t>
      </w:r>
    </w:p>
    <w:p w14:paraId="15F639C8">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数据信息录入</w:t>
      </w:r>
    </w:p>
    <w:p w14:paraId="22136628">
      <w:pPr>
        <w:tabs>
          <w:tab w:val="left" w:pos="658"/>
        </w:tabs>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全面、准确、及时地将案件运转流程各阶段的相关信息进行录入、上传等。</w:t>
      </w:r>
    </w:p>
    <w:p w14:paraId="6163BC91">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陪审保障</w:t>
      </w:r>
    </w:p>
    <w:p w14:paraId="4A45E144">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负责人民陪审员的抽取、通知、更换，并负责陪审相关信息的统计上报等工作。</w:t>
      </w:r>
    </w:p>
    <w:p w14:paraId="3EB8E048">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程序转换工作</w:t>
      </w:r>
    </w:p>
    <w:p w14:paraId="5581000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负责简易程序转普通程序、小额程序转简易程序、普通程序以及审限延长、中止等过程中的程序信息流转和文书制作、文书草拟等工。</w:t>
      </w:r>
    </w:p>
    <w:p w14:paraId="48F80677">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协助办理退费事宜</w:t>
      </w:r>
    </w:p>
    <w:p w14:paraId="61EDE279">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协助办理相关退费手续并逐级报批等工作。</w:t>
      </w:r>
    </w:p>
    <w:p w14:paraId="2987C01F">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外出送达工作</w:t>
      </w:r>
    </w:p>
    <w:p w14:paraId="57E2410C">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1、外出送达。根据外勤送达辅助岗规划的路线、准备的材料对案件进行外出送达。</w:t>
      </w:r>
    </w:p>
    <w:p w14:paraId="1DE656C2">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2、张贴公告。需张贴公告的案件，根据公告送达规则在被告户籍地、被告户籍地所在的社区/村委会张贴。</w:t>
      </w:r>
    </w:p>
    <w:p w14:paraId="289B0B72">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3、记录送达过程。送达过程中认真填写谈话笔录和外出送达日志，记录外出送达流程，以便法官书记员查阅送达情况；外出送达结束后将案件送达材料进行整理、登记、上传。</w:t>
      </w:r>
    </w:p>
    <w:p w14:paraId="035803BF">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采购方指定其他审判辅助工作</w:t>
      </w:r>
    </w:p>
    <w:p w14:paraId="613C3E46">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卷宗辅助服务</w:t>
      </w:r>
    </w:p>
    <w:p w14:paraId="46489ED2">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主要工作包含：材料收转、立案扫描、补充扫描、中间库管理、卷宗装订及归档等工作。</w:t>
      </w:r>
    </w:p>
    <w:p w14:paraId="4CA21989">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无纸化案件，均应当适用电子卷宗混合单套制改革，实现电子卷宗一键转档。归档方式以“电子档案为主，纸质档案为辅”，将传统纸质卷宗审理案件，转变为办公办案全流程无纸化。</w:t>
      </w:r>
    </w:p>
    <w:p w14:paraId="475CFA64">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诉讼材料收转</w:t>
      </w:r>
    </w:p>
    <w:p w14:paraId="5E2DFD8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（1）供应商应提供立案流程设计即立案阶段先立案后扫描或先扫后立纸质卷宗整体流转运行机制。</w:t>
      </w:r>
    </w:p>
    <w:p w14:paraId="2563EFDF">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（2）供应商应提供材料收转环节针对现场立案，邮寄立案和巡回收集的工作方法。</w:t>
      </w:r>
    </w:p>
    <w:p w14:paraId="243501E2">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（3）供应商应提供材料收转环节材料登记服务与材料质检服务。</w:t>
      </w:r>
    </w:p>
    <w:p w14:paraId="2664CE36">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立案扫描工作</w:t>
      </w:r>
    </w:p>
    <w:p w14:paraId="1CD2DBAD">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（1）按照阅卷习惯、档案级要求进行电子化服务；</w:t>
      </w:r>
    </w:p>
    <w:p w14:paraId="604232C5">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（2）在1日内完成纸质卷宗电子化工作，当日完成扫描的起诉立案材料当日移送中间库。</w:t>
      </w:r>
    </w:p>
    <w:p w14:paraId="367965E3">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（3）制定完整，高效的起诉立案材料电子化标准作业流程和分类方案，提高立案效率及提升无纸化阅卷成效。</w:t>
      </w:r>
    </w:p>
    <w:p w14:paraId="537A774A">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补充材料扫描</w:t>
      </w:r>
    </w:p>
    <w:p w14:paraId="27E1AAE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（1）供应商应提供补充材料分类、扫描和交接等规范方案。</w:t>
      </w:r>
    </w:p>
    <w:p w14:paraId="17660E14">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（2）供应商应制定完整，高效的补充材料电子化标准作业流程，提高随案扫描成效和提升无纸化阅卷成效。</w:t>
      </w:r>
    </w:p>
    <w:p w14:paraId="7862F178">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（3）时效性要求：供应商收到补充材料时，根据材料移送时间，1日内完成电子化工作，电子化后的材料移送中间库。</w:t>
      </w:r>
    </w:p>
    <w:p w14:paraId="1BF2B7FF">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中间库管理</w:t>
      </w:r>
    </w:p>
    <w:p w14:paraId="34548619">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（1）实体卷保管</w:t>
      </w:r>
    </w:p>
    <w:p w14:paraId="29A941E7">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将已完成立案扫描的卷宗存入中间库；将已完成扫描的补充材料存入中间库；中间库卷宗管理（建立数据库）；卷宗借阅与归还。</w:t>
      </w:r>
    </w:p>
    <w:p w14:paraId="5D520612">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（2）电子卷质检</w:t>
      </w:r>
    </w:p>
    <w:p w14:paraId="2EBFC17F">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须提供电子卷宗质检方案，包括外部质检（包含材料电子化环节、法院阅卷环节、归档环节）和内部质检（包含名称标注质检、阅卷目录质检、档案卷目录质检）两部分，确保电子卷宗完整，可信，提高法官阅卷体验感，</w:t>
      </w:r>
    </w:p>
    <w:p w14:paraId="0D6F00A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（3）卷宗中间库管理系统设计</w:t>
      </w:r>
    </w:p>
    <w:p w14:paraId="0DBF082E">
      <w:pPr>
        <w:ind w:firstLine="56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供应商应提供卷宗中间库管理系统设计方案。（提供自主知识产权著作权证书</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14:paraId="54CBB2F9">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卷宗装订及归档</w:t>
      </w:r>
    </w:p>
    <w:p w14:paraId="259DEFF2">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体包括送达时间的录入、生效时间录入、裁判文书上网、点击归档、协助出具生效文书证明等操作并及时将卷宗归档入库；以及提供纸质档案装订服务方案，包括卷宗整理归档处理与操作流程以卷宗归档排序标准。</w:t>
      </w:r>
    </w:p>
    <w:p w14:paraId="0D509303">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司法辅助综合事务性工作基础性配套服务</w:t>
      </w:r>
    </w:p>
    <w:p w14:paraId="672480D3">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要素信息核对服务</w:t>
      </w:r>
    </w:p>
    <w:p w14:paraId="7E6F1B54">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对于目前案件信息录入依赖人工校验、核对操作，录入过程易出错且不宜甄别立案过程中的案件风险问题，试点对一审案件当事人提交的诉状、证件材料、授权委托书等材料识别提取后，进行人工核对，解决识别提取造成的错误或不全的问题，并支持对案件的当事人信息、代理人等信息进行核对并更正，为要素式审判提供准确数据支撑。 </w:t>
      </w:r>
    </w:p>
    <w:p w14:paraId="07786F50">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要素文书辅助生成配套服务</w:t>
      </w:r>
    </w:p>
    <w:p w14:paraId="3253050A">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无纸化办案需求，基于现有业务系统满足业务庭或法官对格式化文书模板智能生成需求，供应商通过要素式提取，感知技术、认知技术为投标人提供个性化格式化文书生成服务，提高格式化文书生成正确性及完整性。</w:t>
      </w:r>
    </w:p>
    <w:p w14:paraId="35F51438">
      <w:pPr>
        <w:pStyle w:val="5"/>
        <w:keepNext w:val="0"/>
        <w:keepLines w:val="0"/>
        <w:spacing w:before="0"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提供司法辅助事务集约化管理系统</w:t>
      </w:r>
    </w:p>
    <w:p w14:paraId="16157C0B">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司法辅助事务集约化管理系统实现了司法资源整合，优化管理，将归档等审判辅助事项剥离出来，实现了法官专注的“审”和“判”核心事务，改革过去的审判辅助事务分散处理的工作模式，将法官助理的部分非核审判事务和书记员的事务剥离出来，交由司法辅助集约化服务平台统一集中办理。让法官将更多地精力投入到审判案件，有效缩短了办案周期，实现司法辅助事务集约化、专业化管理，法官事务性工作大大减少，提高效率和质量。将辅助事务通过司法辅助集约化管理系统统一进行流转管理，事项的交办和办理全程流程。将传统的“法官+法官助理+书记员”的团队审判模式，改变为由“多个法官+法官助理”共享一个辅助事务服务团队的审判模式。</w:t>
      </w:r>
    </w:p>
    <w:p w14:paraId="5144615A">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提供解决方案并提供事务发起（包括补充扫描、无纸化归档），事务分派、事务管理、事务监督，以及转档审核操作步骤等功能截图。（供应商需提供相关功能页面截图）</w:t>
      </w:r>
    </w:p>
    <w:p w14:paraId="47578BBE">
      <w:pPr>
        <w:pStyle w:val="5"/>
        <w:keepNext w:val="0"/>
        <w:keepLines w:val="0"/>
        <w:spacing w:before="0"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提供司法辅助事务数据可视化展示服务</w:t>
      </w:r>
    </w:p>
    <w:p w14:paraId="0498CDE5">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供应商应提供包含司法辅助事务各环节数据的数据展示服务，展示内容包括但不限于收案数、中间库存案数、结案数、归档数、扫描页数的当日及历史统计数据。 （供应商需提供相关数据可视化展示页面截图）</w:t>
      </w:r>
    </w:p>
    <w:p w14:paraId="751F83CF">
      <w:pPr>
        <w:pStyle w:val="5"/>
        <w:keepNext w:val="0"/>
        <w:keepLines w:val="0"/>
        <w:spacing w:before="0" w:after="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提供软件系统优化升级服务</w:t>
      </w:r>
    </w:p>
    <w:p w14:paraId="68881DF5">
      <w:pPr>
        <w:ind w:firstLine="56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为确保铜山法院无纸化办案成效，供应商需着力推进贯穿立案，送达，接待，调查，询问，调解，庭审，合议，裁判，结案，归档等环节的全流程、全要素无纸化办案配套服务。供应商应基于现有法院业务系统进行软件功能操作，服务期间供应商提供的相关配套服务软件需与最高院“一张网”核心业务系统进行无缝对接，确保数据准确性及一致性，同时需要支持后期接入</w:t>
      </w:r>
      <w:r>
        <w:rPr>
          <w:rFonts w:hint="eastAsia" w:ascii="宋体" w:hAnsi="宋体" w:eastAsia="宋体" w:cs="宋体"/>
          <w:color w:val="000000" w:themeColor="text1"/>
          <w:highlight w:val="none"/>
          <w14:textFill>
            <w14:solidFill>
              <w14:schemeClr w14:val="tx1"/>
            </w14:solidFill>
          </w14:textFill>
        </w:rPr>
        <w:t>AI大模型的能力</w:t>
      </w:r>
      <w:r>
        <w:rPr>
          <w:rFonts w:hint="eastAsia" w:ascii="宋体" w:hAnsi="宋体" w:eastAsia="宋体" w:cs="宋体"/>
          <w:color w:val="000000" w:themeColor="text1"/>
          <w:highlight w:val="none"/>
          <w14:textFill>
            <w14:solidFill>
              <w14:schemeClr w14:val="tx1"/>
            </w14:solidFill>
          </w14:textFill>
        </w:rPr>
        <w:t>。</w:t>
      </w:r>
    </w:p>
    <w:p w14:paraId="48F8DC83">
      <w:pPr>
        <w:pStyle w:val="4"/>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工作要求</w:t>
      </w:r>
    </w:p>
    <w:p w14:paraId="0E305AFE">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独立运营</w:t>
      </w:r>
    </w:p>
    <w:p w14:paraId="701F8E19">
      <w:pPr>
        <w:ind w:firstLine="560"/>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了解采购人的工作流程、工作内容、工作环境等状况，负责组建服务团队，提供高质量的司法辅助事务性工作。</w:t>
      </w:r>
      <w:r>
        <w:rPr>
          <w:rFonts w:hint="eastAsia" w:ascii="宋体" w:hAnsi="宋体" w:eastAsia="宋体" w:cs="宋体"/>
          <w:color w:val="000000" w:themeColor="text1"/>
          <w14:textFill>
            <w14:solidFill>
              <w14:schemeClr w14:val="tx1"/>
            </w14:solidFill>
          </w14:textFill>
        </w:rPr>
        <w:t>通过集约化管控、优化流程、节点时间把控、数据分析调研等，提高审判、执行工作效率。</w:t>
      </w:r>
      <w:r>
        <w:rPr>
          <w:rFonts w:hint="eastAsia" w:ascii="宋体" w:hAnsi="宋体" w:eastAsia="宋体" w:cs="宋体"/>
          <w:color w:val="000000" w:themeColor="text1"/>
          <w:lang w:val="zh-CN"/>
          <w14:textFill>
            <w14:solidFill>
              <w14:schemeClr w14:val="tx1"/>
            </w14:solidFill>
          </w14:textFill>
        </w:rPr>
        <w:t>保障采购人各项工作的正常运作，积极寻求更有效的管理手段，及时提出</w:t>
      </w: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10692130</wp:posOffset>
                </wp:positionV>
                <wp:extent cx="1270" cy="1270"/>
                <wp:effectExtent l="0" t="0" r="0" b="0"/>
                <wp:wrapNone/>
                <wp:docPr id="113" name="文本框 113"/>
                <wp:cNvGraphicFramePr/>
                <a:graphic xmlns:a="http://schemas.openxmlformats.org/drawingml/2006/main">
                  <a:graphicData uri="http://schemas.microsoft.com/office/word/2010/wordprocessingShape">
                    <wps:wsp>
                      <wps:cNvSpPr txBox="1"/>
                      <wps:spPr bwMode="auto">
                        <a:xfrm>
                          <a:off x="0" y="0"/>
                          <a:ext cx="1270" cy="1270"/>
                        </a:xfrm>
                        <a:prstGeom prst="rect">
                          <a:avLst/>
                        </a:prstGeom>
                        <a:gradFill>
                          <a:gsLst>
                            <a:gs pos="0">
                              <a:srgbClr val="FFFFFF"/>
                            </a:gs>
                            <a:gs pos="100000">
                              <a:srgbClr val="FFFF4C"/>
                            </a:gs>
                          </a:gsLst>
                        </a:gradFill>
                        <a:ln>
                          <a:noFill/>
                          <a:prstDash val="dash"/>
                          <a:miter/>
                        </a:ln>
                      </wps:spPr>
                      <wps:txbx>
                        <w:txbxContent>
                          <w:p w14:paraId="55F195BA">
                            <w:pPr>
                              <w:spacing w:before="93"/>
                              <w:ind w:left="40" w:right="38" w:firstLine="560"/>
                              <w:jc w:val="right"/>
                              <w:rPr>
                                <w:rFonts w:hint="eastAsia" w:ascii="Helvetica"/>
                              </w:rPr>
                            </w:pPr>
                            <w:r>
                              <w:rPr>
                                <w:rFonts w:ascii="Helvetica"/>
                              </w:rPr>
                              <w:t>--------------------------------------------</w:t>
                            </w:r>
                          </w:p>
                          <w:p w14:paraId="3009F66F">
                            <w:pPr>
                              <w:spacing w:line="331" w:lineRule="exact"/>
                              <w:ind w:left="40" w:right="38" w:firstLine="320"/>
                              <w:jc w:val="right"/>
                              <w:rPr>
                                <w:rFonts w:hint="eastAsia" w:ascii="Helvetica"/>
                                <w:i/>
                                <w:sz w:val="16"/>
                              </w:rPr>
                            </w:pPr>
                          </w:p>
                        </w:txbxContent>
                      </wps:txbx>
                      <wps:bodyPr wrap="square" lIns="0" tIns="0" rIns="0" bIns="0" upright="1"/>
                    </wps:wsp>
                  </a:graphicData>
                </a:graphic>
              </wp:anchor>
            </w:drawing>
          </mc:Choice>
          <mc:Fallback>
            <w:pict>
              <v:shape id="_x0000_s1026" o:spid="_x0000_s1026" o:spt="202" type="#_x0000_t202" style="position:absolute;left:0pt;margin-left:0pt;margin-top:841.9pt;height:0.1pt;width:0.1pt;mso-position-horizontal-relative:page;mso-position-vertical-relative:page;z-index:251659264;mso-width-relative:page;mso-height-relative:page;" fillcolor="#FFFFFF" filled="t" stroked="f" coordsize="21600,21600" o:gfxdata="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4fbEzWAAAABwEAAA8AAAAAAAAAAQAgAAAAIgAA&#10;AGRycy9kb3ducmV2LnhtbFBLAQIUABQAAAAIAIdO4kDsW5keCgIAADEEAAAOAAAAAAAAAAEAIAAA&#10;ACUBAABkcnMvZTJvRG9jLnhtbFBLBQYAAAAABgAGAFkBAAChBQAAAAA=&#10;">
                <v:fill type="gradient" on="t" color2="#FFFF4C" angle="90" focus="100%" focussize="0,0" rotate="t">
                  <o:fill type="gradientUnscaled" v:ext="backwardCompatible"/>
                </v:fill>
                <v:stroke on="f" joinstyle="miter" dashstyle="dash"/>
                <v:imagedata o:title=""/>
                <o:lock v:ext="edit" aspectratio="f"/>
                <v:textbox inset="0mm,0mm,0mm,0mm">
                  <w:txbxContent>
                    <w:p w14:paraId="55F195BA">
                      <w:pPr>
                        <w:spacing w:before="93"/>
                        <w:ind w:left="40" w:right="38" w:firstLine="560"/>
                        <w:jc w:val="right"/>
                        <w:rPr>
                          <w:rFonts w:hint="eastAsia" w:ascii="Helvetica"/>
                        </w:rPr>
                      </w:pPr>
                      <w:r>
                        <w:rPr>
                          <w:rFonts w:ascii="Helvetica"/>
                        </w:rPr>
                        <w:t>--------------------------------------------</w:t>
                      </w:r>
                    </w:p>
                    <w:p w14:paraId="3009F66F">
                      <w:pPr>
                        <w:spacing w:line="331" w:lineRule="exact"/>
                        <w:ind w:left="40" w:right="38" w:firstLine="320"/>
                        <w:jc w:val="right"/>
                        <w:rPr>
                          <w:rFonts w:hint="eastAsia" w:ascii="Helvetica"/>
                          <w:i/>
                          <w:sz w:val="16"/>
                        </w:rPr>
                      </w:pPr>
                    </w:p>
                  </w:txbxContent>
                </v:textbox>
              </v:shape>
            </w:pict>
          </mc:Fallback>
        </mc:AlternateContent>
      </w:r>
      <w:r>
        <w:rPr>
          <w:rFonts w:hint="eastAsia" w:ascii="宋体" w:hAnsi="宋体" w:eastAsia="宋体" w:cs="宋体"/>
          <w:color w:val="000000" w:themeColor="text1"/>
          <w:lang w:val="zh-CN"/>
          <w14:textFill>
            <w14:solidFill>
              <w14:schemeClr w14:val="tx1"/>
            </w14:solidFill>
          </w14:textFill>
        </w:rPr>
        <w:t>改善方案，制定</w:t>
      </w:r>
      <w:r>
        <w:rPr>
          <w:rFonts w:hint="eastAsia" w:ascii="宋体" w:hAnsi="宋体" w:eastAsia="宋体" w:cs="宋体"/>
          <w:color w:val="000000" w:themeColor="text1"/>
          <w14:textFill>
            <w14:solidFill>
              <w14:schemeClr w14:val="tx1"/>
            </w14:solidFill>
          </w14:textFill>
        </w:rPr>
        <w:t>流程标准和</w:t>
      </w:r>
      <w:r>
        <w:rPr>
          <w:rFonts w:hint="eastAsia" w:ascii="宋体" w:hAnsi="宋体" w:eastAsia="宋体" w:cs="宋体"/>
          <w:color w:val="000000" w:themeColor="text1"/>
          <w:lang w:val="zh-CN"/>
          <w14:textFill>
            <w14:solidFill>
              <w14:schemeClr w14:val="tx1"/>
            </w14:solidFill>
          </w14:textFill>
        </w:rPr>
        <w:t>服务规范，按合同的服务内容范围，完成相关的监督管理、统计，完善服务过程及内容，并提交服务解决方案。</w:t>
      </w:r>
    </w:p>
    <w:p w14:paraId="059B4E65">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调研工作</w:t>
      </w:r>
    </w:p>
    <w:p w14:paraId="321B2F2A">
      <w:pPr>
        <w:ind w:firstLine="560"/>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成立专业的调研小组，定期</w:t>
      </w:r>
      <w:r>
        <w:rPr>
          <w:rFonts w:hint="eastAsia" w:ascii="宋体" w:hAnsi="宋体" w:eastAsia="宋体" w:cs="宋体"/>
          <w:color w:val="000000" w:themeColor="text1"/>
          <w14:textFill>
            <w14:solidFill>
              <w14:schemeClr w14:val="tx1"/>
            </w14:solidFill>
          </w14:textFill>
        </w:rPr>
        <w:t>或</w:t>
      </w:r>
      <w:r>
        <w:rPr>
          <w:rFonts w:hint="eastAsia" w:ascii="宋体" w:hAnsi="宋体" w:eastAsia="宋体" w:cs="宋体"/>
          <w:color w:val="000000" w:themeColor="text1"/>
          <w:lang w:val="zh-CN"/>
          <w14:textFill>
            <w14:solidFill>
              <w14:schemeClr w14:val="tx1"/>
            </w14:solidFill>
          </w14:textFill>
        </w:rPr>
        <w:t>不定期的对项目运营流程中各工作节点的效能与质量进行调研分析，并形成调研报告和改善方案报送</w:t>
      </w:r>
      <w:r>
        <w:rPr>
          <w:rFonts w:hint="eastAsia" w:ascii="宋体" w:hAnsi="宋体" w:eastAsia="宋体" w:cs="宋体"/>
          <w:color w:val="000000" w:themeColor="text1"/>
          <w14:textFill>
            <w14:solidFill>
              <w14:schemeClr w14:val="tx1"/>
            </w14:solidFill>
          </w14:textFill>
        </w:rPr>
        <w:t>采购人</w:t>
      </w:r>
      <w:r>
        <w:rPr>
          <w:rFonts w:hint="eastAsia" w:ascii="宋体" w:hAnsi="宋体" w:eastAsia="宋体" w:cs="宋体"/>
          <w:color w:val="000000" w:themeColor="text1"/>
          <w:lang w:val="zh-CN"/>
          <w14:textFill>
            <w14:solidFill>
              <w14:schemeClr w14:val="tx1"/>
            </w14:solidFill>
          </w14:textFill>
        </w:rPr>
        <w:t>。</w:t>
      </w:r>
    </w:p>
    <w:p w14:paraId="57ED3A1E">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流程优化</w:t>
      </w:r>
    </w:p>
    <w:p w14:paraId="42DB8543">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根据采购项目的运营情况，绘制业务流程图，撰写各工作业务流程，岗位操作流程及标准，岗位说明书，并对现有的工作流程进行深入调研、升级、优化。</w:t>
      </w:r>
    </w:p>
    <w:p w14:paraId="7A94388C">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高效团队管理</w:t>
      </w:r>
    </w:p>
    <w:p w14:paraId="234A519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对服务团队人员的管理形成行之有效的管理制度与管理流程，确保服务人员的稳定性、提升员工的安全保密意识，约束工作人员保证不以任何方式对外泄露保密信息，为本项目提供一个专业化高效能的服务团队。</w:t>
      </w:r>
    </w:p>
    <w:p w14:paraId="7527E125">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工作的交接及异议处理流程</w:t>
      </w:r>
    </w:p>
    <w:p w14:paraId="15F52E7F">
      <w:pPr>
        <w:ind w:firstLine="56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采购人通过制作工作清单或拟定工作规范和流程的方式向中标人交付工作，严格按照规定的时间和标准完成任务。</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交付的工作中标人认为不符合合同约定范围的，应在工作交接时当面提出。采购人收到中标人异议后应与中标人管理人员及时沟通、协商，达成一致后重新出具新的工作清单。如果中标人在工作交接时未当面提出异议的，视为同意该工作安排，则应严格按该工作要求完成服务任务。</w:t>
      </w:r>
    </w:p>
    <w:p w14:paraId="7A0580BF">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工作成果交付和验收</w:t>
      </w:r>
    </w:p>
    <w:p w14:paraId="40290B95">
      <w:pPr>
        <w:ind w:firstLine="56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按交接工作清单的要求按时保质保量地完成服务工作，并按该工作清单约定的时间和方式向采购人交付工作成果。采购人应对中标人提交的工作成果按约定质量标准进行验收，并出具验收意见及评分。</w:t>
      </w:r>
    </w:p>
    <w:p w14:paraId="01AE381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服务质量要求</w:t>
      </w:r>
    </w:p>
    <w:p w14:paraId="13A964A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参照《管理要求》执行，如有差异以合同约定为准。</w:t>
      </w:r>
    </w:p>
    <w:p w14:paraId="64862B69">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管理要求</w:t>
      </w:r>
    </w:p>
    <w:p w14:paraId="0A3C517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（1）工作人员须严格遵守</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的相关工作守则和作息时间（包括加班时间），不得迟到、早退、随意旷工，不得因请假影响工作，服从法院整体工作时间，配合法院工作。</w:t>
      </w:r>
    </w:p>
    <w:p w14:paraId="470DC813">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（2）工作人员要遵从</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的要求，在指定的工作场所完成事务类工作，遵守和维护工作秩序。</w:t>
      </w:r>
    </w:p>
    <w:p w14:paraId="76C1612F">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工作人员不得利用工作之便，进行任何非法或本项目范围外的活动，不得损毁、丢失、修改、抽换、隐匿、伪造、复制、拍摄案件材料，不得擅自将案件材料带离工作场所，或采用其他任何方式外传。如经发现，</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有权终止社会化服务采购合同，造成损失的，由中标人承担全部责任，构成犯罪的，依法追究刑事责任。</w:t>
      </w:r>
    </w:p>
    <w:p w14:paraId="73BA3192">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中标人与采购人签署保密协议，加强工作人员的安全保密教育，约束工作人员保证不以任何方式对外泄露保密信息。如经发现，采购人有权终止社会化服务采购合同，造成损失的，由中标人承担全部责任，构成犯罪的，依法追究刑事责任。（详见附件1）。</w:t>
      </w:r>
    </w:p>
    <w:p w14:paraId="490CA4A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（5）合同签订后，中标人未能在5日内配齐符合需求的工作人员，则视为中标人违约，</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有权终止合同。</w:t>
      </w:r>
    </w:p>
    <w:p w14:paraId="051562D4">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（6）合同签订后，工作人员有离职情况的，中标人应及时递补，未能按时递补的，应及时报采购人，并扣罚相关服务费用，不得因人员离职或缺岗影响原有工作，若因此造成工作滞后或其它重大不良反映，</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有权拒绝支付本期项目服务费；情节严重的，视为中标人违约，</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有权终止社会化服务采购合同。</w:t>
      </w:r>
    </w:p>
    <w:p w14:paraId="207D0F6C">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（7）工作人员在实施服务过程中，</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有权监督检查，如发现问题，有权向中标人提出整改意见；中标人应在收到整改意见后三个工作日内将整改情况及配套管理制度等正式回复</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w:t>
      </w:r>
    </w:p>
    <w:p w14:paraId="78C562BF">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（8）中标人应充分发挥专业人力资源的优势，定期组织工作人员开展丰富多样的企业文化活动，以增强队伍的凝聚力和归属感。</w:t>
      </w:r>
    </w:p>
    <w:p w14:paraId="476A2249">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（9）中标人负责组建服务团队为提供高质量的司法辅助服务。</w:t>
      </w:r>
    </w:p>
    <w:p w14:paraId="4DB22FBF">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（10）中标人应对工作人员进行集约化办公，应定岗定责、统一管理。要求工作人员统一工作服装，服装须端庄、大方、稳重、素雅，须保持干净、整洁的整体形象。</w:t>
      </w:r>
    </w:p>
    <w:p w14:paraId="47DE9B7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职责范围</w:t>
      </w:r>
    </w:p>
    <w:p w14:paraId="41FDE47D">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采购人职责范围</w:t>
      </w:r>
    </w:p>
    <w:p w14:paraId="44337038">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（1）负责提供服务场地、必要的办公条件和工作用品及耗材，并提供服务所需要的资料和数据。</w:t>
      </w:r>
    </w:p>
    <w:p w14:paraId="0464E1E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（2）负责协调各项目相关部门配合开展工作，提供审判辅助事务社会化服务咨询支持。</w:t>
      </w:r>
    </w:p>
    <w:p w14:paraId="2D3AE7F5">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（3）配合中标人开展服务培训、业务培训、员工管理等事项。</w:t>
      </w:r>
    </w:p>
    <w:p w14:paraId="47E16CB5">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（4）对中标人工作进行监督管理，按约定时间向中标人支付服务管理费用。</w:t>
      </w:r>
    </w:p>
    <w:p w14:paraId="2E143944">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（5）采购人根据实际情况提供员工饭堂有偿就餐服务。</w:t>
      </w:r>
    </w:p>
    <w:p w14:paraId="58E5B38D">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中标人职责范围</w:t>
      </w:r>
    </w:p>
    <w:p w14:paraId="7F261DDB">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（1）中标人按照合同约定保质保量向</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提供合格的服务。</w:t>
      </w:r>
    </w:p>
    <w:p w14:paraId="74546180">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（2）中标人应保证提供服务的团队人员的数量和素质满足履行本合同的要求。服务期内中标人有权利和义务对工作人员的数量和工作量标准按照</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业务处理的要求进行合理地调整，以达到服务的优化，但应尽可能保持工作人员相对稳定。</w:t>
      </w:r>
    </w:p>
    <w:p w14:paraId="642D70F2">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（3）中标人负责对</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所提供的所有办公设备进行日常维护和保养。中标人应当正确使用</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所提供的所有办公设备，如因中标人使用不当导致设备毁损的，中标人应当承担相应的赔偿责任。</w:t>
      </w:r>
    </w:p>
    <w:p w14:paraId="3E52E11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（4）除服务项目实施地的水电费、物业管理费、办公用品费外，一般管理费用由中标人自行承担。</w:t>
      </w:r>
    </w:p>
    <w:p w14:paraId="0C91D56C">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（5）中标人对其派驻工作人员应每年组织开展不低于2次的业务培训，每季组织工作人员业务总结会，并派员参加</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组织的相关业务培训。</w:t>
      </w:r>
    </w:p>
    <w:p w14:paraId="51B54E33">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（6）中标人应接受</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的监督管理，对</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提出的处理意见应在3个工作日内将整改情况及配套管理制度等回复采购人，并定期汇报制度落实及推行情况。</w:t>
      </w:r>
    </w:p>
    <w:p w14:paraId="3385DCAF">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采购人与中标人招收的工作人员不具备劳动关系，中标人负责完善工作人员的各项人力资源管理措施，设置专人负责人员劳动关系管理、人事行政管理工作等。中标人负责承担其工作人员的工伤、人身意外、劳资纠纷、工作人员职务过错等造成的全部经济损失和法律责任。</w:t>
      </w:r>
    </w:p>
    <w:p w14:paraId="316FFD77">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（8）因中标人工作人员在工作期间造成</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工作人员人身、财产损失或第三人人身以及财产损失，导致</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承担赔偿责任的，中标人应负责赔偿</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的损失。</w:t>
      </w:r>
    </w:p>
    <w:p w14:paraId="305B9A8B">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（9）中标人应合法合规的向工作人员落实各项工资、福利项目，根据员工合作约定及时向工作人员发放工资。中标人应在合同签订时制定管理及绩效考评制度。</w:t>
      </w:r>
    </w:p>
    <w:p w14:paraId="454497F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（10）每月及年度结束，中标人需向</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提供服务项目各项工作完成情况及总结，对服务合同履行情况出具相应的报告。</w:t>
      </w:r>
    </w:p>
    <w:p w14:paraId="7385E365">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（11）在合同解除或终止后，中标人应及时做好移交及撤场工作并向</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返还相关办公设施、设备及相关数据、档案材料，并保证上述设施、设备处于正常可使用状态（设备设施的正常损耗除外），相关数据、档案材料完整无缺。</w:t>
      </w:r>
    </w:p>
    <w:p w14:paraId="72719AA4">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（12）中标人应加强对工作人员及现场管理人员的教育和管理，遵守</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有关规章制度。对中标人工作人员及现场管理人员非因</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原因造成的人身伤害及财产损失，由中标人承担责任。中标人的用工要符合国家的相关规定，中标人必须与招聘人员及时签订用工合同，并按照国家相关法律规定为招聘人员缴纳各项保险等。</w:t>
      </w:r>
    </w:p>
    <w:p w14:paraId="0B4676A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（13）中标人支付给工作人员的工资，要符合国家和地方的相关规定，最低工资标准不得低于徐州市最低工资标准，每月须按工资标准足额按时发放并缴纳社保。如中标人发生未准时支付工作人员工资的，须</w:t>
      </w:r>
      <w:r>
        <w:rPr>
          <w:rFonts w:hint="eastAsia" w:ascii="宋体" w:hAnsi="宋体" w:eastAsia="宋体" w:cs="宋体"/>
          <w:bCs/>
          <w:color w:val="000000" w:themeColor="text1"/>
          <w14:textFill>
            <w14:solidFill>
              <w14:schemeClr w14:val="tx1"/>
            </w14:solidFill>
          </w14:textFill>
        </w:rPr>
        <w:t>向采购人</w:t>
      </w:r>
      <w:r>
        <w:rPr>
          <w:rFonts w:hint="eastAsia" w:ascii="宋体" w:hAnsi="宋体" w:eastAsia="宋体" w:cs="宋体"/>
          <w:color w:val="000000" w:themeColor="text1"/>
          <w14:textFill>
            <w14:solidFill>
              <w14:schemeClr w14:val="tx1"/>
            </w14:solidFill>
          </w14:textFill>
        </w:rPr>
        <w:t>书面说明情况</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根据情况有权暂停支付相关管理服务费，由此引起的劳动纠纷由中标人负责承担相应的法律和经济责任。</w:t>
      </w:r>
    </w:p>
    <w:p w14:paraId="29427587">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（14）中标人应协助、配合</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开展安全排查工作。</w:t>
      </w:r>
    </w:p>
    <w:p w14:paraId="75A390DC">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保密要求</w:t>
      </w:r>
    </w:p>
    <w:p w14:paraId="1EF9397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（1）中标人及其工作人员应签订《保密协议》，严守在履行本合同中通过各种方式知悉的案件信息、技术秘密和其他业务信息，不得泄露。</w:t>
      </w:r>
    </w:p>
    <w:p w14:paraId="5A1D5EB8">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（2）中标人在进行服务过程中，必须确保</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的信息安全，未经</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同意不得擅自删除、修改和转移业务系统中的信息。</w:t>
      </w:r>
    </w:p>
    <w:p w14:paraId="33C79B4D">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（3）服务完成后，中标人应返还</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的业务资料和服务过程中取得的各种材料，不得存留复制品、照片、视频。</w:t>
      </w:r>
    </w:p>
    <w:p w14:paraId="0B9DA66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（4）中标人应与从事本项目工作的工作人员签订有关保密协议，约束其履行保密义务，并提交采购人壹份备案。</w:t>
      </w:r>
    </w:p>
    <w:p w14:paraId="3A047CB4">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对服务单位的要求</w:t>
      </w:r>
    </w:p>
    <w:p w14:paraId="5930D85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（1）中标人签订合同前必须按照国家相关保密规定和采购人签订《保密协议》，对违反《保密协议》相关内容规定的，采购人有权追究其法律责任，并赔偿损失，扣减相应服务费用。</w:t>
      </w:r>
    </w:p>
    <w:p w14:paraId="41E8380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（2）中标人不得随意更换项目现场管理人员，如需更换的，则必须征得采购人的同意，经试用符合要求方可更换。</w:t>
      </w:r>
    </w:p>
    <w:p w14:paraId="04B95343">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（3）在合作过程中，采购人有权对工作人员进行岗位调配，对不能胜任或不符合业务要求的工作人员进行更换。</w:t>
      </w:r>
    </w:p>
    <w:p w14:paraId="54BBDD19">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（4）中标人有义务做好工作人员的岗前培训工作，通过对服务工作人员进行相关业务专业技能的培训，达到相关工作人员上岗的必备条件。</w:t>
      </w:r>
    </w:p>
    <w:p w14:paraId="461DE4EB">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工作人员服务水平需要在具体工作岗位上持续不断的提升，中标人针对相关服务项目业务实施两种培训方案如下：</w:t>
      </w:r>
    </w:p>
    <w:p w14:paraId="03E3E73D">
      <w:pPr>
        <w:ind w:firstLine="56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基础培训</w:t>
      </w:r>
    </w:p>
    <w:p w14:paraId="592AB6CC">
      <w:pPr>
        <w:tabs>
          <w:tab w:val="left" w:pos="755"/>
          <w:tab w:val="left" w:pos="1620"/>
          <w:tab w:val="left" w:pos="2562"/>
        </w:tabs>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通过对服务工作人员进行相关业务专业技能的培训，达到相关工作人员上岗的必备条件。 </w:t>
      </w:r>
    </w:p>
    <w:p w14:paraId="56B38D52">
      <w:pPr>
        <w:tabs>
          <w:tab w:val="left" w:pos="755"/>
          <w:tab w:val="left" w:pos="1620"/>
          <w:tab w:val="left" w:pos="2562"/>
        </w:tabs>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培训项目和内容列表如下：</w:t>
      </w:r>
    </w:p>
    <w:tbl>
      <w:tblPr>
        <w:tblStyle w:val="15"/>
        <w:tblW w:w="91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4260"/>
        <w:gridCol w:w="2749"/>
      </w:tblGrid>
      <w:tr w14:paraId="4F8E8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091" w:type="dxa"/>
          </w:tcPr>
          <w:p w14:paraId="41415B21">
            <w:pPr>
              <w:tabs>
                <w:tab w:val="left" w:pos="755"/>
                <w:tab w:val="left" w:pos="1620"/>
                <w:tab w:val="left" w:pos="2562"/>
              </w:tabs>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培训项目</w:t>
            </w:r>
          </w:p>
        </w:tc>
        <w:tc>
          <w:tcPr>
            <w:tcW w:w="4260" w:type="dxa"/>
          </w:tcPr>
          <w:p w14:paraId="0351E0C0">
            <w:pPr>
              <w:tabs>
                <w:tab w:val="left" w:pos="755"/>
                <w:tab w:val="left" w:pos="1620"/>
                <w:tab w:val="left" w:pos="2562"/>
              </w:tabs>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培训内容</w:t>
            </w:r>
          </w:p>
        </w:tc>
        <w:tc>
          <w:tcPr>
            <w:tcW w:w="2749" w:type="dxa"/>
          </w:tcPr>
          <w:p w14:paraId="7727DE78">
            <w:pPr>
              <w:tabs>
                <w:tab w:val="left" w:pos="755"/>
                <w:tab w:val="left" w:pos="1620"/>
                <w:tab w:val="left" w:pos="2562"/>
              </w:tabs>
              <w:spacing w:line="240" w:lineRule="auto"/>
              <w:ind w:firstLine="0" w:firstLineChars="0"/>
              <w:jc w:val="center"/>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担纲讲师</w:t>
            </w:r>
          </w:p>
        </w:tc>
      </w:tr>
      <w:tr w14:paraId="56493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091" w:type="dxa"/>
          </w:tcPr>
          <w:p w14:paraId="2B04F8B0">
            <w:pPr>
              <w:tabs>
                <w:tab w:val="left" w:pos="755"/>
                <w:tab w:val="left" w:pos="1620"/>
                <w:tab w:val="left" w:pos="2562"/>
              </w:tabs>
              <w:spacing w:line="36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入职培训</w:t>
            </w:r>
          </w:p>
        </w:tc>
        <w:tc>
          <w:tcPr>
            <w:tcW w:w="4260" w:type="dxa"/>
          </w:tcPr>
          <w:p w14:paraId="78C5505A">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1、业务服务公司介绍</w:t>
            </w:r>
          </w:p>
          <w:p w14:paraId="44A8736C">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2、劳</w:t>
            </w:r>
            <w:bookmarkStart w:id="3" w:name="_GoBack"/>
            <w:bookmarkEnd w:id="3"/>
            <w:r>
              <w:rPr>
                <w:rFonts w:hint="eastAsia" w:ascii="宋体" w:hAnsi="宋体" w:eastAsia="宋体" w:cs="宋体"/>
                <w:color w:val="000000" w:themeColor="text1"/>
                <w:sz w:val="21"/>
                <w14:textFill>
                  <w14:solidFill>
                    <w14:schemeClr w14:val="tx1"/>
                  </w14:solidFill>
                </w14:textFill>
              </w:rPr>
              <w:t>动纪律及行为规范</w:t>
            </w:r>
          </w:p>
        </w:tc>
        <w:tc>
          <w:tcPr>
            <w:tcW w:w="2749" w:type="dxa"/>
          </w:tcPr>
          <w:p w14:paraId="0D60D147">
            <w:pPr>
              <w:tabs>
                <w:tab w:val="left" w:pos="755"/>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服务公司业务经理</w:t>
            </w:r>
          </w:p>
        </w:tc>
      </w:tr>
      <w:tr w14:paraId="29BCF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091" w:type="dxa"/>
          </w:tcPr>
          <w:p w14:paraId="5209910B">
            <w:pPr>
              <w:tabs>
                <w:tab w:val="left" w:pos="755"/>
                <w:tab w:val="left" w:pos="1620"/>
                <w:tab w:val="left" w:pos="2562"/>
              </w:tabs>
              <w:spacing w:line="36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服务礼仪和学习能力培训</w:t>
            </w:r>
          </w:p>
        </w:tc>
        <w:tc>
          <w:tcPr>
            <w:tcW w:w="4260" w:type="dxa"/>
          </w:tcPr>
          <w:p w14:paraId="540E2737">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1、服务意识养成训练</w:t>
            </w:r>
          </w:p>
          <w:p w14:paraId="3E03491D">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2、与服务项目相关的业务</w:t>
            </w:r>
          </w:p>
          <w:p w14:paraId="1F18B91A">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3、法院工作人员仪容仪表、言谈举止、微笑服务的训练等</w:t>
            </w:r>
          </w:p>
        </w:tc>
        <w:tc>
          <w:tcPr>
            <w:tcW w:w="2749" w:type="dxa"/>
          </w:tcPr>
          <w:p w14:paraId="1281CC93">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1、礼仪公司讲师</w:t>
            </w:r>
          </w:p>
          <w:p w14:paraId="1891EABD">
            <w:pPr>
              <w:pStyle w:val="28"/>
              <w:tabs>
                <w:tab w:val="left" w:pos="220"/>
                <w:tab w:val="left" w:pos="1620"/>
                <w:tab w:val="left" w:pos="2562"/>
              </w:tabs>
              <w:spacing w:line="240" w:lineRule="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2、服务公司培训部门</w:t>
            </w:r>
          </w:p>
          <w:p w14:paraId="30E70524">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3、服务中心经理</w:t>
            </w:r>
          </w:p>
        </w:tc>
      </w:tr>
      <w:tr w14:paraId="602B2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091" w:type="dxa"/>
          </w:tcPr>
          <w:p w14:paraId="52583BBA">
            <w:pPr>
              <w:tabs>
                <w:tab w:val="left" w:pos="755"/>
                <w:tab w:val="left" w:pos="1620"/>
                <w:tab w:val="left" w:pos="2562"/>
              </w:tabs>
              <w:spacing w:line="36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司法辅助事务讲座和法院制度规章</w:t>
            </w:r>
          </w:p>
        </w:tc>
        <w:tc>
          <w:tcPr>
            <w:tcW w:w="4260" w:type="dxa"/>
          </w:tcPr>
          <w:p w14:paraId="1DF8342D">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1、学习司法辅助事务相关的业务知识</w:t>
            </w:r>
          </w:p>
          <w:p w14:paraId="55F66183">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2、法院辅助事务各岗位操作流程及标准</w:t>
            </w:r>
          </w:p>
          <w:p w14:paraId="6807BD26">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3、学习法院工作人员需遵守的规章制度和工作纪律</w:t>
            </w:r>
          </w:p>
        </w:tc>
        <w:tc>
          <w:tcPr>
            <w:tcW w:w="2749" w:type="dxa"/>
          </w:tcPr>
          <w:p w14:paraId="0BF03D7D">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1、服务公司培训部门</w:t>
            </w:r>
          </w:p>
          <w:p w14:paraId="1A73A05B">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2、服务公司督导部门</w:t>
            </w:r>
          </w:p>
          <w:p w14:paraId="60DB8285">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3、服务中心经理</w:t>
            </w:r>
          </w:p>
        </w:tc>
      </w:tr>
      <w:tr w14:paraId="1FB60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91" w:type="dxa"/>
          </w:tcPr>
          <w:p w14:paraId="71E0F1F2">
            <w:pPr>
              <w:tabs>
                <w:tab w:val="left" w:pos="755"/>
                <w:tab w:val="left" w:pos="1620"/>
                <w:tab w:val="left" w:pos="2562"/>
              </w:tabs>
              <w:spacing w:line="36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保密制度</w:t>
            </w:r>
          </w:p>
        </w:tc>
        <w:tc>
          <w:tcPr>
            <w:tcW w:w="4260" w:type="dxa"/>
          </w:tcPr>
          <w:p w14:paraId="5DAEB4B8">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保密规定和制度</w:t>
            </w:r>
          </w:p>
        </w:tc>
        <w:tc>
          <w:tcPr>
            <w:tcW w:w="2749" w:type="dxa"/>
          </w:tcPr>
          <w:p w14:paraId="1257CE97">
            <w:pPr>
              <w:pStyle w:val="28"/>
              <w:tabs>
                <w:tab w:val="left" w:pos="220"/>
                <w:tab w:val="left" w:pos="1620"/>
                <w:tab w:val="left" w:pos="2562"/>
              </w:tabs>
              <w:spacing w:line="240" w:lineRule="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1、服务公司培训部门</w:t>
            </w:r>
          </w:p>
          <w:p w14:paraId="4D9D1EDE">
            <w:pPr>
              <w:pStyle w:val="28"/>
              <w:tabs>
                <w:tab w:val="left" w:pos="220"/>
                <w:tab w:val="left" w:pos="1620"/>
                <w:tab w:val="left" w:pos="2562"/>
              </w:tabs>
              <w:spacing w:line="240" w:lineRule="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2、服务中心经理</w:t>
            </w:r>
          </w:p>
        </w:tc>
      </w:tr>
      <w:tr w14:paraId="23068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91" w:type="dxa"/>
          </w:tcPr>
          <w:p w14:paraId="24D14158">
            <w:pPr>
              <w:tabs>
                <w:tab w:val="left" w:pos="755"/>
                <w:tab w:val="left" w:pos="1620"/>
                <w:tab w:val="left" w:pos="2562"/>
              </w:tabs>
              <w:spacing w:line="36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培训考核</w:t>
            </w:r>
          </w:p>
        </w:tc>
        <w:tc>
          <w:tcPr>
            <w:tcW w:w="4260" w:type="dxa"/>
          </w:tcPr>
          <w:p w14:paraId="0AC4883E">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上述培训内容进行书面考试</w:t>
            </w:r>
          </w:p>
        </w:tc>
        <w:tc>
          <w:tcPr>
            <w:tcW w:w="2749" w:type="dxa"/>
          </w:tcPr>
          <w:p w14:paraId="30AB59A3">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1、服务公司培训部门</w:t>
            </w:r>
          </w:p>
          <w:p w14:paraId="389A9503">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2、服务公司督导部门</w:t>
            </w:r>
          </w:p>
          <w:p w14:paraId="1D5362EB">
            <w:pPr>
              <w:tabs>
                <w:tab w:val="left" w:pos="220"/>
                <w:tab w:val="left" w:pos="1620"/>
                <w:tab w:val="left" w:pos="2562"/>
              </w:tabs>
              <w:spacing w:line="240" w:lineRule="auto"/>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3、服务中心经理</w:t>
            </w:r>
          </w:p>
        </w:tc>
      </w:tr>
    </w:tbl>
    <w:p w14:paraId="4CA1C4D0">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培训项目和内容列表如下：</w:t>
      </w:r>
    </w:p>
    <w:p w14:paraId="75084370">
      <w:pPr>
        <w:ind w:firstLine="562"/>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持续的业务培训</w:t>
      </w:r>
    </w:p>
    <w:p w14:paraId="591024C2">
      <w:pPr>
        <w:ind w:firstLine="56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培训内容包括：在项目实施过程中，针对发现的问题、需要改善的问题，有必要集中学习的事项、工作制度和纪律要求可以安排不定期的培训，达到熟练掌握的程度。</w:t>
      </w:r>
    </w:p>
    <w:p w14:paraId="5B5F1718">
      <w:pPr>
        <w:ind w:firstLine="56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5）采购人具有督促、监督中标人按有关劳动法规为派驻采购人的工作人员办理劳动合同、社会保险及薪酬发放、个人所得税等权利。投标人应根据当地有关社保规定，缴纳工作人员的社会保险。若国家、省、市在缴纳期间有新的政策规定，则按新规定进行调整。</w:t>
      </w:r>
    </w:p>
    <w:p w14:paraId="6A05CDC8">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罚则</w:t>
      </w:r>
    </w:p>
    <w:p w14:paraId="7BB4583B">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因中标人工作人员故意或过失造成案件信息及材料缺失、损毁、丢失、修改、抽换、隐匿、伪造、复制、拍摄及破坏设备设施、违反规程造成重大影响、违反规定公开发布敏感信息造成重大影响的，一经查实，则视为中标人严重违约，</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有权终止合同，责令中标人赔偿损失，情节严重的依法追究其法律责任。</w:t>
      </w:r>
    </w:p>
    <w:p w14:paraId="50A9C2D3">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（2）若中标人在服务期一个月内违反其服务承诺或本招标文件的要求三次或以上，未造成严重损失的，</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有权拒绝支付本期项目服务费，并要求中标人赔偿损失。</w:t>
      </w:r>
    </w:p>
    <w:p w14:paraId="1BA3E80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（3）分期付款总额按考核结果支付，考核方法合同中具体约定。</w:t>
      </w:r>
    </w:p>
    <w:p w14:paraId="7A082F8C">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报价要求</w:t>
      </w:r>
    </w:p>
    <w:p w14:paraId="27150F1D">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服务期内，由中标人按中标价总价包干，投标报价应包括：服务期内所有项目工作人员人力成本费用、项目运营管理费用、一切税费（包括增值税）、培训费、与采购人同步加班费用、投标费用等全部费用。</w:t>
      </w:r>
    </w:p>
    <w:p w14:paraId="6DF18BBF">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（2）投标人必须承诺本次报价包括了与本次社会化服务采购项目相关的全部费用，不另向</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 xml:space="preserve">收费。中标价包含招标文件要求的采购人全年案件所有事务性工作。    </w:t>
      </w:r>
    </w:p>
    <w:p w14:paraId="668B11C6">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（3）根据项目工作内容要求以及全年案件量预估工作，进行整体报价。</w:t>
      </w:r>
    </w:p>
    <w:p w14:paraId="0035CEA5">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服务验收标准</w:t>
      </w:r>
    </w:p>
    <w:p w14:paraId="2B455121">
      <w:pPr>
        <w:ind w:firstLine="560"/>
        <w:rPr>
          <w:rFonts w:hint="eastAsia" w:ascii="宋体" w:hAnsi="宋体" w:eastAsia="宋体" w:cs="宋体"/>
          <w:color w:val="000000" w:themeColor="text1"/>
          <w14:textFill>
            <w14:solidFill>
              <w14:schemeClr w14:val="tx1"/>
            </w14:solidFill>
          </w14:textFill>
        </w:rPr>
      </w:pPr>
      <w:bookmarkStart w:id="2" w:name="_Toc296418446"/>
      <w:r>
        <w:rPr>
          <w:rFonts w:hint="eastAsia" w:ascii="宋体" w:hAnsi="宋体" w:eastAsia="宋体" w:cs="宋体"/>
          <w:color w:val="000000" w:themeColor="text1"/>
          <w14:textFill>
            <w14:solidFill>
              <w14:schemeClr w14:val="tx1"/>
            </w14:solidFill>
          </w14:textFill>
        </w:rPr>
        <w:t>（1）服务质量标准：中标人派驻人员按</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规定方法进行审判辅助事务社会化服务工作整理，所完成的项目绩效需达到</w:t>
      </w:r>
      <w:r>
        <w:rPr>
          <w:rFonts w:hint="eastAsia" w:ascii="宋体" w:hAnsi="宋体" w:eastAsia="宋体" w:cs="宋体"/>
          <w:bCs/>
          <w:color w:val="000000" w:themeColor="text1"/>
          <w14:textFill>
            <w14:solidFill>
              <w14:schemeClr w14:val="tx1"/>
            </w14:solidFill>
          </w14:textFill>
        </w:rPr>
        <w:t>采购人的</w:t>
      </w:r>
      <w:r>
        <w:rPr>
          <w:rFonts w:hint="eastAsia" w:ascii="宋体" w:hAnsi="宋体" w:eastAsia="宋体" w:cs="宋体"/>
          <w:color w:val="000000" w:themeColor="text1"/>
          <w14:textFill>
            <w14:solidFill>
              <w14:schemeClr w14:val="tx1"/>
            </w14:solidFill>
          </w14:textFill>
        </w:rPr>
        <w:t>要求。</w:t>
      </w:r>
    </w:p>
    <w:p w14:paraId="1D4639E1">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（2）业务量验收标准：中标人按</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要求按时按质完成工作任务。</w:t>
      </w:r>
    </w:p>
    <w:p w14:paraId="2A273B44">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（3）审判事务案件标准：完成全年案件事务性工作。</w:t>
      </w:r>
    </w:p>
    <w:p w14:paraId="3E1960F7">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（4）如遇对业务整理流程的调整，则提前一个月向中标人提供最新验收标准，中标人应按新标准按时完成工作。</w:t>
      </w:r>
    </w:p>
    <w:p w14:paraId="6EA9C596">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采购人配合条件</w:t>
      </w:r>
      <w:bookmarkEnd w:id="2"/>
    </w:p>
    <w:p w14:paraId="13BD785E">
      <w:pPr>
        <w:ind w:firstLine="5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投标人在投标文件中要列明在项目实施过程中要求</w:t>
      </w:r>
      <w:r>
        <w:rPr>
          <w:rFonts w:hint="eastAsia" w:ascii="宋体" w:hAnsi="宋体" w:eastAsia="宋体" w:cs="宋体"/>
          <w:bCs/>
          <w:color w:val="000000" w:themeColor="text1"/>
          <w14:textFill>
            <w14:solidFill>
              <w14:schemeClr w14:val="tx1"/>
            </w14:solidFill>
          </w14:textFill>
        </w:rPr>
        <w:t>采购人</w:t>
      </w:r>
      <w:r>
        <w:rPr>
          <w:rFonts w:hint="eastAsia" w:ascii="宋体" w:hAnsi="宋体" w:eastAsia="宋体" w:cs="宋体"/>
          <w:color w:val="000000" w:themeColor="text1"/>
          <w14:textFill>
            <w14:solidFill>
              <w14:schemeClr w14:val="tx1"/>
            </w14:solidFill>
          </w14:textFill>
        </w:rPr>
        <w:t>提供的配合条件。</w:t>
      </w:r>
    </w:p>
    <w:bookmarkEnd w:id="0"/>
    <w:bookmarkEnd w:id="1"/>
    <w:p w14:paraId="7606FFE6">
      <w:pPr>
        <w:ind w:firstLine="0" w:firstLineChars="0"/>
        <w:rPr>
          <w:rFonts w:hint="eastAsia" w:ascii="宋体" w:hAnsi="宋体" w:eastAsia="宋体" w:cs="宋体"/>
          <w:color w:val="000000" w:themeColor="text1"/>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486576"/>
      <w:docPartObj>
        <w:docPartGallery w:val="autotext"/>
      </w:docPartObj>
    </w:sdtPr>
    <w:sdtContent>
      <w:sdt>
        <w:sdtPr>
          <w:id w:val="860082579"/>
          <w:docPartObj>
            <w:docPartGallery w:val="autotext"/>
          </w:docPartObj>
        </w:sdtPr>
        <w:sdtContent>
          <w:p w14:paraId="3BADBE87">
            <w:pPr>
              <w:pStyle w:val="11"/>
              <w:ind w:firstLine="360"/>
              <w:jc w:val="right"/>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14:paraId="177102E8">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39B7">
    <w:pPr>
      <w:pStyle w:val="1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729B">
    <w:pPr>
      <w:pStyle w:val="11"/>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1BEB">
    <w:pPr>
      <w:ind w:firstLine="560"/>
      <w:rPr>
        <w:rFonts w:hint="eastAsia"/>
      </w:rP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E3921">
    <w:pPr>
      <w:pStyle w:val="1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2FDE1">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9"/>
      <w:suff w:val="nothing"/>
      <w:lvlText w:val="%1　"/>
      <w:lvlJc w:val="left"/>
      <w:pPr>
        <w:ind w:left="315"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354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A2D5525"/>
    <w:multiLevelType w:val="multilevel"/>
    <w:tmpl w:val="7A2D5525"/>
    <w:lvl w:ilvl="0" w:tentative="0">
      <w:start w:val="1"/>
      <w:numFmt w:val="chineseCountingThousand"/>
      <w:pStyle w:val="2"/>
      <w:suff w:val="space"/>
      <w:lvlText w:val="%1、"/>
      <w:lvlJc w:val="left"/>
      <w:pPr>
        <w:ind w:left="0" w:firstLine="0"/>
      </w:pPr>
      <w:rPr>
        <w:rFonts w:hint="eastAsia"/>
        <w:b/>
        <w:bCs/>
        <w:sz w:val="32"/>
      </w:rPr>
    </w:lvl>
    <w:lvl w:ilvl="1" w:tentative="0">
      <w:start w:val="1"/>
      <w:numFmt w:val="decimal"/>
      <w:pStyle w:val="3"/>
      <w:suff w:val="space"/>
      <w:lvlText w:val="%2"/>
      <w:lvlJc w:val="left"/>
      <w:pPr>
        <w:ind w:left="0" w:firstLine="0"/>
      </w:pPr>
      <w:rPr>
        <w:rFonts w:hint="eastAsia"/>
      </w:rPr>
    </w:lvl>
    <w:lvl w:ilvl="2" w:tentative="0">
      <w:start w:val="1"/>
      <w:numFmt w:val="decimal"/>
      <w:pStyle w:val="4"/>
      <w:suff w:val="space"/>
      <w:lvlText w:val="%2.%3"/>
      <w:lvlJc w:val="left"/>
      <w:pPr>
        <w:ind w:left="0" w:firstLine="0"/>
      </w:pPr>
      <w:rPr>
        <w:rFonts w:hint="eastAsia"/>
      </w:rPr>
    </w:lvl>
    <w:lvl w:ilvl="3" w:tentative="0">
      <w:start w:val="1"/>
      <w:numFmt w:val="decimal"/>
      <w:pStyle w:val="5"/>
      <w:suff w:val="space"/>
      <w:lvlText w:val="%2.%3.%4"/>
      <w:lvlJc w:val="left"/>
      <w:pPr>
        <w:ind w:left="0" w:firstLine="0"/>
      </w:pPr>
      <w:rPr>
        <w:rFonts w:hint="eastAsia"/>
      </w:rPr>
    </w:lvl>
    <w:lvl w:ilvl="4" w:tentative="0">
      <w:start w:val="1"/>
      <w:numFmt w:val="decimal"/>
      <w:pStyle w:val="6"/>
      <w:suff w:val="space"/>
      <w:lvlText w:val="%2.%3.%4.%5"/>
      <w:lvlJc w:val="left"/>
      <w:pPr>
        <w:ind w:left="0" w:firstLine="0"/>
      </w:pPr>
      <w:rPr>
        <w:rFonts w:hint="eastAsia"/>
      </w:rPr>
    </w:lvl>
    <w:lvl w:ilvl="5" w:tentative="0">
      <w:start w:val="1"/>
      <w:numFmt w:val="decimal"/>
      <w:pStyle w:val="7"/>
      <w:suff w:val="space"/>
      <w:lvlText w:val="%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86"/>
    <w:rsid w:val="0002432F"/>
    <w:rsid w:val="00044FD2"/>
    <w:rsid w:val="0004783C"/>
    <w:rsid w:val="000608F8"/>
    <w:rsid w:val="000925D3"/>
    <w:rsid w:val="00096D13"/>
    <w:rsid w:val="000A1827"/>
    <w:rsid w:val="000A615D"/>
    <w:rsid w:val="000A6AAF"/>
    <w:rsid w:val="000B7404"/>
    <w:rsid w:val="000C04F6"/>
    <w:rsid w:val="000C63A2"/>
    <w:rsid w:val="000D40E8"/>
    <w:rsid w:val="00116722"/>
    <w:rsid w:val="0011749E"/>
    <w:rsid w:val="00117A12"/>
    <w:rsid w:val="00123F21"/>
    <w:rsid w:val="00130BF9"/>
    <w:rsid w:val="0013198C"/>
    <w:rsid w:val="001406E8"/>
    <w:rsid w:val="00153A48"/>
    <w:rsid w:val="001673E7"/>
    <w:rsid w:val="00186167"/>
    <w:rsid w:val="00193DC0"/>
    <w:rsid w:val="001A18E7"/>
    <w:rsid w:val="001A22F6"/>
    <w:rsid w:val="001A7C15"/>
    <w:rsid w:val="001B14AA"/>
    <w:rsid w:val="001C5EAD"/>
    <w:rsid w:val="001D0E61"/>
    <w:rsid w:val="001E67EE"/>
    <w:rsid w:val="00207B39"/>
    <w:rsid w:val="00211E8E"/>
    <w:rsid w:val="00220264"/>
    <w:rsid w:val="0022228E"/>
    <w:rsid w:val="002238D6"/>
    <w:rsid w:val="002349CB"/>
    <w:rsid w:val="00235AE6"/>
    <w:rsid w:val="00237751"/>
    <w:rsid w:val="0024393B"/>
    <w:rsid w:val="002551FA"/>
    <w:rsid w:val="00281013"/>
    <w:rsid w:val="00281C84"/>
    <w:rsid w:val="00290D3A"/>
    <w:rsid w:val="002A5C95"/>
    <w:rsid w:val="002A7656"/>
    <w:rsid w:val="002B3C7D"/>
    <w:rsid w:val="002B4368"/>
    <w:rsid w:val="002D17BB"/>
    <w:rsid w:val="002D6D88"/>
    <w:rsid w:val="002F2A4E"/>
    <w:rsid w:val="00306BBA"/>
    <w:rsid w:val="00310082"/>
    <w:rsid w:val="003336A9"/>
    <w:rsid w:val="00340A08"/>
    <w:rsid w:val="0035232D"/>
    <w:rsid w:val="00352BFF"/>
    <w:rsid w:val="00362A03"/>
    <w:rsid w:val="00366CA6"/>
    <w:rsid w:val="00372B88"/>
    <w:rsid w:val="00396BCA"/>
    <w:rsid w:val="003A21DC"/>
    <w:rsid w:val="003B0D7E"/>
    <w:rsid w:val="003E2952"/>
    <w:rsid w:val="003F3B24"/>
    <w:rsid w:val="004468D5"/>
    <w:rsid w:val="0045717B"/>
    <w:rsid w:val="00457E3F"/>
    <w:rsid w:val="00461C58"/>
    <w:rsid w:val="00463636"/>
    <w:rsid w:val="004720A3"/>
    <w:rsid w:val="00472F3A"/>
    <w:rsid w:val="00477873"/>
    <w:rsid w:val="00477ABB"/>
    <w:rsid w:val="00492C17"/>
    <w:rsid w:val="004A2CF1"/>
    <w:rsid w:val="004A60C1"/>
    <w:rsid w:val="004B4204"/>
    <w:rsid w:val="004C53F5"/>
    <w:rsid w:val="004D0BE4"/>
    <w:rsid w:val="004E081E"/>
    <w:rsid w:val="004E586D"/>
    <w:rsid w:val="0050620E"/>
    <w:rsid w:val="00512676"/>
    <w:rsid w:val="0053254A"/>
    <w:rsid w:val="0054125B"/>
    <w:rsid w:val="00564677"/>
    <w:rsid w:val="00572295"/>
    <w:rsid w:val="00574131"/>
    <w:rsid w:val="005773DB"/>
    <w:rsid w:val="00577C44"/>
    <w:rsid w:val="00582BFC"/>
    <w:rsid w:val="005875A7"/>
    <w:rsid w:val="00587B14"/>
    <w:rsid w:val="00592437"/>
    <w:rsid w:val="005A018B"/>
    <w:rsid w:val="005A5D5E"/>
    <w:rsid w:val="005A6E43"/>
    <w:rsid w:val="005A7A2F"/>
    <w:rsid w:val="005B5ABE"/>
    <w:rsid w:val="005D010B"/>
    <w:rsid w:val="005E2913"/>
    <w:rsid w:val="005F16E5"/>
    <w:rsid w:val="006020E7"/>
    <w:rsid w:val="006023BF"/>
    <w:rsid w:val="0061127D"/>
    <w:rsid w:val="00632B2D"/>
    <w:rsid w:val="00634095"/>
    <w:rsid w:val="00634837"/>
    <w:rsid w:val="00641D6E"/>
    <w:rsid w:val="00661B2C"/>
    <w:rsid w:val="0066276A"/>
    <w:rsid w:val="0069411A"/>
    <w:rsid w:val="006A23CD"/>
    <w:rsid w:val="006A3EDC"/>
    <w:rsid w:val="006A5A30"/>
    <w:rsid w:val="006C77D8"/>
    <w:rsid w:val="006E28DD"/>
    <w:rsid w:val="006E7BBC"/>
    <w:rsid w:val="006F370A"/>
    <w:rsid w:val="006F5209"/>
    <w:rsid w:val="006F61D0"/>
    <w:rsid w:val="0070079B"/>
    <w:rsid w:val="007035ED"/>
    <w:rsid w:val="00704B46"/>
    <w:rsid w:val="00710A9F"/>
    <w:rsid w:val="00731BA5"/>
    <w:rsid w:val="00735ED0"/>
    <w:rsid w:val="0074619A"/>
    <w:rsid w:val="0074622A"/>
    <w:rsid w:val="00760E88"/>
    <w:rsid w:val="00764E57"/>
    <w:rsid w:val="00771531"/>
    <w:rsid w:val="00772BD6"/>
    <w:rsid w:val="007750D9"/>
    <w:rsid w:val="0078347F"/>
    <w:rsid w:val="00791EDE"/>
    <w:rsid w:val="007A74EE"/>
    <w:rsid w:val="007B38FC"/>
    <w:rsid w:val="007C062D"/>
    <w:rsid w:val="007D0E9B"/>
    <w:rsid w:val="007D5900"/>
    <w:rsid w:val="007E23BA"/>
    <w:rsid w:val="0080136B"/>
    <w:rsid w:val="00803A47"/>
    <w:rsid w:val="00825FE3"/>
    <w:rsid w:val="00844DAB"/>
    <w:rsid w:val="00857313"/>
    <w:rsid w:val="00865CDD"/>
    <w:rsid w:val="008669C3"/>
    <w:rsid w:val="008921A3"/>
    <w:rsid w:val="00895627"/>
    <w:rsid w:val="008A019C"/>
    <w:rsid w:val="008A78BC"/>
    <w:rsid w:val="008B473F"/>
    <w:rsid w:val="008B7289"/>
    <w:rsid w:val="008C5D11"/>
    <w:rsid w:val="008F649D"/>
    <w:rsid w:val="009021BE"/>
    <w:rsid w:val="009139AB"/>
    <w:rsid w:val="00921D06"/>
    <w:rsid w:val="00930902"/>
    <w:rsid w:val="00942AA6"/>
    <w:rsid w:val="009556B5"/>
    <w:rsid w:val="00960A2E"/>
    <w:rsid w:val="00973F64"/>
    <w:rsid w:val="00973FA1"/>
    <w:rsid w:val="00981D4E"/>
    <w:rsid w:val="00991430"/>
    <w:rsid w:val="0099358E"/>
    <w:rsid w:val="009B508E"/>
    <w:rsid w:val="009D7AC0"/>
    <w:rsid w:val="00A171AB"/>
    <w:rsid w:val="00A225A6"/>
    <w:rsid w:val="00A30989"/>
    <w:rsid w:val="00A40EA0"/>
    <w:rsid w:val="00A54ED0"/>
    <w:rsid w:val="00A55835"/>
    <w:rsid w:val="00A65E1C"/>
    <w:rsid w:val="00A70819"/>
    <w:rsid w:val="00A712FC"/>
    <w:rsid w:val="00AB3D0E"/>
    <w:rsid w:val="00AB49DC"/>
    <w:rsid w:val="00AD4F20"/>
    <w:rsid w:val="00AE37AF"/>
    <w:rsid w:val="00AF130B"/>
    <w:rsid w:val="00B07B0F"/>
    <w:rsid w:val="00B12603"/>
    <w:rsid w:val="00B30089"/>
    <w:rsid w:val="00B376DE"/>
    <w:rsid w:val="00B60495"/>
    <w:rsid w:val="00B66050"/>
    <w:rsid w:val="00B83653"/>
    <w:rsid w:val="00B84DB4"/>
    <w:rsid w:val="00B96916"/>
    <w:rsid w:val="00B9721B"/>
    <w:rsid w:val="00BA0C81"/>
    <w:rsid w:val="00BA26DC"/>
    <w:rsid w:val="00BC605F"/>
    <w:rsid w:val="00BD0C19"/>
    <w:rsid w:val="00BD19CD"/>
    <w:rsid w:val="00BD2354"/>
    <w:rsid w:val="00BF0EE1"/>
    <w:rsid w:val="00C06575"/>
    <w:rsid w:val="00C23CDC"/>
    <w:rsid w:val="00C42214"/>
    <w:rsid w:val="00C5155D"/>
    <w:rsid w:val="00C51F45"/>
    <w:rsid w:val="00C54127"/>
    <w:rsid w:val="00C60CDA"/>
    <w:rsid w:val="00C86AF0"/>
    <w:rsid w:val="00C9339E"/>
    <w:rsid w:val="00C96E16"/>
    <w:rsid w:val="00CA2A87"/>
    <w:rsid w:val="00CA2F57"/>
    <w:rsid w:val="00CB2D46"/>
    <w:rsid w:val="00CB3FFA"/>
    <w:rsid w:val="00CB74DE"/>
    <w:rsid w:val="00CC4D9F"/>
    <w:rsid w:val="00CC5192"/>
    <w:rsid w:val="00CD16FC"/>
    <w:rsid w:val="00CD2114"/>
    <w:rsid w:val="00D04E68"/>
    <w:rsid w:val="00D15027"/>
    <w:rsid w:val="00D224D5"/>
    <w:rsid w:val="00D25E0D"/>
    <w:rsid w:val="00D417CE"/>
    <w:rsid w:val="00D4749E"/>
    <w:rsid w:val="00D5118D"/>
    <w:rsid w:val="00D60286"/>
    <w:rsid w:val="00D70FC8"/>
    <w:rsid w:val="00D72D8F"/>
    <w:rsid w:val="00D81464"/>
    <w:rsid w:val="00D90099"/>
    <w:rsid w:val="00D93B1C"/>
    <w:rsid w:val="00DA066D"/>
    <w:rsid w:val="00DB0000"/>
    <w:rsid w:val="00DC0539"/>
    <w:rsid w:val="00DC2024"/>
    <w:rsid w:val="00DC241C"/>
    <w:rsid w:val="00DD2315"/>
    <w:rsid w:val="00DD5BF6"/>
    <w:rsid w:val="00DE08EE"/>
    <w:rsid w:val="00DE108D"/>
    <w:rsid w:val="00DF2ABB"/>
    <w:rsid w:val="00E0022E"/>
    <w:rsid w:val="00E061E6"/>
    <w:rsid w:val="00E079A1"/>
    <w:rsid w:val="00E11159"/>
    <w:rsid w:val="00E1495A"/>
    <w:rsid w:val="00E17F65"/>
    <w:rsid w:val="00E20B75"/>
    <w:rsid w:val="00E21DF0"/>
    <w:rsid w:val="00E335BB"/>
    <w:rsid w:val="00E44A3E"/>
    <w:rsid w:val="00E510A3"/>
    <w:rsid w:val="00E57110"/>
    <w:rsid w:val="00E90D3B"/>
    <w:rsid w:val="00EA142B"/>
    <w:rsid w:val="00EB1117"/>
    <w:rsid w:val="00EB21F0"/>
    <w:rsid w:val="00EB594E"/>
    <w:rsid w:val="00EB799E"/>
    <w:rsid w:val="00EC1293"/>
    <w:rsid w:val="00EC4F58"/>
    <w:rsid w:val="00EF0143"/>
    <w:rsid w:val="00F030DE"/>
    <w:rsid w:val="00F05691"/>
    <w:rsid w:val="00F07963"/>
    <w:rsid w:val="00F13308"/>
    <w:rsid w:val="00F22809"/>
    <w:rsid w:val="00F2501B"/>
    <w:rsid w:val="00F32245"/>
    <w:rsid w:val="00F455CD"/>
    <w:rsid w:val="00FA554F"/>
    <w:rsid w:val="00FA630B"/>
    <w:rsid w:val="00FC2D04"/>
    <w:rsid w:val="00FF0F5F"/>
    <w:rsid w:val="00FF17CE"/>
    <w:rsid w:val="00FF3390"/>
    <w:rsid w:val="087A3D63"/>
    <w:rsid w:val="0E5C1B6B"/>
    <w:rsid w:val="34DA2EBF"/>
    <w:rsid w:val="40BE5F24"/>
    <w:rsid w:val="46C4730A"/>
    <w:rsid w:val="532258ED"/>
    <w:rsid w:val="5DF11787"/>
    <w:rsid w:val="70B13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0"/>
    <w:pPr>
      <w:widowControl w:val="0"/>
      <w:adjustRightInd w:val="0"/>
      <w:snapToGrid w:val="0"/>
      <w:spacing w:line="360" w:lineRule="auto"/>
      <w:ind w:firstLine="200" w:firstLineChars="200"/>
      <w:jc w:val="both"/>
    </w:pPr>
    <w:rPr>
      <w:rFonts w:eastAsia="仿宋" w:asciiTheme="minorHAnsi" w:hAnsiTheme="minorHAnsi" w:cstheme="minorBidi"/>
      <w:kern w:val="2"/>
      <w:sz w:val="28"/>
      <w:szCs w:val="21"/>
      <w:lang w:val="en-US" w:eastAsia="zh-CN" w:bidi="ar-SA"/>
    </w:rPr>
  </w:style>
  <w:style w:type="paragraph" w:styleId="2">
    <w:name w:val="heading 1"/>
    <w:basedOn w:val="1"/>
    <w:next w:val="1"/>
    <w:link w:val="19"/>
    <w:qFormat/>
    <w:uiPriority w:val="9"/>
    <w:pPr>
      <w:keepNext/>
      <w:keepLines/>
      <w:numPr>
        <w:ilvl w:val="0"/>
        <w:numId w:val="1"/>
      </w:numPr>
      <w:spacing w:before="120" w:after="120"/>
      <w:ind w:firstLineChars="0"/>
      <w:outlineLvl w:val="0"/>
    </w:pPr>
    <w:rPr>
      <w:rFonts w:eastAsia="黑体"/>
      <w:b/>
      <w:bCs/>
      <w:kern w:val="44"/>
      <w:sz w:val="32"/>
      <w:szCs w:val="44"/>
    </w:rPr>
  </w:style>
  <w:style w:type="paragraph" w:styleId="3">
    <w:name w:val="heading 2"/>
    <w:basedOn w:val="1"/>
    <w:next w:val="1"/>
    <w:link w:val="20"/>
    <w:unhideWhenUsed/>
    <w:qFormat/>
    <w:uiPriority w:val="9"/>
    <w:pPr>
      <w:keepNext/>
      <w:keepLines/>
      <w:numPr>
        <w:ilvl w:val="1"/>
        <w:numId w:val="1"/>
      </w:numPr>
      <w:spacing w:before="120" w:after="120"/>
      <w:ind w:firstLineChars="0"/>
      <w:outlineLvl w:val="1"/>
    </w:pPr>
    <w:rPr>
      <w:rFonts w:eastAsia="黑体" w:cstheme="majorBidi"/>
      <w:b/>
      <w:bCs/>
      <w:sz w:val="30"/>
      <w:szCs w:val="32"/>
    </w:rPr>
  </w:style>
  <w:style w:type="paragraph" w:styleId="4">
    <w:name w:val="heading 3"/>
    <w:basedOn w:val="1"/>
    <w:next w:val="1"/>
    <w:link w:val="21"/>
    <w:unhideWhenUsed/>
    <w:qFormat/>
    <w:uiPriority w:val="9"/>
    <w:pPr>
      <w:keepNext/>
      <w:keepLines/>
      <w:numPr>
        <w:ilvl w:val="2"/>
        <w:numId w:val="1"/>
      </w:numPr>
      <w:spacing w:before="120" w:after="120"/>
      <w:ind w:firstLineChars="0"/>
      <w:outlineLvl w:val="2"/>
    </w:pPr>
    <w:rPr>
      <w:rFonts w:eastAsia="黑体"/>
      <w:b/>
      <w:bCs/>
      <w:sz w:val="30"/>
      <w:szCs w:val="32"/>
    </w:rPr>
  </w:style>
  <w:style w:type="paragraph" w:styleId="5">
    <w:name w:val="heading 4"/>
    <w:basedOn w:val="4"/>
    <w:next w:val="1"/>
    <w:link w:val="22"/>
    <w:unhideWhenUsed/>
    <w:qFormat/>
    <w:uiPriority w:val="9"/>
    <w:pPr>
      <w:numPr>
        <w:ilvl w:val="3"/>
      </w:numPr>
      <w:outlineLvl w:val="3"/>
    </w:pPr>
    <w:rPr>
      <w:sz w:val="28"/>
    </w:rPr>
  </w:style>
  <w:style w:type="paragraph" w:styleId="6">
    <w:name w:val="heading 5"/>
    <w:basedOn w:val="1"/>
    <w:next w:val="1"/>
    <w:link w:val="23"/>
    <w:unhideWhenUsed/>
    <w:qFormat/>
    <w:uiPriority w:val="9"/>
    <w:pPr>
      <w:keepNext/>
      <w:keepLines/>
      <w:numPr>
        <w:ilvl w:val="4"/>
        <w:numId w:val="1"/>
      </w:numPr>
      <w:spacing w:before="120" w:after="120"/>
      <w:ind w:firstLineChars="0"/>
      <w:outlineLvl w:val="4"/>
    </w:pPr>
    <w:rPr>
      <w:rFonts w:eastAsia="黑体"/>
      <w:b/>
      <w:bCs/>
      <w:szCs w:val="28"/>
    </w:rPr>
  </w:style>
  <w:style w:type="paragraph" w:styleId="7">
    <w:name w:val="heading 6"/>
    <w:basedOn w:val="1"/>
    <w:next w:val="1"/>
    <w:link w:val="24"/>
    <w:unhideWhenUsed/>
    <w:qFormat/>
    <w:uiPriority w:val="9"/>
    <w:pPr>
      <w:keepNext/>
      <w:keepLines/>
      <w:numPr>
        <w:ilvl w:val="5"/>
        <w:numId w:val="1"/>
      </w:numPr>
      <w:spacing w:before="240" w:after="120"/>
      <w:ind w:firstLineChars="0"/>
      <w:outlineLvl w:val="5"/>
    </w:pPr>
    <w:rPr>
      <w:rFonts w:eastAsia="黑体" w:cstheme="majorBidi"/>
      <w:b/>
      <w:bCs/>
      <w:szCs w:val="24"/>
    </w:rPr>
  </w:style>
  <w:style w:type="paragraph" w:styleId="8">
    <w:name w:val="heading 7"/>
    <w:basedOn w:val="1"/>
    <w:next w:val="1"/>
    <w:link w:val="29"/>
    <w:unhideWhenUsed/>
    <w:qFormat/>
    <w:uiPriority w:val="9"/>
    <w:pPr>
      <w:keepNext/>
      <w:keepLines/>
      <w:spacing w:before="240" w:after="64" w:line="320" w:lineRule="auto"/>
      <w:outlineLvl w:val="6"/>
    </w:pPr>
    <w:rPr>
      <w:b/>
      <w:bCs/>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9">
    <w:name w:val="Body Text"/>
    <w:basedOn w:val="1"/>
    <w:link w:val="32"/>
    <w:unhideWhenUsed/>
    <w:qFormat/>
    <w:uiPriority w:val="0"/>
    <w:pPr>
      <w:adjustRightInd/>
      <w:snapToGrid/>
      <w:ind w:firstLine="0" w:firstLineChars="0"/>
    </w:pPr>
    <w:rPr>
      <w:rFonts w:ascii="Times New Roman" w:hAnsi="Times New Roman" w:eastAsia="宋体" w:cs="Times New Roman"/>
      <w:sz w:val="21"/>
      <w:szCs w:val="20"/>
    </w:rPr>
  </w:style>
  <w:style w:type="paragraph" w:styleId="10">
    <w:name w:val="Body Text Indent"/>
    <w:basedOn w:val="1"/>
    <w:link w:val="30"/>
    <w:semiHidden/>
    <w:unhideWhenUsed/>
    <w:qFormat/>
    <w:uiPriority w:val="99"/>
    <w:pPr>
      <w:spacing w:after="120"/>
      <w:ind w:left="420" w:leftChars="200"/>
    </w:pPr>
  </w:style>
  <w:style w:type="paragraph" w:styleId="11">
    <w:name w:val="footer"/>
    <w:basedOn w:val="1"/>
    <w:link w:val="27"/>
    <w:unhideWhenUsed/>
    <w:qFormat/>
    <w:uiPriority w:val="99"/>
    <w:pPr>
      <w:tabs>
        <w:tab w:val="center" w:pos="4153"/>
        <w:tab w:val="right" w:pos="8306"/>
      </w:tabs>
      <w:spacing w:line="240" w:lineRule="auto"/>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3">
    <w:name w:val="Normal (Web)"/>
    <w:basedOn w:val="1"/>
    <w:semiHidden/>
    <w:unhideWhenUsed/>
    <w:uiPriority w:val="99"/>
    <w:rPr>
      <w:sz w:val="24"/>
    </w:rPr>
  </w:style>
  <w:style w:type="paragraph" w:styleId="14">
    <w:name w:val="Body Text First Indent 2"/>
    <w:basedOn w:val="10"/>
    <w:link w:val="31"/>
    <w:qFormat/>
    <w:uiPriority w:val="99"/>
    <w:pPr>
      <w:adjustRightInd/>
      <w:snapToGrid/>
      <w:spacing w:after="0"/>
      <w:ind w:left="0" w:leftChars="0" w:firstLine="420"/>
    </w:pPr>
    <w:rPr>
      <w:rFonts w:ascii="宋体" w:hAnsi="宋体" w:eastAsia="宋体" w:cs="宋体"/>
      <w:sz w:val="21"/>
      <w:szCs w:val="22"/>
    </w:rPr>
  </w:style>
  <w:style w:type="table" w:styleId="16">
    <w:name w:val="Table Grid"/>
    <w:basedOn w:val="1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333333"/>
      <w:u w:val="none"/>
    </w:rPr>
  </w:style>
  <w:style w:type="character" w:customStyle="1" w:styleId="19">
    <w:name w:val="标题 1 字符"/>
    <w:basedOn w:val="17"/>
    <w:link w:val="2"/>
    <w:qFormat/>
    <w:uiPriority w:val="9"/>
    <w:rPr>
      <w:rFonts w:eastAsia="黑体"/>
      <w:b/>
      <w:bCs/>
      <w:kern w:val="44"/>
      <w:sz w:val="32"/>
      <w:szCs w:val="44"/>
    </w:rPr>
  </w:style>
  <w:style w:type="character" w:customStyle="1" w:styleId="20">
    <w:name w:val="标题 2 字符"/>
    <w:basedOn w:val="17"/>
    <w:link w:val="3"/>
    <w:qFormat/>
    <w:uiPriority w:val="9"/>
    <w:rPr>
      <w:rFonts w:eastAsia="黑体" w:cstheme="majorBidi"/>
      <w:b/>
      <w:bCs/>
      <w:sz w:val="30"/>
      <w:szCs w:val="32"/>
    </w:rPr>
  </w:style>
  <w:style w:type="character" w:customStyle="1" w:styleId="21">
    <w:name w:val="标题 3 字符"/>
    <w:basedOn w:val="17"/>
    <w:link w:val="4"/>
    <w:qFormat/>
    <w:uiPriority w:val="9"/>
    <w:rPr>
      <w:rFonts w:eastAsia="黑体"/>
      <w:b/>
      <w:bCs/>
      <w:sz w:val="30"/>
      <w:szCs w:val="32"/>
    </w:rPr>
  </w:style>
  <w:style w:type="character" w:customStyle="1" w:styleId="22">
    <w:name w:val="标题 4 字符"/>
    <w:basedOn w:val="17"/>
    <w:link w:val="5"/>
    <w:qFormat/>
    <w:uiPriority w:val="9"/>
    <w:rPr>
      <w:rFonts w:eastAsia="黑体"/>
      <w:b/>
      <w:bCs/>
      <w:sz w:val="28"/>
      <w:szCs w:val="32"/>
    </w:rPr>
  </w:style>
  <w:style w:type="character" w:customStyle="1" w:styleId="23">
    <w:name w:val="标题 5 字符"/>
    <w:basedOn w:val="17"/>
    <w:link w:val="6"/>
    <w:qFormat/>
    <w:uiPriority w:val="9"/>
    <w:rPr>
      <w:rFonts w:eastAsia="黑体"/>
      <w:b/>
      <w:bCs/>
      <w:sz w:val="28"/>
      <w:szCs w:val="28"/>
    </w:rPr>
  </w:style>
  <w:style w:type="character" w:customStyle="1" w:styleId="24">
    <w:name w:val="标题 6 字符"/>
    <w:basedOn w:val="17"/>
    <w:link w:val="7"/>
    <w:qFormat/>
    <w:uiPriority w:val="9"/>
    <w:rPr>
      <w:rFonts w:eastAsia="黑体" w:cstheme="majorBidi"/>
      <w:b/>
      <w:bCs/>
      <w:sz w:val="24"/>
      <w:szCs w:val="24"/>
    </w:rPr>
  </w:style>
  <w:style w:type="paragraph" w:styleId="25">
    <w:name w:val="No Spacing"/>
    <w:qFormat/>
    <w:uiPriority w:val="1"/>
    <w:pPr>
      <w:widowControl w:val="0"/>
      <w:adjustRightInd w:val="0"/>
      <w:snapToGrid w:val="0"/>
      <w:ind w:firstLine="200" w:firstLineChars="200"/>
      <w:jc w:val="both"/>
    </w:pPr>
    <w:rPr>
      <w:rFonts w:eastAsia="仿宋" w:asciiTheme="minorHAnsi" w:hAnsiTheme="minorHAnsi" w:cstheme="minorBidi"/>
      <w:kern w:val="2"/>
      <w:sz w:val="24"/>
      <w:szCs w:val="21"/>
      <w:lang w:val="en-US" w:eastAsia="zh-CN" w:bidi="ar-SA"/>
    </w:rPr>
  </w:style>
  <w:style w:type="character" w:customStyle="1" w:styleId="26">
    <w:name w:val="页眉 字符"/>
    <w:basedOn w:val="17"/>
    <w:link w:val="12"/>
    <w:qFormat/>
    <w:uiPriority w:val="99"/>
    <w:rPr>
      <w:rFonts w:eastAsia="仿宋"/>
      <w:sz w:val="18"/>
      <w:szCs w:val="18"/>
    </w:rPr>
  </w:style>
  <w:style w:type="character" w:customStyle="1" w:styleId="27">
    <w:name w:val="页脚 字符"/>
    <w:basedOn w:val="17"/>
    <w:link w:val="11"/>
    <w:qFormat/>
    <w:uiPriority w:val="99"/>
    <w:rPr>
      <w:rFonts w:eastAsia="仿宋"/>
      <w:sz w:val="18"/>
      <w:szCs w:val="18"/>
    </w:rPr>
  </w:style>
  <w:style w:type="paragraph" w:styleId="28">
    <w:name w:val="List Paragraph"/>
    <w:basedOn w:val="1"/>
    <w:link w:val="36"/>
    <w:qFormat/>
    <w:uiPriority w:val="34"/>
    <w:pPr>
      <w:ind w:firstLine="0" w:firstLineChars="0"/>
    </w:pPr>
    <w:rPr>
      <w:sz w:val="24"/>
    </w:rPr>
  </w:style>
  <w:style w:type="character" w:customStyle="1" w:styleId="29">
    <w:name w:val="标题 7 字符"/>
    <w:basedOn w:val="17"/>
    <w:link w:val="8"/>
    <w:qFormat/>
    <w:uiPriority w:val="9"/>
    <w:rPr>
      <w:rFonts w:eastAsia="仿宋"/>
      <w:b/>
      <w:bCs/>
      <w:sz w:val="24"/>
      <w:szCs w:val="24"/>
    </w:rPr>
  </w:style>
  <w:style w:type="character" w:customStyle="1" w:styleId="30">
    <w:name w:val="正文文本缩进 字符"/>
    <w:basedOn w:val="17"/>
    <w:link w:val="10"/>
    <w:semiHidden/>
    <w:qFormat/>
    <w:uiPriority w:val="99"/>
    <w:rPr>
      <w:rFonts w:eastAsia="仿宋"/>
      <w:sz w:val="28"/>
    </w:rPr>
  </w:style>
  <w:style w:type="character" w:customStyle="1" w:styleId="31">
    <w:name w:val="正文文本首行缩进 2 字符"/>
    <w:basedOn w:val="30"/>
    <w:link w:val="14"/>
    <w:qFormat/>
    <w:uiPriority w:val="99"/>
    <w:rPr>
      <w:rFonts w:ascii="宋体" w:hAnsi="宋体" w:eastAsia="宋体" w:cs="宋体"/>
      <w:sz w:val="28"/>
      <w:szCs w:val="22"/>
    </w:rPr>
  </w:style>
  <w:style w:type="character" w:customStyle="1" w:styleId="32">
    <w:name w:val="正文文本 字符"/>
    <w:basedOn w:val="17"/>
    <w:link w:val="9"/>
    <w:qFormat/>
    <w:uiPriority w:val="0"/>
    <w:rPr>
      <w:rFonts w:ascii="Times New Roman" w:hAnsi="Times New Roman" w:eastAsia="宋体" w:cs="Times New Roman"/>
      <w:szCs w:val="20"/>
    </w:rPr>
  </w:style>
  <w:style w:type="paragraph" w:customStyle="1" w:styleId="33">
    <w:name w:val="正文文本缩进_0"/>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Times New Roman"/>
      <w:sz w:val="24"/>
      <w:szCs w:val="22"/>
    </w:rPr>
  </w:style>
  <w:style w:type="paragraph" w:customStyle="1" w:styleId="34">
    <w:name w:val="正文2"/>
    <w:basedOn w:val="1"/>
    <w:qFormat/>
    <w:uiPriority w:val="0"/>
    <w:pPr>
      <w:widowControl/>
      <w:adjustRightInd/>
      <w:snapToGrid/>
      <w:spacing w:line="240" w:lineRule="auto"/>
      <w:ind w:firstLine="0" w:firstLineChars="0"/>
      <w:jc w:val="left"/>
    </w:pPr>
    <w:rPr>
      <w:rFonts w:ascii="Calibri" w:hAnsi="Calibri" w:eastAsia="Times New Roman" w:cs="Times New Roman"/>
      <w:kern w:val="0"/>
      <w:sz w:val="24"/>
      <w:szCs w:val="24"/>
    </w:rPr>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character" w:customStyle="1" w:styleId="36">
    <w:name w:val="列表段落 字符"/>
    <w:link w:val="28"/>
    <w:qFormat/>
    <w:uiPriority w:val="0"/>
    <w:rPr>
      <w:rFonts w:eastAsia="仿宋"/>
      <w:sz w:val="24"/>
    </w:rPr>
  </w:style>
  <w:style w:type="paragraph" w:customStyle="1" w:styleId="37">
    <w:name w:val="列表段落1"/>
    <w:basedOn w:val="1"/>
    <w:unhideWhenUsed/>
    <w:qFormat/>
    <w:uiPriority w:val="99"/>
    <w:pPr>
      <w:widowControl/>
      <w:adjustRightInd/>
      <w:snapToGrid/>
      <w:spacing w:line="240" w:lineRule="auto"/>
      <w:ind w:firstLine="420" w:firstLineChars="0"/>
      <w:jc w:val="left"/>
    </w:pPr>
    <w:rPr>
      <w:rFonts w:hint="eastAsia" w:ascii="Calibri" w:hAnsi="Calibri" w:eastAsia="宋体" w:cs="Times New Roman"/>
      <w:kern w:val="0"/>
      <w:sz w:val="20"/>
      <w:szCs w:val="20"/>
    </w:rPr>
  </w:style>
  <w:style w:type="paragraph" w:customStyle="1" w:styleId="38">
    <w:name w:val="一级条标题"/>
    <w:next w:val="1"/>
    <w:qFormat/>
    <w:uiPriority w:val="0"/>
    <w:pPr>
      <w:numPr>
        <w:ilvl w:val="1"/>
        <w:numId w:val="2"/>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9">
    <w:name w:val="章标题"/>
    <w:next w:val="1"/>
    <w:qFormat/>
    <w:uiPriority w:val="0"/>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4198</Words>
  <Characters>4219</Characters>
  <Lines>98</Lines>
  <Paragraphs>27</Paragraphs>
  <TotalTime>42</TotalTime>
  <ScaleCrop>false</ScaleCrop>
  <LinksUpToDate>false</LinksUpToDate>
  <CharactersWithSpaces>4223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2025-06-19T06:34:00Z</dcterms:created>
  <dc:creator>Administrator</dc:creator>
  <cp:lastModifiedBy>晴天</cp:lastModifiedBy>
  <dcterms:modified xsi:type="dcterms:W3CDTF">2025-07-25T03:37:10Z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eyJoZGlkIjoiNjJkNTk2ZGM5YTVkYjAxYjE2YWM5ZTdhNjA0YjYwY2MiLCJ1c2VySWQiOiIxMzgxODgxMDA0In0=</vt:lpwstr>
  </property>
  <property fmtid="{D5CDD505-2E9C-101B-9397-08002B2CF9AE}" pid="3" name="KSOProductBuildVer">
    <vt:lpwstr>2052-12.1.0.21915</vt:lpwstr>
  </property>
  <property fmtid="{D5CDD505-2E9C-101B-9397-08002B2CF9AE}" pid="4" name="ICV">
    <vt:lpwstr>45F5316CDC9A43F7AA331FA166AB7E87_12</vt:lpwstr>
  </property>
</Properties>
</file>