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5D4FB">
      <w:pPr>
        <w:numPr>
          <w:ilvl w:val="0"/>
          <w:numId w:val="0"/>
        </w:numPr>
        <w:jc w:val="left"/>
        <w:rPr>
          <w:rFonts w:ascii="宋体" w:hAnsi="宋体" w:eastAsia="宋体" w:cs="宋体"/>
          <w:sz w:val="44"/>
          <w:szCs w:val="44"/>
        </w:rPr>
      </w:pPr>
      <w:r>
        <w:rPr>
          <w:rFonts w:ascii="宋体" w:hAnsi="宋体" w:eastAsia="宋体" w:cs="宋体"/>
          <w:sz w:val="44"/>
          <w:szCs w:val="44"/>
        </w:rPr>
        <w:t>如有修改意见，请以书面形式并加盖公章、注明联系人、联系方式，于2025年07月3</w:t>
      </w:r>
      <w:r>
        <w:rPr>
          <w:rFonts w:hint="eastAsia" w:ascii="宋体" w:hAnsi="宋体" w:cs="宋体"/>
          <w:sz w:val="44"/>
          <w:szCs w:val="44"/>
          <w:lang w:val="en-US" w:eastAsia="zh-CN"/>
        </w:rPr>
        <w:t>1</w:t>
      </w:r>
      <w:r>
        <w:rPr>
          <w:rFonts w:ascii="宋体" w:hAnsi="宋体" w:eastAsia="宋体" w:cs="宋体"/>
          <w:sz w:val="44"/>
          <w:szCs w:val="44"/>
        </w:rPr>
        <w:t>日17:00之前送至我单位，逾期不受理（如邮寄，2025年07月3</w:t>
      </w:r>
      <w:r>
        <w:rPr>
          <w:rFonts w:hint="eastAsia" w:ascii="宋体" w:hAnsi="宋体" w:cs="宋体"/>
          <w:sz w:val="44"/>
          <w:szCs w:val="44"/>
          <w:lang w:val="en-US" w:eastAsia="zh-CN"/>
        </w:rPr>
        <w:t>1</w:t>
      </w:r>
      <w:bookmarkStart w:id="1" w:name="_GoBack"/>
      <w:bookmarkEnd w:id="1"/>
      <w:r>
        <w:rPr>
          <w:rFonts w:ascii="宋体" w:hAnsi="宋体" w:eastAsia="宋体" w:cs="宋体"/>
          <w:sz w:val="44"/>
          <w:szCs w:val="44"/>
        </w:rPr>
        <w:t>日17:00之后到达本公司的邮件将不再受理）</w:t>
      </w:r>
    </w:p>
    <w:p w14:paraId="0E6BDB51">
      <w:pPr>
        <w:pStyle w:val="2"/>
        <w:ind w:left="0" w:leftChars="0" w:firstLine="0" w:firstLineChars="0"/>
        <w:jc w:val="left"/>
        <w:rPr>
          <w:rFonts w:hint="default" w:eastAsia="宋体"/>
          <w:lang w:val="en-US" w:eastAsia="zh-CN"/>
        </w:rPr>
      </w:pPr>
      <w:r>
        <w:rPr>
          <w:rFonts w:hint="eastAsia" w:ascii="宋体" w:hAnsi="宋体" w:eastAsia="宋体" w:cs="宋体"/>
          <w:sz w:val="44"/>
          <w:szCs w:val="44"/>
          <w:lang w:eastAsia="zh-CN"/>
        </w:rPr>
        <w:t>邮箱号：</w:t>
      </w:r>
      <w:r>
        <w:rPr>
          <w:rFonts w:hint="eastAsia" w:ascii="宋体" w:hAnsi="宋体" w:eastAsia="宋体" w:cs="宋体"/>
          <w:sz w:val="44"/>
          <w:szCs w:val="44"/>
          <w:lang w:val="en-US" w:eastAsia="zh-CN"/>
        </w:rPr>
        <w:t>1157196711@qq.com</w:t>
      </w:r>
    </w:p>
    <w:p w14:paraId="3A025137">
      <w:pPr>
        <w:numPr>
          <w:ilvl w:val="0"/>
          <w:numId w:val="0"/>
        </w:numPr>
        <w:jc w:val="center"/>
        <w:rPr>
          <w:rStyle w:val="5"/>
          <w:rFonts w:ascii="宋体" w:hAnsi="宋体" w:cs="宋体"/>
          <w:b/>
          <w:bCs/>
          <w:color w:val="000000"/>
          <w:sz w:val="32"/>
          <w:szCs w:val="32"/>
        </w:rPr>
      </w:pPr>
    </w:p>
    <w:p w14:paraId="6A4F36D7">
      <w:pPr>
        <w:numPr>
          <w:ilvl w:val="0"/>
          <w:numId w:val="0"/>
        </w:numPr>
        <w:jc w:val="center"/>
        <w:rPr>
          <w:rStyle w:val="5"/>
          <w:rFonts w:ascii="宋体" w:hAnsi="宋体" w:cs="宋体"/>
          <w:b/>
          <w:bCs/>
          <w:color w:val="000000"/>
          <w:sz w:val="32"/>
          <w:szCs w:val="32"/>
        </w:rPr>
      </w:pPr>
    </w:p>
    <w:p w14:paraId="55FA0B1C">
      <w:pPr>
        <w:numPr>
          <w:ilvl w:val="0"/>
          <w:numId w:val="0"/>
        </w:numPr>
        <w:jc w:val="center"/>
        <w:rPr>
          <w:rStyle w:val="5"/>
          <w:rFonts w:ascii="宋体" w:hAnsi="宋体" w:cs="宋体"/>
          <w:b/>
          <w:bCs/>
          <w:color w:val="000000"/>
          <w:sz w:val="32"/>
          <w:szCs w:val="32"/>
        </w:rPr>
      </w:pPr>
    </w:p>
    <w:p w14:paraId="68318AC2">
      <w:pPr>
        <w:numPr>
          <w:ilvl w:val="0"/>
          <w:numId w:val="0"/>
        </w:numPr>
        <w:jc w:val="left"/>
        <w:rPr>
          <w:rStyle w:val="5"/>
          <w:rFonts w:ascii="宋体" w:hAnsi="宋体" w:cs="宋体"/>
          <w:b/>
          <w:bCs/>
          <w:color w:val="000000"/>
          <w:sz w:val="32"/>
          <w:szCs w:val="32"/>
        </w:rPr>
      </w:pPr>
    </w:p>
    <w:p w14:paraId="2D2E6848">
      <w:pPr>
        <w:numPr>
          <w:ilvl w:val="0"/>
          <w:numId w:val="0"/>
        </w:numPr>
        <w:jc w:val="center"/>
        <w:rPr>
          <w:rStyle w:val="5"/>
          <w:rFonts w:ascii="宋体" w:hAnsi="宋体" w:cs="宋体"/>
          <w:b/>
          <w:bCs/>
          <w:color w:val="000000"/>
          <w:sz w:val="32"/>
          <w:szCs w:val="32"/>
        </w:rPr>
      </w:pPr>
    </w:p>
    <w:p w14:paraId="09D9B0E4">
      <w:pPr>
        <w:numPr>
          <w:ilvl w:val="0"/>
          <w:numId w:val="0"/>
        </w:numPr>
        <w:jc w:val="center"/>
        <w:rPr>
          <w:rStyle w:val="5"/>
          <w:rFonts w:ascii="宋体" w:hAnsi="宋体" w:cs="宋体"/>
          <w:b/>
          <w:bCs/>
          <w:color w:val="000000"/>
          <w:sz w:val="32"/>
          <w:szCs w:val="32"/>
        </w:rPr>
      </w:pPr>
    </w:p>
    <w:p w14:paraId="04A947FC">
      <w:pPr>
        <w:numPr>
          <w:ilvl w:val="0"/>
          <w:numId w:val="0"/>
        </w:numPr>
        <w:jc w:val="center"/>
        <w:rPr>
          <w:rStyle w:val="5"/>
          <w:rFonts w:ascii="宋体" w:hAnsi="宋体" w:cs="宋体"/>
          <w:b/>
          <w:bCs/>
          <w:color w:val="000000"/>
          <w:sz w:val="32"/>
          <w:szCs w:val="32"/>
        </w:rPr>
      </w:pPr>
    </w:p>
    <w:p w14:paraId="40B0A73A">
      <w:pPr>
        <w:numPr>
          <w:ilvl w:val="0"/>
          <w:numId w:val="0"/>
        </w:numPr>
        <w:jc w:val="center"/>
        <w:rPr>
          <w:rStyle w:val="5"/>
          <w:rFonts w:ascii="宋体" w:hAnsi="宋体" w:cs="宋体"/>
          <w:b/>
          <w:bCs/>
          <w:color w:val="000000"/>
          <w:sz w:val="32"/>
          <w:szCs w:val="32"/>
        </w:rPr>
      </w:pPr>
    </w:p>
    <w:p w14:paraId="2768DBB1">
      <w:pPr>
        <w:numPr>
          <w:ilvl w:val="0"/>
          <w:numId w:val="0"/>
        </w:numPr>
        <w:jc w:val="center"/>
        <w:rPr>
          <w:rStyle w:val="5"/>
          <w:rFonts w:ascii="宋体" w:hAnsi="宋体" w:cs="宋体"/>
          <w:b/>
          <w:bCs/>
          <w:color w:val="000000"/>
          <w:sz w:val="32"/>
          <w:szCs w:val="32"/>
        </w:rPr>
      </w:pPr>
    </w:p>
    <w:p w14:paraId="7AF6E74E">
      <w:pPr>
        <w:numPr>
          <w:ilvl w:val="0"/>
          <w:numId w:val="0"/>
        </w:numPr>
        <w:jc w:val="center"/>
        <w:rPr>
          <w:rStyle w:val="5"/>
          <w:rFonts w:ascii="宋体" w:hAnsi="宋体" w:cs="宋体"/>
          <w:b/>
          <w:bCs/>
          <w:color w:val="000000"/>
          <w:sz w:val="32"/>
          <w:szCs w:val="32"/>
        </w:rPr>
      </w:pPr>
    </w:p>
    <w:p w14:paraId="75F4C6F5">
      <w:pPr>
        <w:numPr>
          <w:ilvl w:val="0"/>
          <w:numId w:val="0"/>
        </w:numPr>
        <w:jc w:val="center"/>
        <w:rPr>
          <w:rStyle w:val="5"/>
          <w:rFonts w:ascii="宋体" w:hAnsi="宋体" w:cs="宋体"/>
          <w:b/>
          <w:bCs/>
          <w:color w:val="000000"/>
          <w:sz w:val="32"/>
          <w:szCs w:val="32"/>
        </w:rPr>
      </w:pPr>
    </w:p>
    <w:p w14:paraId="5AA50CFE">
      <w:pPr>
        <w:rPr>
          <w:rStyle w:val="5"/>
          <w:rFonts w:ascii="宋体" w:hAnsi="宋体" w:cs="宋体"/>
          <w:b/>
          <w:bCs/>
          <w:color w:val="000000"/>
          <w:sz w:val="32"/>
          <w:szCs w:val="32"/>
        </w:rPr>
      </w:pPr>
      <w:r>
        <w:rPr>
          <w:rStyle w:val="5"/>
          <w:rFonts w:ascii="宋体" w:hAnsi="宋体" w:cs="宋体"/>
          <w:b/>
          <w:bCs/>
          <w:color w:val="000000"/>
          <w:sz w:val="32"/>
          <w:szCs w:val="32"/>
        </w:rPr>
        <w:br w:type="page"/>
      </w:r>
    </w:p>
    <w:p w14:paraId="05C45D7A">
      <w:pPr>
        <w:numPr>
          <w:ilvl w:val="0"/>
          <w:numId w:val="0"/>
        </w:numPr>
        <w:jc w:val="center"/>
        <w:rPr>
          <w:rStyle w:val="5"/>
          <w:rFonts w:ascii="宋体" w:hAnsi="宋体" w:cs="宋体"/>
          <w:b/>
          <w:bCs/>
          <w:color w:val="000000"/>
          <w:sz w:val="32"/>
          <w:szCs w:val="32"/>
        </w:rPr>
      </w:pPr>
    </w:p>
    <w:p w14:paraId="5FD7C953">
      <w:pPr>
        <w:numPr>
          <w:ilvl w:val="0"/>
          <w:numId w:val="0"/>
        </w:numPr>
        <w:jc w:val="center"/>
        <w:rPr>
          <w:rStyle w:val="5"/>
          <w:rFonts w:ascii="宋体" w:hAnsi="宋体" w:cs="宋体"/>
          <w:b/>
          <w:bCs/>
          <w:color w:val="000000"/>
          <w:sz w:val="32"/>
          <w:szCs w:val="32"/>
        </w:rPr>
      </w:pPr>
      <w:r>
        <w:rPr>
          <w:rStyle w:val="5"/>
          <w:rFonts w:ascii="宋体" w:hAnsi="宋体" w:cs="宋体"/>
          <w:b/>
          <w:bCs/>
          <w:color w:val="000000"/>
          <w:sz w:val="32"/>
          <w:szCs w:val="32"/>
        </w:rPr>
        <w:t>采购需求</w:t>
      </w:r>
    </w:p>
    <w:p w14:paraId="276411A5">
      <w:pPr>
        <w:pStyle w:val="13"/>
        <w:keepNext w:val="0"/>
        <w:keepLines w:val="0"/>
        <w:pageBreakBefore w:val="0"/>
        <w:widowControl w:val="0"/>
        <w:spacing w:line="360" w:lineRule="auto"/>
        <w:ind w:firstLine="422"/>
        <w:jc w:val="left"/>
        <w:rPr>
          <w:rFonts w:hint="eastAsia" w:ascii="宋体" w:hAnsi="宋体" w:eastAsia="宋体" w:cs="宋体"/>
          <w:color w:val="auto"/>
          <w:sz w:val="21"/>
          <w:szCs w:val="21"/>
          <w:highlight w:val="none"/>
        </w:rPr>
      </w:pPr>
      <w:bookmarkStart w:id="0" w:name="_Toc80122298"/>
      <w:r>
        <w:rPr>
          <w:rFonts w:hint="eastAsia" w:ascii="宋体" w:hAnsi="宋体" w:eastAsia="宋体" w:cs="宋体"/>
          <w:color w:val="auto"/>
          <w:sz w:val="21"/>
          <w:szCs w:val="21"/>
          <w:highlight w:val="none"/>
        </w:rPr>
        <w:t>本项目不接受超过</w:t>
      </w:r>
      <w:r>
        <w:rPr>
          <w:rFonts w:hint="eastAsia" w:ascii="宋体" w:hAnsi="宋体" w:cs="宋体"/>
          <w:color w:val="FF0000"/>
          <w:sz w:val="21"/>
          <w:szCs w:val="21"/>
          <w:highlight w:val="none"/>
          <w:lang w:val="en-US" w:eastAsia="zh-CN"/>
        </w:rPr>
        <w:t>113.00</w:t>
      </w:r>
      <w:r>
        <w:rPr>
          <w:rFonts w:hint="eastAsia" w:ascii="宋体" w:hAnsi="宋体" w:eastAsia="宋体" w:cs="宋体"/>
          <w:color w:val="auto"/>
          <w:sz w:val="21"/>
          <w:szCs w:val="21"/>
          <w:highlight w:val="none"/>
          <w:lang w:eastAsia="zh-CN"/>
        </w:rPr>
        <w:t>万元</w:t>
      </w:r>
      <w:r>
        <w:rPr>
          <w:rFonts w:hint="eastAsia" w:ascii="宋体" w:hAnsi="宋体" w:eastAsia="宋体" w:cs="宋体"/>
          <w:color w:val="auto"/>
          <w:sz w:val="21"/>
          <w:szCs w:val="21"/>
          <w:highlight w:val="none"/>
        </w:rPr>
        <w:t>的报价（最后报价）。报价包含项目完成的所有费用，供应商报价时需考虑完成本项目内容所涉及的包含并不限于人工费、材料费、机械费、工具设备费、税费、保险、培训、售后服务、验收、利润等供应商认为可能发生的相关一切费用。采购人不再支付报价以外的任何费用。</w:t>
      </w:r>
    </w:p>
    <w:p w14:paraId="3837A6CF">
      <w:pPr>
        <w:pStyle w:val="13"/>
        <w:keepNext w:val="0"/>
        <w:keepLines w:val="0"/>
        <w:pageBreakBefore w:val="0"/>
        <w:widowControl w:val="0"/>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 二</w:t>
      </w:r>
      <w:r>
        <w:rPr>
          <w:rFonts w:hint="eastAsia" w:ascii="宋体" w:hAnsi="宋体" w:eastAsia="宋体" w:cs="宋体"/>
          <w:color w:val="auto"/>
          <w:sz w:val="21"/>
          <w:szCs w:val="21"/>
          <w:highlight w:val="none"/>
          <w:lang w:val="en-US" w:eastAsia="zh-CN" w:bidi="ar-SA"/>
        </w:rPr>
        <w:t>、项目概况</w:t>
      </w:r>
    </w:p>
    <w:p w14:paraId="73010F81">
      <w:pPr>
        <w:pStyle w:val="13"/>
        <w:keepNext w:val="0"/>
        <w:keepLines w:val="0"/>
        <w:pageBreakBefore w:val="0"/>
        <w:widowControl w:val="0"/>
        <w:spacing w:line="360" w:lineRule="auto"/>
        <w:ind w:firstLine="420"/>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1、项目名称：</w:t>
      </w:r>
      <w:r>
        <w:rPr>
          <w:rFonts w:hint="eastAsia" w:ascii="宋体" w:hAnsi="宋体" w:cs="宋体"/>
          <w:color w:val="auto"/>
          <w:sz w:val="21"/>
          <w:szCs w:val="21"/>
          <w:highlight w:val="none"/>
          <w:lang w:eastAsia="zh-CN"/>
        </w:rPr>
        <w:t>2025年-2026年港务区绿化养护服务项目</w:t>
      </w:r>
    </w:p>
    <w:p w14:paraId="59FDD545">
      <w:pPr>
        <w:pStyle w:val="13"/>
        <w:keepNext w:val="0"/>
        <w:keepLines w:val="0"/>
        <w:pageBreakBefore w:val="0"/>
        <w:widowControl w:val="0"/>
        <w:spacing w:line="360" w:lineRule="auto"/>
        <w:ind w:firstLine="420"/>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2、项目地点：</w:t>
      </w:r>
      <w:r>
        <w:rPr>
          <w:rFonts w:hint="eastAsia" w:ascii="宋体" w:hAnsi="宋体" w:cs="宋体"/>
          <w:color w:val="auto"/>
          <w:sz w:val="21"/>
          <w:szCs w:val="21"/>
          <w:highlight w:val="none"/>
          <w:lang w:eastAsia="zh-CN"/>
        </w:rPr>
        <w:t>徐州市港务区</w:t>
      </w:r>
    </w:p>
    <w:p w14:paraId="0C3350FF">
      <w:pPr>
        <w:pStyle w:val="13"/>
        <w:keepNext w:val="0"/>
        <w:keepLines w:val="0"/>
        <w:pageBreakBefore w:val="0"/>
        <w:widowControl w:val="0"/>
        <w:spacing w:line="360" w:lineRule="auto"/>
        <w:ind w:firstLine="42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3、养护服务期：</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p>
    <w:p w14:paraId="77B0836E">
      <w:pPr>
        <w:keepNext w:val="0"/>
        <w:keepLines w:val="0"/>
        <w:pageBreakBefore w:val="0"/>
        <w:widowControl w:val="0"/>
        <w:numPr>
          <w:ilvl w:val="0"/>
          <w:numId w:val="0"/>
        </w:numPr>
        <w:spacing w:before="0" w:beforeAutospacing="0" w:after="0" w:afterAutospacing="0" w:line="360" w:lineRule="auto"/>
        <w:ind w:firstLine="42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4、养护内容：</w:t>
      </w:r>
    </w:p>
    <w:p w14:paraId="76E10418">
      <w:pPr>
        <w:keepNext w:val="0"/>
        <w:keepLines w:val="0"/>
        <w:pageBreakBefore w:val="0"/>
        <w:widowControl w:val="0"/>
        <w:numPr>
          <w:ilvl w:val="0"/>
          <w:numId w:val="0"/>
        </w:numPr>
        <w:spacing w:before="0" w:beforeAutospacing="0" w:after="0" w:afterAutospacing="0" w:line="360" w:lineRule="auto"/>
        <w:ind w:firstLine="480"/>
        <w:jc w:val="left"/>
        <w:rPr>
          <w:rFonts w:hint="default"/>
          <w:lang w:val="en-US" w:eastAsia="zh-CN"/>
        </w:rPr>
      </w:pPr>
      <w:r>
        <w:rPr>
          <w:rFonts w:hint="eastAsia" w:ascii="宋体" w:hAnsi="宋体" w:eastAsia="宋体" w:cs="宋体"/>
          <w:color w:val="auto"/>
          <w:sz w:val="21"/>
          <w:szCs w:val="21"/>
          <w:highlight w:val="none"/>
          <w:lang w:val="en-US" w:eastAsia="zh-CN" w:bidi="ar-SA"/>
        </w:rPr>
        <w:t>包括但不限于修剪、除草、施肥、浇水、抹芽、除萌、病虫害防治、草坪修剪、苗木补植、防寒、防涝、防旱、防火、卫生保洁、秩序管理、设施设备维修保养、垃圾清理清运等。</w:t>
      </w:r>
    </w:p>
    <w:p w14:paraId="071970F4">
      <w:pPr>
        <w:pStyle w:val="13"/>
        <w:keepNext w:val="0"/>
        <w:keepLines w:val="0"/>
        <w:pageBreakBefore w:val="0"/>
        <w:widowControl w:val="0"/>
        <w:numPr>
          <w:ilvl w:val="0"/>
          <w:numId w:val="1"/>
        </w:numPr>
        <w:spacing w:line="360" w:lineRule="auto"/>
        <w:ind w:firstLine="42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项目养护范围及面积：</w:t>
      </w:r>
    </w:p>
    <w:p w14:paraId="4D82BAFC">
      <w:pPr>
        <w:pStyle w:val="14"/>
        <w:widowControl w:val="0"/>
        <w:numPr>
          <w:ilvl w:val="0"/>
          <w:numId w:val="0"/>
        </w:numPr>
        <w:spacing w:line="360" w:lineRule="atLeast"/>
        <w:ind w:right="33" w:rightChars="0"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本次项目为港务区内共17.88公顷绿地及2845株行道树。</w:t>
      </w:r>
    </w:p>
    <w:p w14:paraId="19BCF976">
      <w:pPr>
        <w:pStyle w:val="14"/>
        <w:widowControl w:val="0"/>
        <w:numPr>
          <w:ilvl w:val="0"/>
          <w:numId w:val="0"/>
        </w:numPr>
        <w:spacing w:line="360" w:lineRule="atLeast"/>
        <w:ind w:right="33" w:rightChars="0" w:firstLine="480" w:firstLineChars="200"/>
        <w:jc w:val="left"/>
        <w:rPr>
          <w:rFonts w:hint="eastAsia" w:ascii="宋体" w:hAnsi="宋体" w:eastAsia="宋体" w:cs="宋体"/>
          <w:color w:val="auto"/>
          <w:sz w:val="21"/>
          <w:szCs w:val="21"/>
          <w:highlight w:val="none"/>
          <w:lang w:val="en-US" w:eastAsia="zh-CN" w:bidi="ar-SA"/>
        </w:rPr>
      </w:pPr>
      <w:r>
        <w:drawing>
          <wp:inline distT="0" distB="0" distL="114300" distR="114300">
            <wp:extent cx="4747260" cy="3962400"/>
            <wp:effectExtent l="0" t="0" r="152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4747260" cy="3962400"/>
                    </a:xfrm>
                    <a:prstGeom prst="rect">
                      <a:avLst/>
                    </a:prstGeom>
                    <a:noFill/>
                    <a:ln>
                      <a:noFill/>
                    </a:ln>
                  </pic:spPr>
                </pic:pic>
              </a:graphicData>
            </a:graphic>
          </wp:inline>
        </w:drawing>
      </w:r>
    </w:p>
    <w:p w14:paraId="7E08FDF3">
      <w:pPr>
        <w:pStyle w:val="14"/>
        <w:widowControl w:val="0"/>
        <w:numPr>
          <w:ilvl w:val="0"/>
          <w:numId w:val="0"/>
        </w:numPr>
        <w:spacing w:line="360" w:lineRule="atLeast"/>
        <w:ind w:right="33" w:rightChars="0" w:firstLine="420" w:firstLineChars="200"/>
        <w:jc w:val="left"/>
        <w:rPr>
          <w:rFonts w:hint="default" w:ascii="宋体" w:hAnsi="宋体" w:eastAsia="宋体" w:cs="宋体"/>
          <w:color w:val="auto"/>
          <w:sz w:val="21"/>
          <w:szCs w:val="21"/>
          <w:highlight w:val="none"/>
          <w:lang w:val="en-US" w:eastAsia="zh-CN" w:bidi="ar-SA"/>
        </w:rPr>
      </w:pPr>
    </w:p>
    <w:p w14:paraId="7BB0794B">
      <w:pPr>
        <w:pStyle w:val="14"/>
        <w:widowControl w:val="0"/>
        <w:numPr>
          <w:ilvl w:val="0"/>
          <w:numId w:val="0"/>
        </w:numPr>
        <w:spacing w:line="360" w:lineRule="atLeast"/>
        <w:ind w:right="33" w:rightChars="0"/>
        <w:jc w:val="left"/>
        <w:rPr>
          <w:rFonts w:hint="eastAsia"/>
          <w:lang w:val="en-US" w:eastAsia="zh-CN"/>
        </w:rPr>
      </w:pPr>
    </w:p>
    <w:p w14:paraId="3CC2A946">
      <w:pPr>
        <w:pStyle w:val="13"/>
        <w:keepNext w:val="0"/>
        <w:keepLines w:val="0"/>
        <w:pageBreakBefore w:val="0"/>
        <w:widowControl w:val="0"/>
        <w:spacing w:line="360" w:lineRule="auto"/>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、工作人员配备要求</w:t>
      </w:r>
      <w:r>
        <w:rPr>
          <w:rFonts w:hint="eastAsia" w:ascii="宋体" w:hAnsi="宋体" w:eastAsia="宋体" w:cs="宋体"/>
          <w:b/>
          <w:color w:val="auto"/>
          <w:sz w:val="24"/>
          <w:szCs w:val="24"/>
          <w:highlight w:val="none"/>
          <w:lang w:val="en-US" w:eastAsia="zh-CN"/>
        </w:rPr>
        <w:t>（本条为实质性响应指标，如有任何一项不满足或负偏离则视为无效投标。）</w:t>
      </w:r>
    </w:p>
    <w:p w14:paraId="0A816BB6">
      <w:pPr>
        <w:pStyle w:val="14"/>
        <w:ind w:left="0" w:firstLine="0"/>
        <w:rPr>
          <w:rFonts w:hint="eastAsia" w:ascii="宋体" w:hAnsi="宋体" w:eastAsia="宋体" w:cs="宋体"/>
          <w:b/>
          <w:bCs w:val="0"/>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1、</w:t>
      </w:r>
      <w:r>
        <w:rPr>
          <w:rFonts w:hint="eastAsia" w:ascii="宋体" w:hAnsi="宋体" w:eastAsia="宋体" w:cs="宋体"/>
          <w:b/>
          <w:bCs w:val="0"/>
          <w:color w:val="auto"/>
          <w:sz w:val="24"/>
          <w:szCs w:val="24"/>
          <w:highlight w:val="none"/>
          <w:lang w:val="en-US" w:eastAsia="zh-CN" w:bidi="ar-SA"/>
        </w:rPr>
        <w:t>人数要求（以下人数为最低标准，投标人可根据自身情况增加）</w:t>
      </w:r>
    </w:p>
    <w:tbl>
      <w:tblPr>
        <w:tblStyle w:val="3"/>
        <w:tblW w:w="95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595"/>
        <w:gridCol w:w="1223"/>
        <w:gridCol w:w="465"/>
        <w:gridCol w:w="1594"/>
        <w:gridCol w:w="3197"/>
      </w:tblGrid>
      <w:tr w14:paraId="1FD5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91" w:type="dxa"/>
            <w:gridSpan w:val="4"/>
            <w:noWrap w:val="0"/>
            <w:vAlign w:val="center"/>
          </w:tcPr>
          <w:p w14:paraId="48C7107D">
            <w:pPr>
              <w:pStyle w:val="13"/>
              <w:keepNext w:val="0"/>
              <w:keepLines w:val="0"/>
              <w:pageBreakBefore w:val="0"/>
              <w:widowControl w:val="0"/>
              <w:spacing w:line="360" w:lineRule="auto"/>
              <w:jc w:val="center"/>
              <w:rPr>
                <w:rFonts w:hint="default"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工作人员配备总人数</w:t>
            </w:r>
          </w:p>
        </w:tc>
        <w:tc>
          <w:tcPr>
            <w:tcW w:w="4791" w:type="dxa"/>
            <w:gridSpan w:val="2"/>
            <w:noWrap w:val="0"/>
            <w:vAlign w:val="center"/>
          </w:tcPr>
          <w:p w14:paraId="2DC0D240">
            <w:pPr>
              <w:pStyle w:val="13"/>
              <w:keepNext w:val="0"/>
              <w:keepLines w:val="0"/>
              <w:pageBreakBefore w:val="0"/>
              <w:widowControl w:val="0"/>
              <w:spacing w:line="360" w:lineRule="auto"/>
              <w:jc w:val="center"/>
              <w:rPr>
                <w:rFonts w:hint="default"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31人</w:t>
            </w:r>
          </w:p>
        </w:tc>
      </w:tr>
      <w:tr w14:paraId="7E96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582" w:type="dxa"/>
            <w:gridSpan w:val="6"/>
            <w:noWrap w:val="0"/>
            <w:vAlign w:val="center"/>
          </w:tcPr>
          <w:p w14:paraId="6D70F5C5">
            <w:pPr>
              <w:pStyle w:val="13"/>
              <w:keepNext w:val="0"/>
              <w:keepLines w:val="0"/>
              <w:pageBreakBefore w:val="0"/>
              <w:widowControl w:val="0"/>
              <w:spacing w:line="360" w:lineRule="auto"/>
              <w:jc w:val="center"/>
              <w:rPr>
                <w:rFonts w:hint="default"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工作人员配置需求</w:t>
            </w:r>
          </w:p>
        </w:tc>
      </w:tr>
      <w:tr w14:paraId="6F99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08" w:type="dxa"/>
            <w:vMerge w:val="restart"/>
            <w:noWrap w:val="0"/>
            <w:vAlign w:val="center"/>
          </w:tcPr>
          <w:p w14:paraId="7C289A54">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项目负责人</w:t>
            </w:r>
          </w:p>
        </w:tc>
        <w:tc>
          <w:tcPr>
            <w:tcW w:w="1595" w:type="dxa"/>
            <w:vMerge w:val="restart"/>
            <w:noWrap w:val="0"/>
            <w:vAlign w:val="center"/>
          </w:tcPr>
          <w:p w14:paraId="01C122C3">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现场负责人</w:t>
            </w:r>
          </w:p>
        </w:tc>
        <w:tc>
          <w:tcPr>
            <w:tcW w:w="1223" w:type="dxa"/>
            <w:vMerge w:val="restart"/>
            <w:noWrap w:val="0"/>
            <w:vAlign w:val="center"/>
          </w:tcPr>
          <w:p w14:paraId="7AC8CAC8">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安全员</w:t>
            </w:r>
          </w:p>
        </w:tc>
        <w:tc>
          <w:tcPr>
            <w:tcW w:w="5256" w:type="dxa"/>
            <w:gridSpan w:val="3"/>
            <w:noWrap w:val="0"/>
            <w:vAlign w:val="center"/>
          </w:tcPr>
          <w:p w14:paraId="6B82F8FC">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现场工作人员最低人数</w:t>
            </w:r>
          </w:p>
        </w:tc>
      </w:tr>
      <w:tr w14:paraId="3CA2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08" w:type="dxa"/>
            <w:vMerge w:val="continue"/>
            <w:noWrap w:val="0"/>
            <w:vAlign w:val="center"/>
          </w:tcPr>
          <w:p w14:paraId="144CFB41">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p>
        </w:tc>
        <w:tc>
          <w:tcPr>
            <w:tcW w:w="1595" w:type="dxa"/>
            <w:vMerge w:val="continue"/>
            <w:noWrap w:val="0"/>
            <w:vAlign w:val="center"/>
          </w:tcPr>
          <w:p w14:paraId="5AD32B54">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p>
        </w:tc>
        <w:tc>
          <w:tcPr>
            <w:tcW w:w="1223" w:type="dxa"/>
            <w:vMerge w:val="continue"/>
            <w:noWrap w:val="0"/>
            <w:vAlign w:val="center"/>
          </w:tcPr>
          <w:p w14:paraId="514736B3">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p>
        </w:tc>
        <w:tc>
          <w:tcPr>
            <w:tcW w:w="2059" w:type="dxa"/>
            <w:gridSpan w:val="2"/>
            <w:noWrap w:val="0"/>
            <w:vAlign w:val="center"/>
          </w:tcPr>
          <w:p w14:paraId="48CA0117">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总人数</w:t>
            </w:r>
          </w:p>
        </w:tc>
        <w:tc>
          <w:tcPr>
            <w:tcW w:w="3197" w:type="dxa"/>
            <w:noWrap w:val="0"/>
            <w:vAlign w:val="center"/>
          </w:tcPr>
          <w:p w14:paraId="5CA23F4E">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专职园林园艺修剪人数</w:t>
            </w:r>
          </w:p>
        </w:tc>
      </w:tr>
      <w:tr w14:paraId="11AC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508" w:type="dxa"/>
            <w:noWrap w:val="0"/>
            <w:vAlign w:val="center"/>
          </w:tcPr>
          <w:p w14:paraId="7500ABAA">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1人</w:t>
            </w:r>
          </w:p>
        </w:tc>
        <w:tc>
          <w:tcPr>
            <w:tcW w:w="1595" w:type="dxa"/>
            <w:noWrap w:val="0"/>
            <w:vAlign w:val="center"/>
          </w:tcPr>
          <w:p w14:paraId="65600711">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2人</w:t>
            </w:r>
          </w:p>
        </w:tc>
        <w:tc>
          <w:tcPr>
            <w:tcW w:w="1223" w:type="dxa"/>
            <w:noWrap w:val="0"/>
            <w:vAlign w:val="center"/>
          </w:tcPr>
          <w:p w14:paraId="3B978B2D">
            <w:pPr>
              <w:pStyle w:val="13"/>
              <w:keepNext w:val="0"/>
              <w:keepLines w:val="0"/>
              <w:pageBreakBefore w:val="0"/>
              <w:widowControl w:val="0"/>
              <w:spacing w:line="360" w:lineRule="auto"/>
              <w:jc w:val="center"/>
              <w:rPr>
                <w:rFonts w:hint="default"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1人</w:t>
            </w:r>
          </w:p>
        </w:tc>
        <w:tc>
          <w:tcPr>
            <w:tcW w:w="2059" w:type="dxa"/>
            <w:gridSpan w:val="2"/>
            <w:noWrap w:val="0"/>
            <w:vAlign w:val="center"/>
          </w:tcPr>
          <w:p w14:paraId="0CE38CA8">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27人</w:t>
            </w:r>
          </w:p>
        </w:tc>
        <w:tc>
          <w:tcPr>
            <w:tcW w:w="3197" w:type="dxa"/>
            <w:noWrap w:val="0"/>
            <w:vAlign w:val="center"/>
          </w:tcPr>
          <w:p w14:paraId="2F3125B2">
            <w:pPr>
              <w:pStyle w:val="13"/>
              <w:keepNext w:val="0"/>
              <w:keepLines w:val="0"/>
              <w:pageBreakBefore w:val="0"/>
              <w:widowControl w:val="0"/>
              <w:spacing w:line="360" w:lineRule="auto"/>
              <w:jc w:val="center"/>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不少于10人</w:t>
            </w:r>
          </w:p>
        </w:tc>
      </w:tr>
    </w:tbl>
    <w:p w14:paraId="7797A720">
      <w:pPr>
        <w:spacing w:line="40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2、拟派项目负责人须</w:t>
      </w:r>
      <w:r>
        <w:rPr>
          <w:rFonts w:hint="eastAsia" w:ascii="宋体" w:hAnsi="宋体"/>
          <w:b/>
          <w:bCs/>
          <w:color w:val="auto"/>
          <w:sz w:val="24"/>
          <w:highlight w:val="none"/>
          <w:lang w:val="en-US" w:eastAsia="zh-CN"/>
        </w:rPr>
        <w:t>具备园林绿化类专业中级职称及以上（如职称证书反映不出园林绿化专业则必须提供园林绿化专业毕业证书或者职称评审表）</w:t>
      </w:r>
      <w:r>
        <w:rPr>
          <w:rFonts w:hint="eastAsia" w:ascii="宋体" w:hAnsi="宋体"/>
          <w:color w:val="auto"/>
          <w:sz w:val="24"/>
          <w:highlight w:val="none"/>
          <w:lang w:val="en-US" w:eastAsia="zh-CN"/>
        </w:rPr>
        <w:t>，且以上证书聘用企业必须为投标人，投标文件中必须提供项目负责人的证书复印件，中标后提供原件核查，未提供作废标处理。项目总负责人在项目履约过程中，不得同时担任其他任何项目的项目负责人，且项目总负责人不得随意更换，</w:t>
      </w:r>
      <w:r>
        <w:rPr>
          <w:rFonts w:hint="eastAsia" w:ascii="宋体" w:hAnsi="宋体"/>
          <w:b/>
          <w:bCs/>
          <w:color w:val="auto"/>
          <w:sz w:val="24"/>
          <w:highlight w:val="none"/>
          <w:lang w:val="en-US" w:eastAsia="zh-CN"/>
        </w:rPr>
        <w:t>项目安全员需提供安全员相关资质证明</w:t>
      </w:r>
      <w:r>
        <w:rPr>
          <w:rFonts w:hint="eastAsia" w:ascii="宋体" w:hAnsi="宋体"/>
          <w:color w:val="auto"/>
          <w:sz w:val="24"/>
          <w:highlight w:val="none"/>
          <w:lang w:val="en-US" w:eastAsia="zh-CN"/>
        </w:rPr>
        <w:t>。</w:t>
      </w:r>
    </w:p>
    <w:p w14:paraId="05E6FD1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3.统一工作服装。</w:t>
      </w:r>
    </w:p>
    <w:p w14:paraId="237C10A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4.提供24小时应急服务，附近应有固定办公地点、值班人员及联系电话。</w:t>
      </w:r>
    </w:p>
    <w:p w14:paraId="7EC6A643">
      <w:pPr>
        <w:pStyle w:val="1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val="0"/>
          <w:color w:val="auto"/>
          <w:sz w:val="24"/>
          <w:szCs w:val="24"/>
          <w:highlight w:val="none"/>
          <w:lang w:val="en-US" w:eastAsia="zh-CN"/>
        </w:rPr>
      </w:pPr>
      <w:r>
        <w:rPr>
          <w:rFonts w:hint="eastAsia" w:ascii="宋体" w:hAnsi="宋体" w:cs="宋体"/>
          <w:b/>
          <w:color w:val="auto"/>
          <w:sz w:val="24"/>
          <w:szCs w:val="24"/>
          <w:highlight w:val="none"/>
          <w:lang w:val="en-US" w:eastAsia="zh-CN"/>
        </w:rPr>
        <w:t>四、养护管</w:t>
      </w:r>
      <w:r>
        <w:rPr>
          <w:rFonts w:hint="eastAsia" w:ascii="宋体" w:hAnsi="宋体" w:cs="宋体"/>
          <w:b/>
          <w:bCs w:val="0"/>
          <w:color w:val="auto"/>
          <w:sz w:val="24"/>
          <w:szCs w:val="24"/>
          <w:highlight w:val="none"/>
          <w:lang w:val="en-US" w:eastAsia="zh-CN"/>
        </w:rPr>
        <w:t>理机械机具设备</w:t>
      </w:r>
      <w:r>
        <w:rPr>
          <w:rFonts w:hint="eastAsia" w:ascii="宋体" w:hAnsi="宋体" w:cs="宋体"/>
          <w:b/>
          <w:color w:val="auto"/>
          <w:sz w:val="24"/>
          <w:szCs w:val="24"/>
          <w:highlight w:val="none"/>
          <w:lang w:val="en-US" w:eastAsia="zh-CN"/>
        </w:rPr>
        <w:t>配置</w:t>
      </w:r>
      <w:r>
        <w:rPr>
          <w:rFonts w:hint="eastAsia" w:ascii="宋体" w:hAnsi="宋体" w:cs="宋体"/>
          <w:b/>
          <w:bCs w:val="0"/>
          <w:color w:val="auto"/>
          <w:sz w:val="24"/>
          <w:szCs w:val="24"/>
          <w:highlight w:val="none"/>
          <w:lang w:val="en-US" w:eastAsia="zh-CN"/>
        </w:rPr>
        <w:t>要求（以下数量为最低标准，投标人可根据自身情况增加）</w:t>
      </w:r>
    </w:p>
    <w:p w14:paraId="5B7ED1AE">
      <w:pPr>
        <w:pStyle w:val="14"/>
        <w:rPr>
          <w:rFonts w:hint="eastAsia" w:ascii="宋体" w:hAnsi="宋体" w:cs="宋体"/>
          <w:b/>
          <w:bCs w:val="0"/>
          <w:color w:val="auto"/>
          <w:sz w:val="24"/>
          <w:szCs w:val="24"/>
          <w:highlight w:val="none"/>
          <w:lang w:val="en-US" w:eastAsia="zh-CN"/>
        </w:rPr>
      </w:pPr>
    </w:p>
    <w:tbl>
      <w:tblPr>
        <w:tblStyle w:val="3"/>
        <w:tblW w:w="9717" w:type="dxa"/>
        <w:jc w:val="center"/>
        <w:tblLayout w:type="fixed"/>
        <w:tblCellMar>
          <w:top w:w="0" w:type="dxa"/>
          <w:left w:w="108" w:type="dxa"/>
          <w:bottom w:w="0" w:type="dxa"/>
          <w:right w:w="108" w:type="dxa"/>
        </w:tblCellMar>
      </w:tblPr>
      <w:tblGrid>
        <w:gridCol w:w="1471"/>
        <w:gridCol w:w="793"/>
        <w:gridCol w:w="734"/>
        <w:gridCol w:w="930"/>
        <w:gridCol w:w="953"/>
        <w:gridCol w:w="657"/>
        <w:gridCol w:w="740"/>
        <w:gridCol w:w="1134"/>
        <w:gridCol w:w="992"/>
        <w:gridCol w:w="1313"/>
      </w:tblGrid>
      <w:tr w14:paraId="7ECBEF11">
        <w:tblPrEx>
          <w:tblCellMar>
            <w:top w:w="0" w:type="dxa"/>
            <w:left w:w="108" w:type="dxa"/>
            <w:bottom w:w="0" w:type="dxa"/>
            <w:right w:w="108" w:type="dxa"/>
          </w:tblCellMar>
        </w:tblPrEx>
        <w:trPr>
          <w:trHeight w:val="866" w:hRule="atLeast"/>
          <w:jc w:val="center"/>
        </w:trPr>
        <w:tc>
          <w:tcPr>
            <w:tcW w:w="6278" w:type="dxa"/>
            <w:gridSpan w:val="7"/>
            <w:tcBorders>
              <w:top w:val="single" w:color="auto" w:sz="4" w:space="0"/>
              <w:left w:val="single" w:color="auto" w:sz="4" w:space="0"/>
              <w:bottom w:val="single" w:color="auto" w:sz="4" w:space="0"/>
              <w:right w:val="single" w:color="auto" w:sz="4" w:space="0"/>
            </w:tcBorders>
            <w:noWrap w:val="0"/>
            <w:vAlign w:val="center"/>
          </w:tcPr>
          <w:p w14:paraId="5657D239">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绿地养护设备（辆或台）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2B0F3E">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树枝叶粉碎设备</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台）</w:t>
            </w:r>
          </w:p>
        </w:tc>
        <w:tc>
          <w:tcPr>
            <w:tcW w:w="992" w:type="dxa"/>
            <w:tcBorders>
              <w:top w:val="single" w:color="auto" w:sz="4" w:space="0"/>
              <w:left w:val="nil"/>
              <w:bottom w:val="single" w:color="auto" w:sz="4" w:space="0"/>
              <w:right w:val="single" w:color="auto" w:sz="4" w:space="0"/>
            </w:tcBorders>
            <w:noWrap w:val="0"/>
            <w:vAlign w:val="center"/>
          </w:tcPr>
          <w:p w14:paraId="52C72731">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保洁设（辆）</w:t>
            </w:r>
          </w:p>
        </w:tc>
        <w:tc>
          <w:tcPr>
            <w:tcW w:w="1313" w:type="dxa"/>
            <w:tcBorders>
              <w:top w:val="single" w:color="auto" w:sz="4" w:space="0"/>
              <w:left w:val="nil"/>
              <w:bottom w:val="single" w:color="auto" w:sz="4" w:space="0"/>
              <w:right w:val="single" w:color="auto" w:sz="4" w:space="0"/>
            </w:tcBorders>
            <w:noWrap w:val="0"/>
            <w:vAlign w:val="center"/>
          </w:tcPr>
          <w:p w14:paraId="48ED16DA">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数字化城管案件办理（部）</w:t>
            </w:r>
          </w:p>
        </w:tc>
      </w:tr>
      <w:tr w14:paraId="5D24F146">
        <w:tblPrEx>
          <w:tblCellMar>
            <w:top w:w="0" w:type="dxa"/>
            <w:left w:w="108" w:type="dxa"/>
            <w:bottom w:w="0" w:type="dxa"/>
            <w:right w:w="108" w:type="dxa"/>
          </w:tblCellMar>
        </w:tblPrEx>
        <w:trPr>
          <w:trHeight w:val="913" w:hRule="atLeast"/>
          <w:jc w:val="center"/>
        </w:trPr>
        <w:tc>
          <w:tcPr>
            <w:tcW w:w="1471" w:type="dxa"/>
            <w:tcBorders>
              <w:top w:val="nil"/>
              <w:left w:val="single" w:color="auto" w:sz="4" w:space="0"/>
              <w:bottom w:val="single" w:color="auto" w:sz="4" w:space="0"/>
              <w:right w:val="single" w:color="auto" w:sz="4" w:space="0"/>
            </w:tcBorders>
            <w:noWrap w:val="0"/>
            <w:vAlign w:val="center"/>
          </w:tcPr>
          <w:p w14:paraId="3C7AFDFA">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水车</w:t>
            </w:r>
          </w:p>
          <w:p w14:paraId="231A2922">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（5吨以上）</w:t>
            </w:r>
          </w:p>
        </w:tc>
        <w:tc>
          <w:tcPr>
            <w:tcW w:w="793" w:type="dxa"/>
            <w:tcBorders>
              <w:top w:val="nil"/>
              <w:left w:val="single" w:color="auto" w:sz="4" w:space="0"/>
              <w:bottom w:val="single" w:color="auto" w:sz="4" w:space="0"/>
              <w:right w:val="single" w:color="auto" w:sz="4" w:space="0"/>
            </w:tcBorders>
            <w:noWrap w:val="0"/>
            <w:vAlign w:val="center"/>
          </w:tcPr>
          <w:p w14:paraId="2866A540">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喷药设备</w:t>
            </w:r>
          </w:p>
        </w:tc>
        <w:tc>
          <w:tcPr>
            <w:tcW w:w="734" w:type="dxa"/>
            <w:tcBorders>
              <w:top w:val="nil"/>
              <w:left w:val="single" w:color="auto" w:sz="4" w:space="0"/>
              <w:bottom w:val="single" w:color="auto" w:sz="4" w:space="0"/>
              <w:right w:val="single" w:color="auto" w:sz="4" w:space="0"/>
            </w:tcBorders>
            <w:noWrap w:val="0"/>
            <w:vAlign w:val="center"/>
          </w:tcPr>
          <w:p w14:paraId="6CBFFB7F">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水泵</w:t>
            </w:r>
          </w:p>
        </w:tc>
        <w:tc>
          <w:tcPr>
            <w:tcW w:w="930" w:type="dxa"/>
            <w:tcBorders>
              <w:top w:val="nil"/>
              <w:left w:val="single" w:color="auto" w:sz="4" w:space="0"/>
              <w:bottom w:val="single" w:color="auto" w:sz="4" w:space="0"/>
              <w:right w:val="single" w:color="auto" w:sz="4" w:space="0"/>
            </w:tcBorders>
            <w:noWrap w:val="0"/>
            <w:vAlign w:val="center"/>
          </w:tcPr>
          <w:p w14:paraId="36FA23CB">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绿篱修剪机</w:t>
            </w:r>
          </w:p>
        </w:tc>
        <w:tc>
          <w:tcPr>
            <w:tcW w:w="953" w:type="dxa"/>
            <w:tcBorders>
              <w:top w:val="nil"/>
              <w:left w:val="single" w:color="auto" w:sz="4" w:space="0"/>
              <w:bottom w:val="single" w:color="auto" w:sz="4" w:space="0"/>
              <w:right w:val="single" w:color="auto" w:sz="4" w:space="0"/>
            </w:tcBorders>
            <w:noWrap w:val="0"/>
            <w:vAlign w:val="center"/>
          </w:tcPr>
          <w:p w14:paraId="00A1E709">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草坪修剪机</w:t>
            </w:r>
          </w:p>
        </w:tc>
        <w:tc>
          <w:tcPr>
            <w:tcW w:w="657" w:type="dxa"/>
            <w:tcBorders>
              <w:top w:val="nil"/>
              <w:left w:val="single" w:color="auto" w:sz="4" w:space="0"/>
              <w:bottom w:val="single" w:color="auto" w:sz="4" w:space="0"/>
              <w:right w:val="single" w:color="auto" w:sz="4" w:space="0"/>
            </w:tcBorders>
            <w:noWrap w:val="0"/>
            <w:vAlign w:val="center"/>
          </w:tcPr>
          <w:p w14:paraId="60CB4D5A">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割灌机</w:t>
            </w:r>
          </w:p>
        </w:tc>
        <w:tc>
          <w:tcPr>
            <w:tcW w:w="740" w:type="dxa"/>
            <w:tcBorders>
              <w:top w:val="nil"/>
              <w:left w:val="single" w:color="auto" w:sz="4" w:space="0"/>
              <w:bottom w:val="single" w:color="auto" w:sz="4" w:space="0"/>
              <w:right w:val="single" w:color="auto" w:sz="4" w:space="0"/>
            </w:tcBorders>
            <w:noWrap w:val="0"/>
            <w:vAlign w:val="center"/>
          </w:tcPr>
          <w:p w14:paraId="6B4AEE0F">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疏草机</w:t>
            </w:r>
          </w:p>
        </w:tc>
        <w:tc>
          <w:tcPr>
            <w:tcW w:w="1134" w:type="dxa"/>
            <w:tcBorders>
              <w:top w:val="nil"/>
              <w:left w:val="single" w:color="auto" w:sz="4" w:space="0"/>
              <w:bottom w:val="single" w:color="auto" w:sz="4" w:space="0"/>
              <w:right w:val="single" w:color="auto" w:sz="4" w:space="0"/>
            </w:tcBorders>
            <w:noWrap w:val="0"/>
            <w:vAlign w:val="center"/>
          </w:tcPr>
          <w:p w14:paraId="62ADA9A2">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可移动铡切揉碎机</w:t>
            </w:r>
          </w:p>
        </w:tc>
        <w:tc>
          <w:tcPr>
            <w:tcW w:w="992" w:type="dxa"/>
            <w:tcBorders>
              <w:top w:val="nil"/>
              <w:left w:val="single" w:color="auto" w:sz="4" w:space="0"/>
              <w:bottom w:val="single" w:color="000000" w:sz="4" w:space="0"/>
              <w:right w:val="single" w:color="auto" w:sz="4" w:space="0"/>
            </w:tcBorders>
            <w:noWrap w:val="0"/>
            <w:vAlign w:val="center"/>
          </w:tcPr>
          <w:p w14:paraId="362D046A">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电动</w:t>
            </w:r>
          </w:p>
          <w:p w14:paraId="2652E49E">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保洁车</w:t>
            </w:r>
          </w:p>
        </w:tc>
        <w:tc>
          <w:tcPr>
            <w:tcW w:w="1313" w:type="dxa"/>
            <w:tcBorders>
              <w:top w:val="nil"/>
              <w:left w:val="single" w:color="auto" w:sz="4" w:space="0"/>
              <w:bottom w:val="single" w:color="auto" w:sz="4" w:space="0"/>
              <w:right w:val="single" w:color="auto" w:sz="4" w:space="0"/>
            </w:tcBorders>
            <w:noWrap w:val="0"/>
            <w:vAlign w:val="center"/>
          </w:tcPr>
          <w:p w14:paraId="2D246C44">
            <w:pPr>
              <w:pStyle w:val="13"/>
              <w:keepNext w:val="0"/>
              <w:keepLines w:val="0"/>
              <w:pageBreakBefore w:val="0"/>
              <w:widowControl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处置通</w:t>
            </w:r>
          </w:p>
        </w:tc>
      </w:tr>
      <w:tr w14:paraId="35888CD9">
        <w:tblPrEx>
          <w:tblCellMar>
            <w:top w:w="0" w:type="dxa"/>
            <w:left w:w="108" w:type="dxa"/>
            <w:bottom w:w="0" w:type="dxa"/>
            <w:right w:w="108" w:type="dxa"/>
          </w:tblCellMar>
        </w:tblPrEx>
        <w:trPr>
          <w:trHeight w:val="514" w:hRule="exact"/>
          <w:jc w:val="center"/>
        </w:trPr>
        <w:tc>
          <w:tcPr>
            <w:tcW w:w="1471" w:type="dxa"/>
            <w:tcBorders>
              <w:top w:val="single" w:color="auto" w:sz="4" w:space="0"/>
              <w:left w:val="single" w:color="auto" w:sz="4" w:space="0"/>
              <w:bottom w:val="single" w:color="auto" w:sz="4" w:space="0"/>
              <w:right w:val="single" w:color="auto" w:sz="4" w:space="0"/>
            </w:tcBorders>
            <w:noWrap w:val="0"/>
            <w:vAlign w:val="bottom"/>
          </w:tcPr>
          <w:p w14:paraId="449C88D4">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1</w:t>
            </w:r>
          </w:p>
        </w:tc>
        <w:tc>
          <w:tcPr>
            <w:tcW w:w="793" w:type="dxa"/>
            <w:tcBorders>
              <w:top w:val="single" w:color="auto" w:sz="4" w:space="0"/>
              <w:left w:val="nil"/>
              <w:bottom w:val="single" w:color="auto" w:sz="4" w:space="0"/>
              <w:right w:val="single" w:color="auto" w:sz="4" w:space="0"/>
            </w:tcBorders>
            <w:noWrap w:val="0"/>
            <w:vAlign w:val="bottom"/>
          </w:tcPr>
          <w:p w14:paraId="218A3F30">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2</w:t>
            </w:r>
          </w:p>
        </w:tc>
        <w:tc>
          <w:tcPr>
            <w:tcW w:w="734" w:type="dxa"/>
            <w:tcBorders>
              <w:top w:val="single" w:color="auto" w:sz="4" w:space="0"/>
              <w:left w:val="nil"/>
              <w:bottom w:val="single" w:color="auto" w:sz="4" w:space="0"/>
              <w:right w:val="single" w:color="auto" w:sz="4" w:space="0"/>
            </w:tcBorders>
            <w:noWrap w:val="0"/>
            <w:vAlign w:val="bottom"/>
          </w:tcPr>
          <w:p w14:paraId="51CC93D5">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2</w:t>
            </w:r>
          </w:p>
        </w:tc>
        <w:tc>
          <w:tcPr>
            <w:tcW w:w="930" w:type="dxa"/>
            <w:tcBorders>
              <w:top w:val="single" w:color="auto" w:sz="4" w:space="0"/>
              <w:left w:val="nil"/>
              <w:bottom w:val="single" w:color="auto" w:sz="4" w:space="0"/>
              <w:right w:val="single" w:color="auto" w:sz="4" w:space="0"/>
            </w:tcBorders>
            <w:noWrap w:val="0"/>
            <w:vAlign w:val="bottom"/>
          </w:tcPr>
          <w:p w14:paraId="4D97600A">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4</w:t>
            </w:r>
          </w:p>
        </w:tc>
        <w:tc>
          <w:tcPr>
            <w:tcW w:w="953" w:type="dxa"/>
            <w:tcBorders>
              <w:top w:val="single" w:color="auto" w:sz="4" w:space="0"/>
              <w:left w:val="nil"/>
              <w:bottom w:val="single" w:color="auto" w:sz="4" w:space="0"/>
              <w:right w:val="single" w:color="auto" w:sz="4" w:space="0"/>
            </w:tcBorders>
            <w:noWrap w:val="0"/>
            <w:vAlign w:val="bottom"/>
          </w:tcPr>
          <w:p w14:paraId="78BF0203">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1</w:t>
            </w:r>
          </w:p>
        </w:tc>
        <w:tc>
          <w:tcPr>
            <w:tcW w:w="657" w:type="dxa"/>
            <w:tcBorders>
              <w:top w:val="single" w:color="auto" w:sz="4" w:space="0"/>
              <w:left w:val="nil"/>
              <w:bottom w:val="single" w:color="auto" w:sz="4" w:space="0"/>
              <w:right w:val="single" w:color="auto" w:sz="4" w:space="0"/>
            </w:tcBorders>
            <w:noWrap w:val="0"/>
            <w:vAlign w:val="bottom"/>
          </w:tcPr>
          <w:p w14:paraId="7DB8BCBA">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2</w:t>
            </w:r>
          </w:p>
        </w:tc>
        <w:tc>
          <w:tcPr>
            <w:tcW w:w="740" w:type="dxa"/>
            <w:tcBorders>
              <w:top w:val="single" w:color="auto" w:sz="4" w:space="0"/>
              <w:left w:val="nil"/>
              <w:bottom w:val="single" w:color="auto" w:sz="4" w:space="0"/>
              <w:right w:val="single" w:color="auto" w:sz="4" w:space="0"/>
            </w:tcBorders>
            <w:noWrap w:val="0"/>
            <w:vAlign w:val="bottom"/>
          </w:tcPr>
          <w:p w14:paraId="79331E62">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1</w:t>
            </w:r>
          </w:p>
        </w:tc>
        <w:tc>
          <w:tcPr>
            <w:tcW w:w="1134" w:type="dxa"/>
            <w:tcBorders>
              <w:top w:val="single" w:color="auto" w:sz="4" w:space="0"/>
              <w:left w:val="nil"/>
              <w:bottom w:val="single" w:color="auto" w:sz="4" w:space="0"/>
              <w:right w:val="single" w:color="auto" w:sz="4" w:space="0"/>
            </w:tcBorders>
            <w:noWrap w:val="0"/>
            <w:vAlign w:val="bottom"/>
          </w:tcPr>
          <w:p w14:paraId="03ECAFC3">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1</w:t>
            </w:r>
          </w:p>
        </w:tc>
        <w:tc>
          <w:tcPr>
            <w:tcW w:w="992" w:type="dxa"/>
            <w:tcBorders>
              <w:top w:val="single" w:color="auto" w:sz="4" w:space="0"/>
              <w:left w:val="nil"/>
              <w:bottom w:val="single" w:color="auto" w:sz="4" w:space="0"/>
              <w:right w:val="single" w:color="auto" w:sz="4" w:space="0"/>
            </w:tcBorders>
            <w:noWrap w:val="0"/>
            <w:vAlign w:val="bottom"/>
          </w:tcPr>
          <w:p w14:paraId="60EFF40A">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4</w:t>
            </w:r>
          </w:p>
        </w:tc>
        <w:tc>
          <w:tcPr>
            <w:tcW w:w="1313" w:type="dxa"/>
            <w:tcBorders>
              <w:top w:val="single" w:color="auto" w:sz="4" w:space="0"/>
              <w:left w:val="nil"/>
              <w:bottom w:val="single" w:color="auto" w:sz="4" w:space="0"/>
              <w:right w:val="single" w:color="auto" w:sz="4" w:space="0"/>
            </w:tcBorders>
            <w:noWrap w:val="0"/>
            <w:vAlign w:val="bottom"/>
          </w:tcPr>
          <w:p w14:paraId="0CCF5BEC">
            <w:pPr>
              <w:pStyle w:val="13"/>
              <w:keepNext w:val="0"/>
              <w:keepLines w:val="0"/>
              <w:pageBreakBefore w:val="0"/>
              <w:widowControl w:val="0"/>
              <w:spacing w:line="360" w:lineRule="auto"/>
              <w:jc w:val="center"/>
              <w:rPr>
                <w:rFonts w:hint="eastAsia" w:ascii="宋体" w:hAnsi="宋体" w:eastAsia="宋体" w:cs="宋体"/>
                <w:b/>
                <w:color w:val="FF0000"/>
                <w:sz w:val="21"/>
                <w:szCs w:val="21"/>
                <w:highlight w:val="none"/>
              </w:rPr>
            </w:pPr>
            <w:r>
              <w:rPr>
                <w:rFonts w:hint="eastAsia" w:ascii="宋体" w:hAnsi="宋体" w:eastAsia="宋体" w:cs="宋体"/>
                <w:b/>
                <w:color w:val="FF0000"/>
                <w:sz w:val="21"/>
                <w:szCs w:val="21"/>
                <w:highlight w:val="none"/>
              </w:rPr>
              <w:t>1</w:t>
            </w:r>
          </w:p>
        </w:tc>
      </w:tr>
    </w:tbl>
    <w:p w14:paraId="22ED360B">
      <w:pPr>
        <w:pStyle w:val="13"/>
        <w:keepNext w:val="0"/>
        <w:keepLines w:val="0"/>
        <w:pageBreakBefore w:val="0"/>
        <w:widowControl w:val="0"/>
        <w:spacing w:line="360" w:lineRule="auto"/>
        <w:jc w:val="left"/>
        <w:rPr>
          <w:rFonts w:hint="eastAsia" w:ascii="宋体" w:hAnsi="宋体" w:eastAsia="宋体" w:cs="宋体"/>
          <w:b/>
          <w:color w:val="auto"/>
          <w:sz w:val="21"/>
          <w:szCs w:val="21"/>
          <w:highlight w:val="none"/>
        </w:rPr>
      </w:pPr>
    </w:p>
    <w:p w14:paraId="67D9BCEB">
      <w:pPr>
        <w:pStyle w:val="13"/>
        <w:keepNext w:val="0"/>
        <w:keepLines w:val="0"/>
        <w:pageBreakBefore w:val="0"/>
        <w:widowControl w:val="0"/>
        <w:spacing w:line="360" w:lineRule="auto"/>
        <w:jc w:val="left"/>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w:t>
      </w:r>
      <w:bookmarkEnd w:id="0"/>
      <w:r>
        <w:rPr>
          <w:rFonts w:hint="eastAsia" w:ascii="宋体" w:hAnsi="宋体" w:cs="宋体"/>
          <w:b/>
          <w:color w:val="auto"/>
          <w:sz w:val="21"/>
          <w:szCs w:val="21"/>
          <w:highlight w:val="none"/>
          <w:lang w:val="en-US" w:eastAsia="zh-CN"/>
        </w:rPr>
        <w:t>养护管理</w:t>
      </w:r>
      <w:r>
        <w:rPr>
          <w:rFonts w:hint="eastAsia" w:ascii="宋体" w:hAnsi="宋体" w:eastAsia="宋体" w:cs="宋体"/>
          <w:b/>
          <w:color w:val="auto"/>
          <w:sz w:val="21"/>
          <w:szCs w:val="21"/>
          <w:highlight w:val="none"/>
        </w:rPr>
        <w:t>要求</w:t>
      </w:r>
    </w:p>
    <w:p w14:paraId="04E25CE0">
      <w:pPr>
        <w:keepNext w:val="0"/>
        <w:keepLines w:val="0"/>
        <w:pageBreakBefore w:val="0"/>
        <w:widowControl/>
        <w:spacing w:line="360" w:lineRule="auto"/>
        <w:ind w:firstLine="482"/>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（一）园艺部分</w:t>
      </w:r>
    </w:p>
    <w:p w14:paraId="5A95F187">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1、树木</w:t>
      </w:r>
    </w:p>
    <w:p w14:paraId="4CF9BC25">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1.1生长旺盛，树干挺直，倾斜度不超过10度，树冠圆整，主侧枝分枝均匀，内膛通风透光；行道树分枝点统一、整齐；花灌木修剪及时合理。</w:t>
      </w:r>
    </w:p>
    <w:p w14:paraId="314D4C5D">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1.2叶色正常，无卷叶、黄叶（生长季节），无病虫害；枝干健壮，无枯死枝，无蛀干害虫危害。</w:t>
      </w:r>
    </w:p>
    <w:p w14:paraId="33D19F3F">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1.3无死树枯枝，缺株率在2%以下（含2%）。</w:t>
      </w:r>
    </w:p>
    <w:p w14:paraId="1BCA82B0">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1.4树干伤口及时处理，树洞及时修补。</w:t>
      </w:r>
    </w:p>
    <w:p w14:paraId="250459B1">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1.5树池规格一致，池缘整齐，完好无损。</w:t>
      </w:r>
    </w:p>
    <w:p w14:paraId="271A1DE7">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1.6涂白均匀，上口平齐，距地面1.2米。</w:t>
      </w:r>
    </w:p>
    <w:p w14:paraId="03990EAD">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1.7苗木扶正，要求对道路及绿地内歪斜苗木进行及时扶正。</w:t>
      </w:r>
    </w:p>
    <w:p w14:paraId="3113A93D">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1.8生长季节连续20天无降雨需及时浇水或喷雾除尘，喷雾除尘时需结合使用植物清洗剂，提高植物鲜洁度。</w:t>
      </w:r>
    </w:p>
    <w:p w14:paraId="5B828724">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1.9、5-10月每月修剪（或剥芽）二次，冬天整形修剪一次。</w:t>
      </w:r>
    </w:p>
    <w:p w14:paraId="01A4EB5D">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每年施厩肥一次。</w:t>
      </w:r>
    </w:p>
    <w:p w14:paraId="590ACDD5">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2、草坪、地被</w:t>
      </w:r>
    </w:p>
    <w:p w14:paraId="4C8F4B1F">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2.1生长旺盛，色泽正常，覆盖率不低于95%，单块空秃面积不超过0.1平方米（0.3m*0.3m）。草坪绿色期：冷季型草坪不得少于300天，暖季型草坪不得少于210天。</w:t>
      </w:r>
    </w:p>
    <w:p w14:paraId="65B91733">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2.2、5-10月每半月清除杂草一遍，冬季前再清除一遍，确保绿地内基本无杂草，杂草率不超过10%</w:t>
      </w:r>
    </w:p>
    <w:p w14:paraId="2EB4FB31">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修剪及时，4月修剪一次，5-10月份冷季型草坪一月修剪两次，暖季型一个月一次，11月上旬一次。修剪高度符合要求，净高度冷季型草坪冬季不超过8cm，夏季不超过10cm，暖季型草坪夏季不超过8cm，冬季尽量低剪。</w:t>
      </w:r>
    </w:p>
    <w:p w14:paraId="06213E9D">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2.4、地形平整，无坑，不积水。</w:t>
      </w:r>
    </w:p>
    <w:p w14:paraId="247B89FF">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2.5、草坪与模纹及苗木树穴之间界限清晰，切边线条流畅。</w:t>
      </w:r>
    </w:p>
    <w:p w14:paraId="3C49F92C">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2.6、生长季节连续15天无降雨需及时浇水，确保无旱情；进入冬季前全面灌冬水一遍。</w:t>
      </w:r>
    </w:p>
    <w:p w14:paraId="6DBD9976">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2.7、每年施尿素、复合肥等4次以上，确保长势良好。</w:t>
      </w:r>
    </w:p>
    <w:p w14:paraId="4F1ABD8A">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3、绿篱色块及球类</w:t>
      </w:r>
    </w:p>
    <w:p w14:paraId="4CF4FB53">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3.1生长旺盛，枝条茂密，色泽正常。</w:t>
      </w:r>
    </w:p>
    <w:p w14:paraId="0C00D949">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3.2、“五一”前全面修剪一次，5—1 0月生长旺季随时修剪，新生萌蘖枝条不得高于2cm；修剪线条整齐划一，按设计要求严格控制高度，同一地段球类的形状、规格一致。</w:t>
      </w:r>
    </w:p>
    <w:p w14:paraId="7B0D898D">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3.3、完整无缺，缺株空秃应及时补齐。</w:t>
      </w:r>
    </w:p>
    <w:p w14:paraId="70DBBFAF">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3.4、生长季节连续1 5天无降雨需及时浇水，并结合使用植物清洗剂，冲刷除尘一次，确保植物无旱情并保持清洁度；进入冬季前全面灌冬水一遍。</w:t>
      </w:r>
    </w:p>
    <w:p w14:paraId="6080F52B">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3.5、冬、春季及时清理越冬杂草，5—1 0月杂草生长旺季，随时清除，确保无明显杂草；冬季前再彻底清除一遍。</w:t>
      </w:r>
    </w:p>
    <w:p w14:paraId="62EFCE0E">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3.6、生长季节每月叶面施肥一次；绿篱、色块、球类每年施厩肥二次，确保生长旺盛。</w:t>
      </w:r>
    </w:p>
    <w:p w14:paraId="7BA17878">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4、花坛</w:t>
      </w:r>
    </w:p>
    <w:p w14:paraId="424F1A4E">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4.1、根据季节，及时更换草花。</w:t>
      </w:r>
    </w:p>
    <w:p w14:paraId="4A6CB01B">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4.2、栽植草花整齐、高度一致，无残花败叶，花色鲜艳。</w:t>
      </w:r>
    </w:p>
    <w:p w14:paraId="5B55A558">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4.3、花坛和周围地被之间有明显边界。</w:t>
      </w:r>
    </w:p>
    <w:p w14:paraId="06546B71">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4.4、及时清理杂草，确保无明显杂草。</w:t>
      </w:r>
    </w:p>
    <w:p w14:paraId="20DBAE83">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4.5、及时进行草花浇水，确保整体效果。</w:t>
      </w:r>
    </w:p>
    <w:p w14:paraId="196F76AF">
      <w:pPr>
        <w:keepNext w:val="0"/>
        <w:keepLines w:val="0"/>
        <w:pageBreakBefore w:val="0"/>
        <w:widowControl/>
        <w:spacing w:line="360" w:lineRule="auto"/>
        <w:ind w:firstLine="482"/>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(二)病虫害防治部分</w:t>
      </w:r>
    </w:p>
    <w:p w14:paraId="7EA4381E">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病虫害控制在不影响观赏效果的程度内，防治费用由乙方承担。</w:t>
      </w:r>
    </w:p>
    <w:p w14:paraId="7A370B71">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1、树木基本无明显的病虫害危害迹象，危害率在8％以下。</w:t>
      </w:r>
    </w:p>
    <w:p w14:paraId="5377835C">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2、草坪、地被类地上地下无明显病虫危害迹象，危害率8％以下。</w:t>
      </w:r>
    </w:p>
    <w:p w14:paraId="74751152">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3、花坛内无严重地上地下无明显病虫危害现象，危害率8％以下。</w:t>
      </w:r>
    </w:p>
    <w:p w14:paraId="27ACF9CC">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4、绿篱色块及球类基本无明显病虫危害迹象，危害率5％以下。</w:t>
      </w:r>
    </w:p>
    <w:p w14:paraId="2BCBDE67">
      <w:pPr>
        <w:keepNext w:val="0"/>
        <w:keepLines w:val="0"/>
        <w:pageBreakBefore w:val="0"/>
        <w:widowControl/>
        <w:spacing w:line="360" w:lineRule="auto"/>
        <w:ind w:firstLine="482"/>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(三)其他</w:t>
      </w:r>
    </w:p>
    <w:p w14:paraId="4E6AD5F4">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、绿化生产垃圾能及时清运。</w:t>
      </w:r>
    </w:p>
    <w:p w14:paraId="51382D47">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、秩序管理绿地内无设摊摆卖，无拴挂，无践踏绿地和其他破坏绿化的行为。</w:t>
      </w:r>
    </w:p>
    <w:p w14:paraId="76700439">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、台账记录详细如实。</w:t>
      </w:r>
    </w:p>
    <w:p w14:paraId="2653AB0E">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、确保</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在上级各种检查以及各类创建评比活动中不失分，做到批评投诉少。</w:t>
      </w:r>
    </w:p>
    <w:p w14:paraId="66409F35">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、履行合同承诺，每分区绿地内有固定养护人员进行日常养护。</w:t>
      </w:r>
    </w:p>
    <w:p w14:paraId="6D46EF05">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、养护单位须配备必要的种植、运输工具，负责养护范围内的树木修补、种植、迁移工作。</w:t>
      </w:r>
    </w:p>
    <w:p w14:paraId="522BEBA6">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、负责养护范围内的盆花、盆景及水生植物的修剪、施肥、除草、浇水等日常养护工作。</w:t>
      </w:r>
    </w:p>
    <w:p w14:paraId="7E6D12A9">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、按要求每月将苗木生长情况及日常养护计划，人员安排计划上报业主 。</w:t>
      </w:r>
    </w:p>
    <w:p w14:paraId="215B86A1">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、遭遇市政工程、重大活动时，</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应派人员做好绿地的维护管理工作，保证绿化完好。</w:t>
      </w:r>
    </w:p>
    <w:p w14:paraId="07BE39ED">
      <w:pPr>
        <w:pStyle w:val="13"/>
        <w:keepNext w:val="0"/>
        <w:keepLines w:val="0"/>
        <w:pageBreakBefore w:val="0"/>
        <w:widowControl w:val="0"/>
        <w:spacing w:line="360" w:lineRule="auto"/>
        <w:jc w:val="lef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、服务要求：</w:t>
      </w:r>
    </w:p>
    <w:p w14:paraId="0AFA981E">
      <w:pPr>
        <w:pStyle w:val="13"/>
        <w:keepNext w:val="0"/>
        <w:keepLines w:val="0"/>
        <w:pageBreakBefore w:val="0"/>
        <w:widowControl w:val="0"/>
        <w:spacing w:line="360" w:lineRule="auto"/>
        <w:ind w:firstLine="42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（一）工作人员要求：</w:t>
      </w:r>
    </w:p>
    <w:p w14:paraId="2165B5F1">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工作人员应穿戴统一服装，施工现场有明显标志，有管理人员管理。</w:t>
      </w:r>
    </w:p>
    <w:p w14:paraId="690484B0">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每天工作不低于8小时，提供全天24小时应急服务，值班人员及联系电话。</w:t>
      </w:r>
    </w:p>
    <w:p w14:paraId="1B9938B9">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年龄不低于18周岁，最大年龄男不得超过65周岁，女不得超过60周岁。</w:t>
      </w:r>
    </w:p>
    <w:p w14:paraId="2D170D4D">
      <w:pPr>
        <w:keepNext w:val="0"/>
        <w:keepLines w:val="0"/>
        <w:pageBreakBefore w:val="0"/>
        <w:widowControl/>
        <w:spacing w:line="360" w:lineRule="auto"/>
        <w:ind w:firstLine="482"/>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负责本项目的项目经理（或项目负责人）不得同时担任其他任何项目的项目负责人。</w:t>
      </w:r>
    </w:p>
    <w:p w14:paraId="74F38BDE">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工作人员必须严格执行安全操作规程，加强安全防护，妥善保管和使用农药等，</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绿化维护工作造成的一切安全责任由供应商承担</w:t>
      </w:r>
      <w:r>
        <w:rPr>
          <w:rFonts w:hint="eastAsia" w:ascii="宋体" w:hAnsi="宋体" w:cs="宋体"/>
          <w:color w:val="auto"/>
          <w:sz w:val="21"/>
          <w:szCs w:val="21"/>
          <w:highlight w:val="none"/>
          <w:lang w:val="en-US" w:eastAsia="zh-CN"/>
        </w:rPr>
        <w:t>。</w:t>
      </w:r>
    </w:p>
    <w:p w14:paraId="413B6339">
      <w:pPr>
        <w:keepNext w:val="0"/>
        <w:keepLines w:val="0"/>
        <w:pageBreakBefore w:val="0"/>
        <w:widowControl/>
        <w:spacing w:line="360" w:lineRule="auto"/>
        <w:ind w:firstLine="482"/>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预上岗人员须有县（区）级以上医院进行体检合格</w:t>
      </w:r>
      <w:r>
        <w:rPr>
          <w:rFonts w:hint="eastAsia" w:ascii="宋体" w:hAnsi="宋体" w:cs="宋体"/>
          <w:color w:val="auto"/>
          <w:sz w:val="21"/>
          <w:szCs w:val="21"/>
          <w:highlight w:val="none"/>
          <w:lang w:val="en-US" w:eastAsia="zh-CN"/>
        </w:rPr>
        <w:t>，无传染病</w:t>
      </w:r>
      <w:r>
        <w:rPr>
          <w:rFonts w:hint="eastAsia" w:ascii="宋体" w:hAnsi="宋体" w:eastAsia="宋体" w:cs="宋体"/>
          <w:color w:val="auto"/>
          <w:sz w:val="21"/>
          <w:szCs w:val="21"/>
          <w:highlight w:val="none"/>
          <w:lang w:val="en-US" w:eastAsia="zh-CN"/>
        </w:rPr>
        <w:t>。</w:t>
      </w:r>
    </w:p>
    <w:p w14:paraId="65D175B5">
      <w:pPr>
        <w:pStyle w:val="13"/>
        <w:keepNext w:val="0"/>
        <w:keepLines w:val="0"/>
        <w:pageBreakBefore w:val="0"/>
        <w:widowControl w:val="0"/>
        <w:spacing w:line="360" w:lineRule="auto"/>
        <w:ind w:firstLine="42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养护机械设备</w:t>
      </w:r>
      <w:r>
        <w:rPr>
          <w:rFonts w:hint="eastAsia" w:ascii="宋体" w:hAnsi="宋体" w:eastAsia="宋体" w:cs="宋体"/>
          <w:b/>
          <w:color w:val="auto"/>
          <w:sz w:val="21"/>
          <w:szCs w:val="21"/>
          <w:highlight w:val="none"/>
          <w:lang w:val="en-US" w:eastAsia="zh-CN"/>
        </w:rPr>
        <w:t>要求</w:t>
      </w:r>
      <w:r>
        <w:rPr>
          <w:rFonts w:hint="eastAsia" w:ascii="宋体" w:hAnsi="宋体" w:eastAsia="宋体" w:cs="宋体"/>
          <w:b/>
          <w:color w:val="auto"/>
          <w:sz w:val="21"/>
          <w:szCs w:val="21"/>
          <w:highlight w:val="none"/>
        </w:rPr>
        <w:t>：</w:t>
      </w:r>
    </w:p>
    <w:p w14:paraId="217844ED">
      <w:pPr>
        <w:pStyle w:val="13"/>
        <w:keepNext w:val="0"/>
        <w:keepLines w:val="0"/>
        <w:pageBreakBefore w:val="0"/>
        <w:widowControl w:val="0"/>
        <w:spacing w:line="360" w:lineRule="auto"/>
        <w:ind w:firstLine="42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1、养护机械设备应能满足本项目需求。</w:t>
      </w:r>
    </w:p>
    <w:p w14:paraId="6B00357C">
      <w:pPr>
        <w:pStyle w:val="13"/>
        <w:keepNext w:val="0"/>
        <w:keepLines w:val="0"/>
        <w:pageBreakBefore w:val="0"/>
        <w:widowControl w:val="0"/>
        <w:spacing w:line="360" w:lineRule="auto"/>
        <w:ind w:firstLine="42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2、在养护过程中，工作人员应按照机械设备使用手册正确使用养护机械设备。</w:t>
      </w:r>
    </w:p>
    <w:p w14:paraId="1DDD649D">
      <w:pPr>
        <w:pStyle w:val="13"/>
        <w:keepNext w:val="0"/>
        <w:keepLines w:val="0"/>
        <w:pageBreakBefore w:val="0"/>
        <w:widowControl w:val="0"/>
        <w:spacing w:line="360" w:lineRule="auto"/>
        <w:ind w:firstLine="42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3、因设备使用不当对树木、绿篱造成伤害的，供应商应承担相应责任。</w:t>
      </w:r>
    </w:p>
    <w:p w14:paraId="0B0C9E0F">
      <w:pPr>
        <w:pStyle w:val="13"/>
        <w:keepNext w:val="0"/>
        <w:keepLines w:val="0"/>
        <w:pageBreakBefore w:val="0"/>
        <w:widowControl w:val="0"/>
        <w:spacing w:line="360" w:lineRule="auto"/>
        <w:jc w:val="left"/>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、其他要求：</w:t>
      </w:r>
      <w:r>
        <w:rPr>
          <w:rFonts w:hint="eastAsia" w:ascii="宋体" w:hAnsi="宋体" w:eastAsia="宋体" w:cs="宋体"/>
          <w:color w:val="auto"/>
          <w:sz w:val="21"/>
          <w:szCs w:val="21"/>
          <w:highlight w:val="none"/>
        </w:rPr>
        <w:t>见《磋商文件》附件：《拟签订的合同文本》。</w:t>
      </w:r>
    </w:p>
    <w:p w14:paraId="169661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9EC20"/>
    <w:multiLevelType w:val="singleLevel"/>
    <w:tmpl w:val="A6B9EC2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B6A62"/>
    <w:rsid w:val="010D0726"/>
    <w:rsid w:val="01795B7A"/>
    <w:rsid w:val="017C6CF6"/>
    <w:rsid w:val="06712B98"/>
    <w:rsid w:val="0680095C"/>
    <w:rsid w:val="06BB4CDF"/>
    <w:rsid w:val="092F4C61"/>
    <w:rsid w:val="09B571AF"/>
    <w:rsid w:val="0A1A4D31"/>
    <w:rsid w:val="0A6A4F8A"/>
    <w:rsid w:val="0C994AD9"/>
    <w:rsid w:val="0D120BCD"/>
    <w:rsid w:val="0D2F6152"/>
    <w:rsid w:val="0D9975CE"/>
    <w:rsid w:val="0DE50FC0"/>
    <w:rsid w:val="0EDC1576"/>
    <w:rsid w:val="0F0C63BC"/>
    <w:rsid w:val="0FBD6A56"/>
    <w:rsid w:val="0FCB2914"/>
    <w:rsid w:val="108B0A32"/>
    <w:rsid w:val="114F2F82"/>
    <w:rsid w:val="11F90938"/>
    <w:rsid w:val="1542428D"/>
    <w:rsid w:val="163D094D"/>
    <w:rsid w:val="16581C32"/>
    <w:rsid w:val="17E94AA2"/>
    <w:rsid w:val="18AD44B9"/>
    <w:rsid w:val="1A572B66"/>
    <w:rsid w:val="1DD92DA6"/>
    <w:rsid w:val="1E52537B"/>
    <w:rsid w:val="1F024469"/>
    <w:rsid w:val="1F0C4B54"/>
    <w:rsid w:val="1FD35924"/>
    <w:rsid w:val="20AD5158"/>
    <w:rsid w:val="21BB205F"/>
    <w:rsid w:val="243A694D"/>
    <w:rsid w:val="245103E6"/>
    <w:rsid w:val="259E6663"/>
    <w:rsid w:val="2609313B"/>
    <w:rsid w:val="26097909"/>
    <w:rsid w:val="267B4E89"/>
    <w:rsid w:val="27825F5B"/>
    <w:rsid w:val="28233FFE"/>
    <w:rsid w:val="29045ABF"/>
    <w:rsid w:val="294D0F92"/>
    <w:rsid w:val="2AA35D63"/>
    <w:rsid w:val="2ABA7DF2"/>
    <w:rsid w:val="2BCD2ECE"/>
    <w:rsid w:val="2CB84D62"/>
    <w:rsid w:val="345B5A6A"/>
    <w:rsid w:val="36083DA1"/>
    <w:rsid w:val="36EB7D1D"/>
    <w:rsid w:val="37766997"/>
    <w:rsid w:val="386625B0"/>
    <w:rsid w:val="39572D9F"/>
    <w:rsid w:val="3A96351E"/>
    <w:rsid w:val="3C8619B9"/>
    <w:rsid w:val="3CAC59A5"/>
    <w:rsid w:val="3CF648A8"/>
    <w:rsid w:val="3D261B45"/>
    <w:rsid w:val="3EEB6A62"/>
    <w:rsid w:val="3F8C0F15"/>
    <w:rsid w:val="40097B3A"/>
    <w:rsid w:val="401222FB"/>
    <w:rsid w:val="40D25E30"/>
    <w:rsid w:val="417771A9"/>
    <w:rsid w:val="42F20348"/>
    <w:rsid w:val="43E5338B"/>
    <w:rsid w:val="446331FB"/>
    <w:rsid w:val="48B03E6E"/>
    <w:rsid w:val="4A190C11"/>
    <w:rsid w:val="4BD565FE"/>
    <w:rsid w:val="4C9B52FC"/>
    <w:rsid w:val="4E1C1904"/>
    <w:rsid w:val="501C26EF"/>
    <w:rsid w:val="51622F9D"/>
    <w:rsid w:val="52091167"/>
    <w:rsid w:val="521D5D58"/>
    <w:rsid w:val="52EB2191"/>
    <w:rsid w:val="56A4537D"/>
    <w:rsid w:val="57ED5A90"/>
    <w:rsid w:val="58BB7CCE"/>
    <w:rsid w:val="58BD392A"/>
    <w:rsid w:val="5932126B"/>
    <w:rsid w:val="5A501260"/>
    <w:rsid w:val="5BC50B91"/>
    <w:rsid w:val="5C6C24F6"/>
    <w:rsid w:val="5CC372DF"/>
    <w:rsid w:val="5ECE5987"/>
    <w:rsid w:val="5F2221CF"/>
    <w:rsid w:val="5F4A3B63"/>
    <w:rsid w:val="60F631B1"/>
    <w:rsid w:val="611B4BD9"/>
    <w:rsid w:val="61DA0423"/>
    <w:rsid w:val="627834A4"/>
    <w:rsid w:val="63085CE8"/>
    <w:rsid w:val="64892A49"/>
    <w:rsid w:val="65953C29"/>
    <w:rsid w:val="65AB6A7D"/>
    <w:rsid w:val="660C4BEC"/>
    <w:rsid w:val="69CE163C"/>
    <w:rsid w:val="6A2820D1"/>
    <w:rsid w:val="6EDB5CA1"/>
    <w:rsid w:val="6F9B79D5"/>
    <w:rsid w:val="6F9D6F5F"/>
    <w:rsid w:val="6FA6125C"/>
    <w:rsid w:val="702B7CAC"/>
    <w:rsid w:val="70E6047A"/>
    <w:rsid w:val="72D96DCD"/>
    <w:rsid w:val="73B73A10"/>
    <w:rsid w:val="7666777B"/>
    <w:rsid w:val="76CD6852"/>
    <w:rsid w:val="772B1536"/>
    <w:rsid w:val="785B2952"/>
    <w:rsid w:val="7A395DB5"/>
    <w:rsid w:val="7A5045F9"/>
    <w:rsid w:val="7AC447FF"/>
    <w:rsid w:val="7DCD7958"/>
    <w:rsid w:val="7E870FC0"/>
    <w:rsid w:val="7FE2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default" w:ascii="Times New Roman" w:hAnsi="Times New Roman" w:eastAsia="宋体" w:cstheme="minorBidi"/>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style>
  <w:style w:type="character" w:customStyle="1" w:styleId="5">
    <w:name w:val="NormalCharacter"/>
    <w:link w:val="6"/>
    <w:semiHidden/>
    <w:qFormat/>
    <w:uiPriority w:val="0"/>
  </w:style>
  <w:style w:type="paragraph" w:customStyle="1" w:styleId="6">
    <w:name w:val="正文1"/>
    <w:basedOn w:val="7"/>
    <w:next w:val="10"/>
    <w:link w:val="5"/>
    <w:qFormat/>
    <w:uiPriority w:val="0"/>
    <w:pPr>
      <w:spacing w:line="360" w:lineRule="atLeast"/>
      <w:jc w:val="left"/>
    </w:pPr>
  </w:style>
  <w:style w:type="paragraph" w:customStyle="1" w:styleId="7">
    <w:name w:val="正文11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脚注文本11"/>
    <w:basedOn w:val="1"/>
    <w:next w:val="9"/>
    <w:unhideWhenUsed/>
    <w:qFormat/>
    <w:uiPriority w:val="0"/>
    <w:pPr>
      <w:spacing w:after="40"/>
    </w:pPr>
    <w:rPr>
      <w:sz w:val="18"/>
    </w:rPr>
  </w:style>
  <w:style w:type="paragraph" w:customStyle="1" w:styleId="9">
    <w:name w:val="索引 511"/>
    <w:basedOn w:val="1"/>
    <w:next w:val="7"/>
    <w:qFormat/>
    <w:uiPriority w:val="0"/>
    <w:pPr>
      <w:ind w:left="798"/>
    </w:pPr>
  </w:style>
  <w:style w:type="paragraph" w:customStyle="1" w:styleId="10">
    <w:name w:val="目录 11"/>
    <w:basedOn w:val="11"/>
    <w:next w:val="6"/>
    <w:qFormat/>
    <w:uiPriority w:val="0"/>
  </w:style>
  <w:style w:type="paragraph" w:customStyle="1" w:styleId="11">
    <w:name w:val="正文12"/>
    <w:next w:val="12"/>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2">
    <w:name w:val="正文文本111"/>
    <w:basedOn w:val="11"/>
    <w:next w:val="11"/>
    <w:qFormat/>
    <w:uiPriority w:val="0"/>
  </w:style>
  <w:style w:type="paragraph" w:customStyle="1" w:styleId="13">
    <w:name w:val="正文11"/>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文本块1"/>
    <w:basedOn w:val="6"/>
    <w:qFormat/>
    <w:uiPriority w:val="0"/>
    <w:pPr>
      <w:ind w:left="420" w:right="33"/>
      <w:jc w:val="left"/>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2687</Words>
  <Characters>2851</Characters>
  <Lines>0</Lines>
  <Paragraphs>0</Paragraphs>
  <TotalTime>1</TotalTime>
  <ScaleCrop>false</ScaleCrop>
  <LinksUpToDate>false</LinksUpToDate>
  <CharactersWithSpaces>2857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2025-07-24T10:18:00Z</dcterms:created>
  <dc:creator>WPS_1734747375</dc:creator>
  <cp:lastModifiedBy>WPS_1734747375</cp:lastModifiedBy>
  <dcterms:modified xsi:type="dcterms:W3CDTF">2025-07-25T02:08:31Z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6D27423F1918411B8D3B1FB9702C1813_11</vt:lpwstr>
  </property>
  <property fmtid="{D5CDD505-2E9C-101B-9397-08002B2CF9AE}" pid="4" name="KSOTemplateDocerSaveRecord">
    <vt:lpwstr>eyJoZGlkIjoiYzJmZDA5YzZjZjcyOWFmNjk2MmU4OTRmZWNhNDZjZWUiLCJ1c2VySWQiOiIxNjY4MDc5MTAxIn0=</vt:lpwstr>
  </property>
</Properties>
</file>