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00"/>
        <w:jc w:val="both"/>
        <w:rPr>
          <w:rFonts w:hint="eastAsia" w:ascii="宋体" w:hAnsi="宋体" w:eastAsia="宋体" w:cs="宋体"/>
          <w:color w:val="000000" w:themeColor="text1"/>
          <w:sz w:val="28"/>
          <w:szCs w:val="28"/>
          <w:highlight w:val="none"/>
          <w14:textFill>
            <w14:solidFill>
              <w14:schemeClr w14:val="tx1"/>
            </w14:solidFill>
          </w14:textFill>
        </w:rPr>
      </w:pPr>
    </w:p>
    <w:p>
      <w:pPr>
        <w:widowControl/>
        <w:ind w:firstLine="3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如有建议或意见，请以书面形式并加盖公章、注明联系人、联系方式，于20</w:t>
      </w:r>
      <w:r>
        <w:rPr>
          <w:rFonts w:hint="eastAsia" w:ascii="宋体" w:hAnsi="宋体" w:eastAsia="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29</w:t>
      </w:r>
      <w:r>
        <w:rPr>
          <w:rFonts w:hint="eastAsia" w:ascii="宋体" w:hAnsi="宋体" w:eastAsia="宋体" w:cs="宋体"/>
          <w:color w:val="000000" w:themeColor="text1"/>
          <w:sz w:val="28"/>
          <w:szCs w:val="28"/>
          <w:highlight w:val="none"/>
          <w14:textFill>
            <w14:solidFill>
              <w14:schemeClr w14:val="tx1"/>
            </w14:solidFill>
          </w14:textFill>
        </w:rPr>
        <w:t>日17:</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0之前送至</w:t>
      </w:r>
      <w:r>
        <w:rPr>
          <w:rFonts w:hint="eastAsia" w:ascii="宋体" w:hAnsi="宋体" w:eastAsia="宋体" w:cs="宋体"/>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单位，逾期不受理（如邮寄，20</w:t>
      </w:r>
      <w:r>
        <w:rPr>
          <w:rFonts w:hint="eastAsia" w:ascii="宋体" w:hAnsi="宋体" w:eastAsia="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29</w:t>
      </w:r>
      <w:bookmarkStart w:id="1" w:name="_GoBack"/>
      <w:bookmarkEnd w:id="1"/>
      <w:r>
        <w:rPr>
          <w:rFonts w:hint="eastAsia" w:ascii="宋体" w:hAnsi="宋体" w:eastAsia="宋体" w:cs="宋体"/>
          <w:color w:val="000000" w:themeColor="text1"/>
          <w:sz w:val="28"/>
          <w:szCs w:val="28"/>
          <w:highlight w:val="none"/>
          <w14:textFill>
            <w14:solidFill>
              <w14:schemeClr w14:val="tx1"/>
            </w14:solidFill>
          </w14:textFill>
        </w:rPr>
        <w:t>日17:</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0之后到达</w:t>
      </w:r>
      <w:r>
        <w:rPr>
          <w:rFonts w:hint="eastAsia" w:ascii="宋体" w:hAnsi="宋体" w:eastAsia="宋体" w:cs="宋体"/>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单位的邮件将不再受理）。</w:t>
      </w:r>
    </w:p>
    <w:p>
      <w:pPr>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 xml:space="preserve"> 采购需求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为贯彻落实中央八项规定</w:t>
      </w:r>
      <w:r>
        <w:rPr>
          <w:rFonts w:hint="eastAsia" w:ascii="宋体" w:hAnsi="宋体" w:cs="宋体"/>
          <w:color w:val="000000" w:themeColor="text1"/>
          <w:sz w:val="24"/>
          <w:szCs w:val="24"/>
          <w:highlight w:val="none"/>
          <w14:textFill>
            <w14:solidFill>
              <w14:schemeClr w14:val="tx1"/>
            </w14:solidFill>
          </w14:textFill>
        </w:rPr>
        <w:t>精神，加强县级党政机关会议费管理，</w:t>
      </w:r>
      <w:r>
        <w:rPr>
          <w:rFonts w:hint="eastAsia" w:ascii="宋体" w:hAnsi="宋体"/>
          <w:color w:val="000000" w:themeColor="text1"/>
          <w:sz w:val="24"/>
          <w:szCs w:val="24"/>
          <w:highlight w:val="none"/>
          <w14:textFill>
            <w14:solidFill>
              <w14:schemeClr w14:val="tx1"/>
            </w14:solidFill>
          </w14:textFill>
        </w:rPr>
        <w:t>根据《江苏省财政厅关于转发财政部＜党政机关会议定点管理办法＞的通知》苏财〔2025〕22号、《市委办公室 市政府办公室关于印发徐州市市级机关会议管理办法的通知》徐委办〔2013〕68号、《徐州市市级机关会议管理补充规定》徐财行〔2018〕12号，现对2025-2027年度沛县会议服务开放式框架协议采购项目，欢迎符合条件的单位（宾馆、酒店、饭店、招待所、会议中心、培训中心等）前来参加申请。</w:t>
      </w:r>
    </w:p>
    <w:p>
      <w:pPr>
        <w:pStyle w:val="8"/>
        <w:keepNext w:val="0"/>
        <w:keepLines w:val="0"/>
        <w:spacing w:before="0" w:after="0" w:line="360" w:lineRule="auto"/>
        <w:ind w:firstLine="422"/>
        <w:rPr>
          <w:rFonts w:ascii="宋体" w:hAnsi="宋体" w:eastAsia="宋体" w:cs="Times New Roman"/>
          <w:bCs w:val="0"/>
          <w:color w:val="000000" w:themeColor="text1"/>
          <w:highlight w:val="none"/>
          <w14:textFill>
            <w14:solidFill>
              <w14:schemeClr w14:val="tx1"/>
            </w14:solidFill>
          </w14:textFill>
        </w:rPr>
      </w:pPr>
      <w:r>
        <w:rPr>
          <w:rFonts w:hint="eastAsia" w:ascii="宋体" w:hAnsi="宋体" w:eastAsia="宋体" w:cs="Times New Roman"/>
          <w:bCs w:val="0"/>
          <w:color w:val="000000" w:themeColor="text1"/>
          <w:highlight w:val="none"/>
          <w14:textFill>
            <w14:solidFill>
              <w14:schemeClr w14:val="tx1"/>
            </w14:solidFill>
          </w14:textFill>
        </w:rPr>
        <w:t>一、总体要求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沛县</w:t>
      </w:r>
      <w:r>
        <w:rPr>
          <w:rFonts w:hint="eastAsia" w:ascii="宋体" w:hAnsi="宋体"/>
          <w:color w:val="000000" w:themeColor="text1"/>
          <w:sz w:val="24"/>
          <w:szCs w:val="24"/>
          <w:highlight w:val="none"/>
          <w14:textFill>
            <w14:solidFill>
              <w14:schemeClr w14:val="tx1"/>
            </w14:solidFill>
          </w14:textFill>
        </w:rPr>
        <w:t>范围内</w:t>
      </w:r>
      <w:r>
        <w:rPr>
          <w:rFonts w:hint="eastAsia" w:ascii="宋体" w:hAnsi="宋体" w:cs="宋体"/>
          <w:color w:val="000000" w:themeColor="text1"/>
          <w:sz w:val="24"/>
          <w:szCs w:val="24"/>
          <w:highlight w:val="none"/>
          <w:lang w:val="en-US" w:eastAsia="zh-CN"/>
          <w14:textFill>
            <w14:solidFill>
              <w14:schemeClr w14:val="tx1"/>
            </w14:solidFill>
          </w14:textFill>
        </w:rPr>
        <w:t>(沛城街道、汉源街道、大屯街道、汉兴街道等</w:t>
      </w:r>
      <w:r>
        <w:rPr>
          <w:rFonts w:hint="eastAsia" w:ascii="宋体" w:hAnsi="宋体" w:cs="Arial"/>
          <w:bCs/>
          <w:color w:val="000000" w:themeColor="text1"/>
          <w:sz w:val="24"/>
          <w:szCs w:val="24"/>
          <w:highlight w:val="none"/>
          <w:lang w:eastAsia="zh-CN"/>
          <w14:textFill>
            <w14:solidFill>
              <w14:schemeClr w14:val="tx1"/>
            </w14:solidFill>
          </w14:textFill>
        </w:rPr>
        <w:t>区</w:t>
      </w:r>
      <w:r>
        <w:rPr>
          <w:rFonts w:hint="eastAsia" w:ascii="宋体" w:hAnsi="宋体" w:cs="Arial"/>
          <w:bCs/>
          <w:color w:val="000000" w:themeColor="text1"/>
          <w:sz w:val="24"/>
          <w:szCs w:val="24"/>
          <w:highlight w:val="none"/>
          <w14:textFill>
            <w14:solidFill>
              <w14:schemeClr w14:val="tx1"/>
            </w14:solidFill>
          </w14:textFill>
        </w:rPr>
        <w:t>域范围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具备保证会议所需要的住宿房间、会议室、餐厅以及相关设施</w:t>
      </w:r>
      <w:r>
        <w:rPr>
          <w:rFonts w:hint="eastAsia" w:ascii="宋体" w:hAnsi="宋体"/>
          <w:color w:val="000000" w:themeColor="text1"/>
          <w:sz w:val="24"/>
          <w:szCs w:val="24"/>
          <w:highlight w:val="none"/>
          <w14:textFill>
            <w14:solidFill>
              <w14:schemeClr w14:val="tx1"/>
            </w14:solidFill>
          </w14:textFill>
        </w:rPr>
        <w:t>和承办</w:t>
      </w:r>
      <w:r>
        <w:rPr>
          <w:rFonts w:hint="eastAsia" w:ascii="宋体" w:hAnsi="宋体"/>
          <w:color w:val="000000" w:themeColor="text1"/>
          <w:sz w:val="24"/>
          <w:szCs w:val="24"/>
          <w:highlight w:val="none"/>
          <w:lang w:eastAsia="zh-CN"/>
          <w14:textFill>
            <w14:solidFill>
              <w14:schemeClr w14:val="tx1"/>
            </w14:solidFill>
          </w14:textFill>
        </w:rPr>
        <w:t>县</w:t>
      </w:r>
      <w:r>
        <w:rPr>
          <w:rFonts w:hint="eastAsia" w:ascii="宋体" w:hAnsi="宋体"/>
          <w:color w:val="000000" w:themeColor="text1"/>
          <w:sz w:val="24"/>
          <w:szCs w:val="24"/>
          <w:highlight w:val="none"/>
          <w14:textFill>
            <w14:solidFill>
              <w14:schemeClr w14:val="tx1"/>
            </w14:solidFill>
          </w14:textFill>
        </w:rPr>
        <w:t>级三类以上会议的能力，承诺能提供全部客房和会议室，并优先提供最新房间及会议室的宾馆、酒店、饭店、招待所、会议中心、培训中心和</w:t>
      </w:r>
      <w:r>
        <w:rPr>
          <w:rFonts w:ascii="宋体" w:hAnsi="宋体"/>
          <w:color w:val="000000" w:themeColor="text1"/>
          <w:sz w:val="24"/>
          <w:szCs w:val="24"/>
          <w:highlight w:val="none"/>
          <w14:textFill>
            <w14:solidFill>
              <w14:schemeClr w14:val="tx1"/>
            </w14:solidFill>
          </w14:textFill>
        </w:rPr>
        <w:t>专业会议场所</w:t>
      </w:r>
      <w:r>
        <w:rPr>
          <w:rFonts w:hint="eastAsia" w:ascii="宋体" w:hAnsi="宋体"/>
          <w:color w:val="000000" w:themeColor="text1"/>
          <w:sz w:val="24"/>
          <w:szCs w:val="24"/>
          <w:highlight w:val="none"/>
          <w14:textFill>
            <w14:solidFill>
              <w14:schemeClr w14:val="tx1"/>
            </w14:solidFill>
          </w14:textFill>
        </w:rPr>
        <w:t>。</w:t>
      </w:r>
    </w:p>
    <w:p>
      <w:pPr>
        <w:pStyle w:val="8"/>
        <w:keepNext w:val="0"/>
        <w:keepLines w:val="0"/>
        <w:spacing w:before="0" w:after="0" w:line="360" w:lineRule="auto"/>
        <w:ind w:firstLine="422"/>
        <w:rPr>
          <w:rFonts w:ascii="宋体" w:hAnsi="宋体" w:eastAsia="宋体" w:cs="Times New Roman"/>
          <w:bCs w:val="0"/>
          <w:color w:val="000000" w:themeColor="text1"/>
          <w:highlight w:val="none"/>
          <w14:textFill>
            <w14:solidFill>
              <w14:schemeClr w14:val="tx1"/>
            </w14:solidFill>
          </w14:textFill>
        </w:rPr>
      </w:pPr>
      <w:r>
        <w:rPr>
          <w:rFonts w:hint="eastAsia" w:ascii="宋体" w:hAnsi="宋体" w:eastAsia="宋体" w:cs="Times New Roman"/>
          <w:bCs w:val="0"/>
          <w:color w:val="000000" w:themeColor="text1"/>
          <w:highlight w:val="none"/>
          <w14:textFill>
            <w14:solidFill>
              <w14:schemeClr w14:val="tx1"/>
            </w14:solidFill>
          </w14:textFill>
        </w:rPr>
        <w:t>二、框架协议期限</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2025年</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日至202</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lang w:val="en-US" w:eastAsia="zh-CN"/>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31</w:t>
      </w:r>
      <w:r>
        <w:rPr>
          <w:rFonts w:hint="eastAsia" w:ascii="宋体" w:hAnsi="宋体"/>
          <w:color w:val="000000" w:themeColor="text1"/>
          <w:sz w:val="24"/>
          <w:szCs w:val="24"/>
          <w:highlight w:val="none"/>
          <w14:textFill>
            <w14:solidFill>
              <w14:schemeClr w14:val="tx1"/>
            </w14:solidFill>
          </w14:textFill>
        </w:rPr>
        <w:t>日（本项目框架协议的期限暂定为2年，若省财政厅另有统一征集的，按省财政厅征集要求及结果执行）。</w:t>
      </w:r>
    </w:p>
    <w:p>
      <w:pPr>
        <w:pStyle w:val="8"/>
        <w:keepNext w:val="0"/>
        <w:keepLines w:val="0"/>
        <w:spacing w:before="0" w:after="0" w:line="360" w:lineRule="auto"/>
        <w:ind w:firstLine="422"/>
        <w:rPr>
          <w:rFonts w:ascii="宋体" w:hAnsi="宋体" w:eastAsia="宋体" w:cs="Times New Roman"/>
          <w:bCs w:val="0"/>
          <w:color w:val="000000" w:themeColor="text1"/>
          <w:highlight w:val="none"/>
          <w14:textFill>
            <w14:solidFill>
              <w14:schemeClr w14:val="tx1"/>
            </w14:solidFill>
          </w14:textFill>
        </w:rPr>
      </w:pPr>
      <w:r>
        <w:rPr>
          <w:rFonts w:hint="eastAsia" w:ascii="宋体" w:hAnsi="宋体" w:eastAsia="宋体" w:cs="Times New Roman"/>
          <w:bCs w:val="0"/>
          <w:color w:val="000000" w:themeColor="text1"/>
          <w:highlight w:val="none"/>
          <w14:textFill>
            <w14:solidFill>
              <w14:schemeClr w14:val="tx1"/>
            </w14:solidFill>
          </w14:textFill>
        </w:rPr>
        <w:t>三、适用框架协议的采购人或者服务对象范围</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本次采购主要用于</w:t>
      </w:r>
      <w:r>
        <w:rPr>
          <w:rFonts w:hint="eastAsia" w:ascii="宋体" w:hAnsi="宋体"/>
          <w:color w:val="000000" w:themeColor="text1"/>
          <w:sz w:val="24"/>
          <w:szCs w:val="24"/>
          <w:highlight w:val="none"/>
          <w:lang w:eastAsia="zh-CN"/>
          <w14:textFill>
            <w14:solidFill>
              <w14:schemeClr w14:val="tx1"/>
            </w14:solidFill>
          </w14:textFill>
        </w:rPr>
        <w:t>沛县县级</w:t>
      </w:r>
      <w:r>
        <w:rPr>
          <w:rFonts w:ascii="宋体" w:hAnsi="宋体"/>
          <w:color w:val="000000" w:themeColor="text1"/>
          <w:sz w:val="24"/>
          <w:szCs w:val="24"/>
          <w:highlight w:val="none"/>
          <w14:textFill>
            <w14:solidFill>
              <w14:schemeClr w14:val="tx1"/>
            </w14:solidFill>
          </w14:textFill>
        </w:rPr>
        <w:t>党政机关</w:t>
      </w:r>
      <w:r>
        <w:rPr>
          <w:rFonts w:hint="eastAsia" w:ascii="宋体" w:hAnsi="宋体"/>
          <w:color w:val="000000" w:themeColor="text1"/>
          <w:sz w:val="24"/>
          <w:szCs w:val="24"/>
          <w:highlight w:val="none"/>
          <w14:textFill>
            <w14:solidFill>
              <w14:schemeClr w14:val="tx1"/>
            </w14:solidFill>
          </w14:textFill>
        </w:rPr>
        <w:t>、事业单位和团体组织在</w:t>
      </w:r>
      <w:r>
        <w:rPr>
          <w:rFonts w:hint="eastAsia" w:ascii="宋体" w:hAnsi="宋体"/>
          <w:color w:val="000000" w:themeColor="text1"/>
          <w:sz w:val="24"/>
          <w:szCs w:val="24"/>
          <w:highlight w:val="none"/>
          <w:lang w:eastAsia="zh-CN"/>
          <w14:textFill>
            <w14:solidFill>
              <w14:schemeClr w14:val="tx1"/>
            </w14:solidFill>
          </w14:textFill>
        </w:rPr>
        <w:t>沛县</w:t>
      </w:r>
      <w:r>
        <w:rPr>
          <w:rFonts w:hint="eastAsia" w:ascii="宋体" w:hAnsi="宋体"/>
          <w:color w:val="000000" w:themeColor="text1"/>
          <w:sz w:val="24"/>
          <w:szCs w:val="24"/>
          <w:highlight w:val="none"/>
          <w14:textFill>
            <w14:solidFill>
              <w14:schemeClr w14:val="tx1"/>
            </w14:solidFill>
          </w14:textFill>
        </w:rPr>
        <w:t>范围内召开的各类会议。会议定点场所在全省、全国范围内实行资源共享，县内各镇（街道）党政机关事业单位执行现行会议标准相关规定，在不超过会议费定额标准情况下，可享受同等会议服务。</w:t>
      </w:r>
    </w:p>
    <w:p>
      <w:pPr>
        <w:pStyle w:val="8"/>
        <w:keepNext w:val="0"/>
        <w:keepLines w:val="0"/>
        <w:spacing w:before="0" w:after="0" w:line="360" w:lineRule="auto"/>
        <w:ind w:firstLine="422"/>
        <w:rPr>
          <w:rFonts w:ascii="宋体" w:hAnsi="宋体" w:eastAsia="宋体" w:cs="Times New Roman"/>
          <w:bCs w:val="0"/>
          <w:color w:val="000000" w:themeColor="text1"/>
          <w:highlight w:val="none"/>
          <w14:textFill>
            <w14:solidFill>
              <w14:schemeClr w14:val="tx1"/>
            </w14:solidFill>
          </w14:textFill>
        </w:rPr>
      </w:pPr>
      <w:r>
        <w:rPr>
          <w:rFonts w:hint="eastAsia" w:ascii="宋体" w:hAnsi="宋体" w:eastAsia="宋体" w:cs="Times New Roman"/>
          <w:bCs w:val="0"/>
          <w:color w:val="000000" w:themeColor="text1"/>
          <w:highlight w:val="none"/>
          <w14:textFill>
            <w14:solidFill>
              <w14:schemeClr w14:val="tx1"/>
            </w14:solidFill>
          </w14:textFill>
        </w:rPr>
        <w:t>四、报价要求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（一）基本情况</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1.本次征集按会议服务功能设置分包。</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分包一：具有综合型会议接待能力的单位；</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分包二：具有单一会议功能场所的单位。</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供应商选择符合自己资格能力的分包投报，各分包不可兼投。</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沛县县</w:t>
      </w:r>
      <w:r>
        <w:rPr>
          <w:rFonts w:hint="eastAsia" w:ascii="宋体" w:hAnsi="宋体"/>
          <w:color w:val="000000" w:themeColor="text1"/>
          <w:sz w:val="24"/>
          <w:szCs w:val="24"/>
          <w:highlight w:val="none"/>
          <w14:textFill>
            <w14:solidFill>
              <w14:schemeClr w14:val="tx1"/>
            </w14:solidFill>
          </w14:textFill>
        </w:rPr>
        <w:t>级机关召开的会议实行以下分类管理：</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一类会议：由</w:t>
      </w:r>
      <w:r>
        <w:rPr>
          <w:rFonts w:hint="eastAsia" w:ascii="宋体" w:hAnsi="宋体"/>
          <w:color w:val="000000" w:themeColor="text1"/>
          <w:sz w:val="24"/>
          <w:szCs w:val="24"/>
          <w:highlight w:val="none"/>
          <w:lang w:eastAsia="zh-CN"/>
          <w14:textFill>
            <w14:solidFill>
              <w14:schemeClr w14:val="tx1"/>
            </w14:solidFill>
          </w14:textFill>
        </w:rPr>
        <w:t>县</w:t>
      </w:r>
      <w:r>
        <w:rPr>
          <w:rFonts w:hint="eastAsia" w:ascii="宋体" w:hAnsi="宋体"/>
          <w:color w:val="000000" w:themeColor="text1"/>
          <w:sz w:val="24"/>
          <w:szCs w:val="24"/>
          <w:highlight w:val="none"/>
          <w14:textFill>
            <w14:solidFill>
              <w14:schemeClr w14:val="tx1"/>
            </w14:solidFill>
          </w14:textFill>
        </w:rPr>
        <w:t>委、</w:t>
      </w:r>
      <w:r>
        <w:rPr>
          <w:rFonts w:hint="eastAsia" w:ascii="宋体" w:hAnsi="宋体"/>
          <w:color w:val="000000" w:themeColor="text1"/>
          <w:sz w:val="24"/>
          <w:szCs w:val="24"/>
          <w:highlight w:val="none"/>
          <w:lang w:eastAsia="zh-CN"/>
          <w14:textFill>
            <w14:solidFill>
              <w14:schemeClr w14:val="tx1"/>
            </w14:solidFill>
          </w14:textFill>
        </w:rPr>
        <w:t>县</w:t>
      </w:r>
      <w:r>
        <w:rPr>
          <w:rFonts w:hint="eastAsia" w:ascii="宋体" w:hAnsi="宋体"/>
          <w:color w:val="000000" w:themeColor="text1"/>
          <w:sz w:val="24"/>
          <w:szCs w:val="24"/>
          <w:highlight w:val="none"/>
          <w14:textFill>
            <w14:solidFill>
              <w14:schemeClr w14:val="tx1"/>
            </w14:solidFill>
          </w14:textFill>
        </w:rPr>
        <w:t>政府召开，县党委、政府主要负责人或</w:t>
      </w:r>
      <w:r>
        <w:rPr>
          <w:rFonts w:hint="eastAsia" w:ascii="宋体" w:hAnsi="宋体"/>
          <w:color w:val="000000" w:themeColor="text1"/>
          <w:sz w:val="24"/>
          <w:szCs w:val="24"/>
          <w:highlight w:val="none"/>
          <w:lang w:eastAsia="zh-CN"/>
          <w14:textFill>
            <w14:solidFill>
              <w14:schemeClr w14:val="tx1"/>
            </w14:solidFill>
          </w14:textFill>
        </w:rPr>
        <w:t>县</w:t>
      </w:r>
      <w:r>
        <w:rPr>
          <w:rFonts w:hint="eastAsia" w:ascii="宋体" w:hAnsi="宋体"/>
          <w:color w:val="000000" w:themeColor="text1"/>
          <w:sz w:val="24"/>
          <w:szCs w:val="24"/>
          <w:highlight w:val="none"/>
          <w14:textFill>
            <w14:solidFill>
              <w14:schemeClr w14:val="tx1"/>
            </w14:solidFill>
          </w14:textFill>
        </w:rPr>
        <w:t>各</w:t>
      </w:r>
      <w:r>
        <w:rPr>
          <w:rFonts w:hint="eastAsia" w:ascii="宋体" w:hAnsi="宋体"/>
          <w:color w:val="000000" w:themeColor="text1"/>
          <w:sz w:val="24"/>
          <w:szCs w:val="24"/>
          <w:highlight w:val="none"/>
          <w:lang w:eastAsia="zh-CN"/>
          <w14:textFill>
            <w14:solidFill>
              <w14:schemeClr w14:val="tx1"/>
            </w14:solidFill>
          </w14:textFill>
        </w:rPr>
        <w:t>镇（街道）、</w:t>
      </w:r>
      <w:r>
        <w:rPr>
          <w:rFonts w:hint="eastAsia" w:ascii="宋体" w:hAnsi="宋体"/>
          <w:color w:val="000000" w:themeColor="text1"/>
          <w:sz w:val="24"/>
          <w:szCs w:val="24"/>
          <w:highlight w:val="none"/>
          <w14:textFill>
            <w14:solidFill>
              <w14:schemeClr w14:val="tx1"/>
            </w14:solidFill>
          </w14:textFill>
        </w:rPr>
        <w:t>部、委、办、局主要负责人参加的会议。</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二类会议：由</w:t>
      </w:r>
      <w:r>
        <w:rPr>
          <w:rFonts w:hint="eastAsia" w:ascii="宋体" w:hAnsi="宋体"/>
          <w:color w:val="000000" w:themeColor="text1"/>
          <w:sz w:val="24"/>
          <w:szCs w:val="24"/>
          <w:highlight w:val="none"/>
          <w:lang w:eastAsia="zh-CN"/>
          <w14:textFill>
            <w14:solidFill>
              <w14:schemeClr w14:val="tx1"/>
            </w14:solidFill>
          </w14:textFill>
        </w:rPr>
        <w:t>县</w:t>
      </w:r>
      <w:r>
        <w:rPr>
          <w:rFonts w:hint="eastAsia" w:ascii="宋体" w:hAnsi="宋体"/>
          <w:color w:val="000000" w:themeColor="text1"/>
          <w:sz w:val="24"/>
          <w:szCs w:val="24"/>
          <w:highlight w:val="none"/>
          <w14:textFill>
            <w14:solidFill>
              <w14:schemeClr w14:val="tx1"/>
            </w14:solidFill>
          </w14:textFill>
        </w:rPr>
        <w:t>各部、委、办、局牵头，以</w:t>
      </w:r>
      <w:r>
        <w:rPr>
          <w:rFonts w:hint="eastAsia" w:ascii="宋体" w:hAnsi="宋体"/>
          <w:color w:val="000000" w:themeColor="text1"/>
          <w:sz w:val="24"/>
          <w:szCs w:val="24"/>
          <w:highlight w:val="none"/>
          <w:lang w:eastAsia="zh-CN"/>
          <w14:textFill>
            <w14:solidFill>
              <w14:schemeClr w14:val="tx1"/>
            </w14:solidFill>
          </w14:textFill>
        </w:rPr>
        <w:t>县</w:t>
      </w:r>
      <w:r>
        <w:rPr>
          <w:rFonts w:hint="eastAsia" w:ascii="宋体" w:hAnsi="宋体"/>
          <w:color w:val="000000" w:themeColor="text1"/>
          <w:sz w:val="24"/>
          <w:szCs w:val="24"/>
          <w:highlight w:val="none"/>
          <w14:textFill>
            <w14:solidFill>
              <w14:schemeClr w14:val="tx1"/>
            </w14:solidFill>
          </w14:textFill>
        </w:rPr>
        <w:t>委、</w:t>
      </w:r>
      <w:r>
        <w:rPr>
          <w:rFonts w:hint="eastAsia" w:ascii="宋体" w:hAnsi="宋体"/>
          <w:color w:val="000000" w:themeColor="text1"/>
          <w:sz w:val="24"/>
          <w:szCs w:val="24"/>
          <w:highlight w:val="none"/>
          <w:lang w:eastAsia="zh-CN"/>
          <w14:textFill>
            <w14:solidFill>
              <w14:schemeClr w14:val="tx1"/>
            </w14:solidFill>
          </w14:textFill>
        </w:rPr>
        <w:t>县</w:t>
      </w:r>
      <w:r>
        <w:rPr>
          <w:rFonts w:hint="eastAsia" w:ascii="宋体" w:hAnsi="宋体"/>
          <w:color w:val="000000" w:themeColor="text1"/>
          <w:sz w:val="24"/>
          <w:szCs w:val="24"/>
          <w:highlight w:val="none"/>
          <w14:textFill>
            <w14:solidFill>
              <w14:schemeClr w14:val="tx1"/>
            </w14:solidFill>
          </w14:textFill>
        </w:rPr>
        <w:t>政府名义召开，县党委、政府分管负责人等参加的工作性会议。</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三类会议：是指除上述一、二类会议以外的其他会议，包括业务性会议、条线会议、座谈会、评审会等。</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3.会议综合定额上限标准为：</w:t>
      </w:r>
      <w:r>
        <w:rPr>
          <w:rFonts w:hint="eastAsia" w:ascii="宋体" w:hAnsi="宋体"/>
          <w:b/>
          <w:color w:val="000000" w:themeColor="text1"/>
          <w:sz w:val="24"/>
          <w:szCs w:val="24"/>
          <w:highlight w:val="none"/>
          <w14:textFill>
            <w14:solidFill>
              <w14:schemeClr w14:val="tx1"/>
            </w14:solidFill>
          </w14:textFill>
        </w:rPr>
        <w:t>一类会议</w:t>
      </w:r>
      <w:r>
        <w:rPr>
          <w:rFonts w:hint="eastAsia" w:ascii="宋体" w:hAnsi="宋体"/>
          <w:b/>
          <w:color w:val="000000" w:themeColor="text1"/>
          <w:sz w:val="24"/>
          <w:szCs w:val="24"/>
          <w:highlight w:val="none"/>
          <w:lang w:val="en-US" w:eastAsia="zh-CN"/>
          <w14:textFill>
            <w14:solidFill>
              <w14:schemeClr w14:val="tx1"/>
            </w14:solidFill>
          </w14:textFill>
        </w:rPr>
        <w:t>50</w:t>
      </w:r>
      <w:r>
        <w:rPr>
          <w:rFonts w:hint="eastAsia" w:ascii="宋体" w:hAnsi="宋体"/>
          <w:b/>
          <w:color w:val="000000" w:themeColor="text1"/>
          <w:sz w:val="24"/>
          <w:szCs w:val="24"/>
          <w:highlight w:val="none"/>
          <w14:textFill>
            <w14:solidFill>
              <w14:schemeClr w14:val="tx1"/>
            </w14:solidFill>
          </w14:textFill>
        </w:rPr>
        <w:t>0元/人天，二类会议</w:t>
      </w:r>
      <w:r>
        <w:rPr>
          <w:rFonts w:hint="eastAsia" w:ascii="宋体" w:hAnsi="宋体"/>
          <w:b/>
          <w:color w:val="000000" w:themeColor="text1"/>
          <w:sz w:val="24"/>
          <w:szCs w:val="24"/>
          <w:highlight w:val="none"/>
          <w:lang w:val="en-US" w:eastAsia="zh-CN"/>
          <w14:textFill>
            <w14:solidFill>
              <w14:schemeClr w14:val="tx1"/>
            </w14:solidFill>
          </w14:textFill>
        </w:rPr>
        <w:t>400</w:t>
      </w:r>
      <w:r>
        <w:rPr>
          <w:rFonts w:hint="eastAsia" w:ascii="宋体" w:hAnsi="宋体"/>
          <w:b/>
          <w:color w:val="000000" w:themeColor="text1"/>
          <w:sz w:val="24"/>
          <w:szCs w:val="24"/>
          <w:highlight w:val="none"/>
          <w14:textFill>
            <w14:solidFill>
              <w14:schemeClr w14:val="tx1"/>
            </w14:solidFill>
          </w14:textFill>
        </w:rPr>
        <w:t>元/人天，三类会议</w:t>
      </w:r>
      <w:r>
        <w:rPr>
          <w:rFonts w:hint="eastAsia" w:ascii="宋体" w:hAnsi="宋体"/>
          <w:b/>
          <w:color w:val="000000" w:themeColor="text1"/>
          <w:sz w:val="24"/>
          <w:szCs w:val="24"/>
          <w:highlight w:val="none"/>
          <w:lang w:val="en-US" w:eastAsia="zh-CN"/>
          <w14:textFill>
            <w14:solidFill>
              <w14:schemeClr w14:val="tx1"/>
            </w14:solidFill>
          </w14:textFill>
        </w:rPr>
        <w:t>300</w:t>
      </w:r>
      <w:r>
        <w:rPr>
          <w:rFonts w:hint="eastAsia" w:ascii="宋体" w:hAnsi="宋体"/>
          <w:b/>
          <w:color w:val="000000" w:themeColor="text1"/>
          <w:sz w:val="24"/>
          <w:szCs w:val="24"/>
          <w:highlight w:val="none"/>
          <w14:textFill>
            <w14:solidFill>
              <w14:schemeClr w14:val="tx1"/>
            </w14:solidFill>
          </w14:textFill>
        </w:rPr>
        <w:t>元/人天，二、三类会议原则上不安排住宿，不安排住宿的会议按综合定额标准的50%核定。</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会议综合定额标准包括住宿费（含早餐）、伙食费、会议室租金、设备租赁费、交通费、文件印刷费、医药费等，是会议费开支的上限，各单位应在综合定额标准以内据实结算。</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按50%核定的会议综合定额标准，包括伙食费、会议室租金、设备租赁费、交通费、文件印刷费、医药费等（不含住宿费），是会议费开支的上限，各单位应在综合定额标准以内据实结算。</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（二）报价要求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沛县</w:t>
      </w:r>
      <w:r>
        <w:rPr>
          <w:rFonts w:hint="eastAsia" w:ascii="宋体" w:hAnsi="宋体"/>
          <w:color w:val="000000" w:themeColor="text1"/>
          <w:sz w:val="24"/>
          <w:szCs w:val="24"/>
          <w:highlight w:val="none"/>
          <w14:textFill>
            <w14:solidFill>
              <w14:schemeClr w14:val="tx1"/>
            </w14:solidFill>
          </w14:textFill>
        </w:rPr>
        <w:t>党政机关会议定点场所的房间、会议室、会议餐费等报价以综合定额标准为采购上限。</w:t>
      </w:r>
    </w:p>
    <w:p>
      <w:pPr>
        <w:spacing w:line="360" w:lineRule="auto"/>
        <w:ind w:firstLine="48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定点饭店客房标准间（即双人间）价格不高于</w:t>
      </w:r>
      <w:r>
        <w:rPr>
          <w:rFonts w:hint="eastAsia" w:ascii="宋体" w:hAnsi="宋体"/>
          <w:b/>
          <w:color w:val="000000" w:themeColor="text1"/>
          <w:sz w:val="24"/>
          <w:szCs w:val="24"/>
          <w:highlight w:val="none"/>
          <w:lang w:val="en-US" w:eastAsia="zh-CN"/>
          <w14:textFill>
            <w14:solidFill>
              <w14:schemeClr w14:val="tx1"/>
            </w14:solidFill>
          </w14:textFill>
        </w:rPr>
        <w:t>340</w:t>
      </w:r>
      <w:r>
        <w:rPr>
          <w:rFonts w:hint="eastAsia" w:ascii="宋体" w:hAnsi="宋体"/>
          <w:b/>
          <w:color w:val="000000" w:themeColor="text1"/>
          <w:sz w:val="24"/>
          <w:szCs w:val="24"/>
          <w:highlight w:val="none"/>
          <w14:textFill>
            <w14:solidFill>
              <w14:schemeClr w14:val="tx1"/>
            </w14:solidFill>
          </w14:textFill>
        </w:rPr>
        <w:t>元/天（含双早），客房单间价格不高于</w:t>
      </w:r>
      <w:r>
        <w:rPr>
          <w:rFonts w:hint="eastAsia" w:ascii="宋体" w:hAnsi="宋体"/>
          <w:b/>
          <w:color w:val="000000" w:themeColor="text1"/>
          <w:sz w:val="24"/>
          <w:szCs w:val="24"/>
          <w:highlight w:val="none"/>
          <w:u w:val="none"/>
          <w:lang w:val="en-US" w:eastAsia="zh-CN"/>
          <w14:textFill>
            <w14:solidFill>
              <w14:schemeClr w14:val="tx1"/>
            </w14:solidFill>
          </w14:textFill>
        </w:rPr>
        <w:t>340</w:t>
      </w:r>
      <w:r>
        <w:rPr>
          <w:rFonts w:hint="eastAsia" w:ascii="宋体" w:hAnsi="宋体"/>
          <w:b/>
          <w:color w:val="000000" w:themeColor="text1"/>
          <w:sz w:val="24"/>
          <w:szCs w:val="24"/>
          <w:highlight w:val="none"/>
          <w14:textFill>
            <w14:solidFill>
              <w14:schemeClr w14:val="tx1"/>
            </w14:solidFill>
          </w14:textFill>
        </w:rPr>
        <w:t>元/天（含早）；</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2.单一会议功能场所提供会议服务人均费用按照不超过《关于调整江苏省省级机关会议费开支综合定额标准的通知》（苏财行〔2017〕44号）中明确的其他费用标准执行，</w:t>
      </w:r>
      <w:r>
        <w:rPr>
          <w:rFonts w:hint="eastAsia" w:ascii="宋体" w:hAnsi="宋体"/>
          <w:b/>
          <w:color w:val="000000" w:themeColor="text1"/>
          <w:sz w:val="24"/>
          <w:szCs w:val="24"/>
          <w:highlight w:val="none"/>
          <w14:textFill>
            <w14:solidFill>
              <w14:schemeClr w14:val="tx1"/>
            </w14:solidFill>
          </w14:textFill>
        </w:rPr>
        <w:t>一类会议110元/人天，二类会议100元/人天，三类会议80元/人天。</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（三）其他说明</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1.供应商框架协议期内的综合报价包括满足本次会议定点场所服务要求的所有服务等从项目入围起到项目正式交付所发生的一切费用。</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2.本次征集，供应商填报的价格不参与评比，作为第二阶段采购人或者服务对象自行选定的参考。</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3.入围供应商须按照征集公告要求和框架协议约定接受采购人或者服务对象的合同授予，并履行政府采购合同。</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4.入围供应商不得将本项目服务进行转包。未经采购人同意，入围供应商也不得采用分包的形式履行合同，否则征集人有权依法终止框架协议，采购人有权依法</w:t>
      </w:r>
      <w:r>
        <w:rPr>
          <w:rFonts w:ascii="宋体" w:hAnsi="宋体"/>
          <w:color w:val="000000" w:themeColor="text1"/>
          <w:sz w:val="24"/>
          <w:szCs w:val="24"/>
          <w:highlight w:val="none"/>
          <w14:textFill>
            <w14:solidFill>
              <w14:schemeClr w14:val="tx1"/>
            </w14:solidFill>
          </w14:textFill>
        </w:rPr>
        <w:t>终止采购合同。</w:t>
      </w:r>
      <w:r>
        <w:rPr>
          <w:rFonts w:hint="eastAsia" w:ascii="宋体" w:hAnsi="宋体"/>
          <w:color w:val="000000" w:themeColor="text1"/>
          <w:sz w:val="24"/>
          <w:szCs w:val="24"/>
          <w:highlight w:val="none"/>
          <w14:textFill>
            <w14:solidFill>
              <w14:schemeClr w14:val="tx1"/>
            </w14:solidFill>
          </w14:textFill>
        </w:rPr>
        <w:t>转包或分包造成征集人或</w:t>
      </w:r>
      <w:r>
        <w:rPr>
          <w:rFonts w:ascii="宋体" w:hAnsi="宋体"/>
          <w:color w:val="000000" w:themeColor="text1"/>
          <w:sz w:val="24"/>
          <w:szCs w:val="24"/>
          <w:highlight w:val="none"/>
          <w14:textFill>
            <w14:solidFill>
              <w14:schemeClr w14:val="tx1"/>
            </w14:solidFill>
          </w14:textFill>
        </w:rPr>
        <w:t>采购人</w:t>
      </w:r>
      <w:r>
        <w:rPr>
          <w:rFonts w:hint="eastAsia" w:ascii="宋体" w:hAnsi="宋体"/>
          <w:color w:val="000000" w:themeColor="text1"/>
          <w:sz w:val="24"/>
          <w:szCs w:val="24"/>
          <w:highlight w:val="none"/>
          <w14:textFill>
            <w14:solidFill>
              <w14:schemeClr w14:val="tx1"/>
            </w14:solidFill>
          </w14:textFill>
        </w:rPr>
        <w:t>损失的，入围供应商应承担相应赔偿责任。</w:t>
      </w:r>
    </w:p>
    <w:p>
      <w:pPr>
        <w:pStyle w:val="8"/>
        <w:keepNext w:val="0"/>
        <w:keepLines w:val="0"/>
        <w:spacing w:before="0" w:after="0" w:line="360" w:lineRule="auto"/>
        <w:ind w:firstLine="422"/>
        <w:rPr>
          <w:rFonts w:ascii="宋体" w:hAnsi="宋体" w:eastAsia="宋体" w:cs="Times New Roman"/>
          <w:bCs w:val="0"/>
          <w:color w:val="000000" w:themeColor="text1"/>
          <w:highlight w:val="none"/>
          <w14:textFill>
            <w14:solidFill>
              <w14:schemeClr w14:val="tx1"/>
            </w14:solidFill>
          </w14:textFill>
        </w:rPr>
      </w:pPr>
      <w:r>
        <w:rPr>
          <w:rFonts w:hint="eastAsia" w:ascii="宋体" w:hAnsi="宋体" w:eastAsia="宋体" w:cs="Times New Roman"/>
          <w:bCs w:val="0"/>
          <w:color w:val="000000" w:themeColor="text1"/>
          <w:highlight w:val="none"/>
          <w14:textFill>
            <w14:solidFill>
              <w14:schemeClr w14:val="tx1"/>
            </w14:solidFill>
          </w14:textFill>
        </w:rPr>
        <w:t>五、服务要求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（一）基本服务要求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沛县</w:t>
      </w:r>
      <w:r>
        <w:rPr>
          <w:rFonts w:hint="eastAsia" w:ascii="宋体" w:hAnsi="宋体"/>
          <w:color w:val="000000" w:themeColor="text1"/>
          <w:sz w:val="24"/>
          <w:szCs w:val="24"/>
          <w:highlight w:val="none"/>
          <w14:textFill>
            <w14:solidFill>
              <w14:schemeClr w14:val="tx1"/>
            </w14:solidFill>
          </w14:textFill>
        </w:rPr>
        <w:t>范围内</w:t>
      </w:r>
      <w:r>
        <w:rPr>
          <w:rFonts w:hint="eastAsia" w:ascii="宋体" w:hAnsi="宋体" w:cs="宋体"/>
          <w:color w:val="000000" w:themeColor="text1"/>
          <w:sz w:val="24"/>
          <w:szCs w:val="24"/>
          <w:highlight w:val="none"/>
          <w:lang w:val="en-US" w:eastAsia="zh-CN"/>
          <w14:textFill>
            <w14:solidFill>
              <w14:schemeClr w14:val="tx1"/>
            </w14:solidFill>
          </w14:textFill>
        </w:rPr>
        <w:t>(沛城街道、汉源街道、大屯街道、汉兴街道等</w:t>
      </w:r>
      <w:r>
        <w:rPr>
          <w:rFonts w:hint="eastAsia" w:ascii="宋体" w:hAnsi="宋体" w:cs="Arial"/>
          <w:bCs/>
          <w:color w:val="000000" w:themeColor="text1"/>
          <w:sz w:val="24"/>
          <w:szCs w:val="24"/>
          <w:highlight w:val="none"/>
          <w:lang w:eastAsia="zh-CN"/>
          <w14:textFill>
            <w14:solidFill>
              <w14:schemeClr w14:val="tx1"/>
            </w14:solidFill>
          </w14:textFill>
        </w:rPr>
        <w:t>区</w:t>
      </w:r>
      <w:r>
        <w:rPr>
          <w:rFonts w:hint="eastAsia" w:ascii="宋体" w:hAnsi="宋体" w:cs="Arial"/>
          <w:bCs/>
          <w:color w:val="000000" w:themeColor="text1"/>
          <w:sz w:val="24"/>
          <w:szCs w:val="24"/>
          <w:highlight w:val="none"/>
          <w14:textFill>
            <w14:solidFill>
              <w14:schemeClr w14:val="tx1"/>
            </w14:solidFill>
          </w14:textFill>
        </w:rPr>
        <w:t>域范围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具备保证会议所需要的住宿房间、会议室、餐厅以及相关设施</w:t>
      </w:r>
      <w:r>
        <w:rPr>
          <w:rFonts w:hint="eastAsia" w:ascii="宋体" w:hAnsi="宋体"/>
          <w:color w:val="000000" w:themeColor="text1"/>
          <w:sz w:val="24"/>
          <w:szCs w:val="24"/>
          <w:highlight w:val="none"/>
          <w14:textFill>
            <w14:solidFill>
              <w14:schemeClr w14:val="tx1"/>
            </w14:solidFill>
          </w14:textFill>
        </w:rPr>
        <w:t>和承办</w:t>
      </w:r>
      <w:r>
        <w:rPr>
          <w:rFonts w:hint="eastAsia" w:ascii="宋体" w:hAnsi="宋体"/>
          <w:color w:val="000000" w:themeColor="text1"/>
          <w:sz w:val="24"/>
          <w:szCs w:val="24"/>
          <w:highlight w:val="none"/>
          <w:lang w:eastAsia="zh-CN"/>
          <w14:textFill>
            <w14:solidFill>
              <w14:schemeClr w14:val="tx1"/>
            </w14:solidFill>
          </w14:textFill>
        </w:rPr>
        <w:t>县</w:t>
      </w:r>
      <w:r>
        <w:rPr>
          <w:rFonts w:hint="eastAsia" w:ascii="宋体" w:hAnsi="宋体"/>
          <w:color w:val="000000" w:themeColor="text1"/>
          <w:sz w:val="24"/>
          <w:szCs w:val="24"/>
          <w:highlight w:val="none"/>
          <w14:textFill>
            <w14:solidFill>
              <w14:schemeClr w14:val="tx1"/>
            </w14:solidFill>
          </w14:textFill>
        </w:rPr>
        <w:t>级三类以上会议的能力，承诺能提供全部客房和会议室，并优先提供最新房间及会议室的宾馆、酒店、饭店、招待所、会议中心、培训中心和</w:t>
      </w:r>
      <w:r>
        <w:rPr>
          <w:rFonts w:ascii="宋体" w:hAnsi="宋体"/>
          <w:color w:val="000000" w:themeColor="text1"/>
          <w:sz w:val="24"/>
          <w:szCs w:val="24"/>
          <w:highlight w:val="none"/>
          <w14:textFill>
            <w14:solidFill>
              <w14:schemeClr w14:val="tx1"/>
            </w14:solidFill>
          </w14:textFill>
        </w:rPr>
        <w:t>专业会议场所</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1.框架协议服务期间的执行价格原则上以入围供应商的入围价格及财政部党政机关会议定点场所管理信息系统公布的最新价格为依据，入围价格为最高限价，各采购人可以与入围供应商就实际价格进行协商。</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2.框架协议服务期间，如果入围供应商入围产品、服务发生价格政策调整，入围供应商须在第一时间向采购人书面申请调整报价，调价后的价格应不高于投标时的承诺，调价后的服务应不低于投标时的承诺。</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在其他优惠条件方面，入围供应商不得对采购人实行差别待遇。非政府采购行业的大客户、零售客户等享受的优惠条件，采购人必须同等享受；非政府采购行业的大客户、零售客户等可免费使用的会议场所相关配套设施，各采购人必须同样免费使用。</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入围供应商必须严格执行最高限价承诺。如因非政府采购行业的大客户采购等情况拟低于入围价格销售的（原则上不得低于入围价格），须由入围供应商提出书面申请并说明原因，在得到所在地集中采购机构或主管部门正式书面备案后才能实施，未备案而发生的低于最高限价的非政府采购销售案例，一经查实，将按有关违约责任处理。</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5.入围供应商在特定时间举办的促销活动和优惠政策，各采购人有权参加其促销活动和享受其优惠政策。</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6.入围供应商应保证采购人获得优先服务的权利，积极主动与采购人配合，并在不超过承诺的期限内完成会议承办工作。</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7.入围供应商应设有固定联系电话及联系人，及时响应采购人的各项要求，并按采购人要求免费提供上门服务。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8.入围供应商对承办的会议服务，单独建立台账或账户核算。</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9.入围供应商应按照征集文件的服务要求及响应情况，提供相应的服务。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入围供应商应对采购人的会议定点服务业务建立采购人档案，开展跟踪服务。同意采购人通过“党政机关会议定点场所管理系统”对接待党政机关会议业绩进行统计，作为下一轮党政机关会议定点场所政府采购的参考依据。</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11.入围供应商应拒绝采购人在协议或承诺范围外提出的不合理要求，防止出现违规现象。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12.入围供应商应指定专人在财政部党政机关会议定点场所管理信息系统（</w:t>
      </w:r>
      <w:bookmarkStart w:id="0" w:name="OLE_LINK3"/>
      <w:r>
        <w:rPr>
          <w:rFonts w:hint="eastAsia" w:ascii="宋体" w:hAnsi="宋体"/>
          <w:color w:val="000000" w:themeColor="text1"/>
          <w:sz w:val="24"/>
          <w:szCs w:val="24"/>
          <w:highlight w:val="none"/>
          <w14:textFill>
            <w14:solidFill>
              <w14:schemeClr w14:val="tx1"/>
            </w14:solidFill>
          </w14:textFill>
        </w:rPr>
        <w:t>http://meeting.mof.gov.cn/</w:t>
      </w:r>
      <w:bookmarkEnd w:id="0"/>
      <w:r>
        <w:rPr>
          <w:rFonts w:hint="eastAsia" w:ascii="宋体" w:hAnsi="宋体"/>
          <w:color w:val="000000" w:themeColor="text1"/>
          <w:sz w:val="24"/>
          <w:szCs w:val="24"/>
          <w:highlight w:val="none"/>
          <w14:textFill>
            <w14:solidFill>
              <w14:schemeClr w14:val="tx1"/>
            </w14:solidFill>
          </w14:textFill>
        </w:rPr>
        <w:t>）进行报价等相关信息维护。</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13.入围供应商可提供的其他服务。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（二）服务规范要求</w:t>
      </w:r>
    </w:p>
    <w:p>
      <w:pPr>
        <w:widowControl/>
        <w:spacing w:line="360" w:lineRule="auto"/>
        <w:ind w:firstLine="482"/>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分包一：</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1.具备与承接会议类型和规模相适应的会议服务能力，能够提供会议需要的客房和会议室，以及与之配套的餐厅和免费停车场。</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2.饭店布局合理，方便会议接待使用。</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3.有空调设施，各区域通风良好，温湿度适宜。</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4.有计算机管理系统。</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5.各种设备设施养护良好，使用安全、有效。</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6.各项管理规章制度、操作程序以及服务规范健全。</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7.具备各项应急预案和实施细则。</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8.前厅：</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（1）设有客人休息场所；</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（2）设迎宾员和值班经理，18小时以上接待客人；</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（3）总服务台提供小件行李和贵重物品寄存服务，有供客人使用的行李推车，必要时提供行李服务；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（4）总服务台设在前厅的适当位置，设置接待、问讯、留言、预订、结账等服务项目，提供24小时服务；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（5）应设应急广播系统。</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9.客房：</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（1）客房内均设卫生间，配备抽水马桶、带台面的面盆、梳妆镜、浴缸或淋浴设施、浴帘、洗脸巾、浴巾、洗漱用品和卫生用品，有良好的照明和排风系统，地面有防滑设施，24小时提供冷、热浴水；</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（2）客房具备隔音措施；</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（3）有门窥镜和防盗装备，在显著位置张贴应急疏散图及相关说明；</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配备质量较好的软垫床、沙发或扶手椅、茶几、衣橱、写字台、台灯、床头灯、窗帘等配套家具，有空调、彩电、闭路电视系统及可通过总机拨通的国际国内长途电话，备有信封、信纸、笔、宾馆简介、价格表、住宿须知、服务指南、必要的防蚊、防虫等措施；</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（5）提供叫醒服务；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（6）24小时提供开水（饮用水）并免费提供茶叶；</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（7）客房、卫生间每天全面整理一次。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10．餐厅及厨房</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（1）能接待与会人员同时就餐，有小餐厅并可为少数民族参会者提供符合其饮食习惯的菜品；</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（2）家具、餐具、酒具、用具配套完好，不使用一次性塑料桌布和筷子，提供餐巾纸或餐巾；</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（3）提供早、中、晚餐，并可根据宾客需要提供特色餐饮服务及自助餐；</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（4）厨房有符合卫生标准的冷荤间、面点间，有足够的冷藏冷冻设施，有符合规定的洗刷和消毒设施，有专门放置临时垃圾并保持封闭的设施，全部使用不锈钢工作台、橱柜及优质的厨具、用具；</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（5）冷荤间、面点间独立分隔，有足够的冷气设备。冷荤间温度符合食品卫生标准，有消毒保鲜设备；</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（6）厨房和餐厅之间有隔音、隔热、隔气味设施；</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（7）采取有效的消灭蚊蝇、蟑螂等虫害措施。</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11．会议室</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（1）有至少容纳100人以上会议（出具相关证明，如现场图片、示意图或承诺书）的专用会议厅、报告厅，有相应的中小型会议室；</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（2）会议室应为封闭的独立区域，配有空调、可分区控制的灯光、会议桌椅、茶具、用具齐备，会议室有两个以上完好且能正常使用的麦克风等必要的音响设备（免费提供），隔音效果良好；</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（3）可为特殊需求提供或租用多媒体演示设备（电脑，实物投影仪，多媒体投影仪等）；</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（4）大会议室所在楼层有男女分设的卫生间；会议室旁有供与会人员临时休息室；</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（5）免费提供纸、笔、席卡等基本的会议用文具；</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（6）免费协助会议主办方在合理期限内布置会场；</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（7）会场已安装固定LED大屏的应免费提供使用，或免费配合会议主办方安装LED大屏。</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12．公共区域设施设备</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（1）室内公共区域有制冷、采暖设备；</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（2）有男女分设的卫生间；</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（3）4层以上（含4层）建筑物有足够的客用电梯；</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（4）有应急照明设施，紧急出口标识清楚，位置合理，无障碍物。</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13．综合服务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（1）提供复印、打印、传真等服务。</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14．人员要求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（1）管理服务人员具备接待政府采购会议的能力。管理人员经过专业培训并取得岗位培训证书，上岗职工经过岗前培训，服务人员与床位数量比例适当；</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（2）有专职或兼职的食品卫生管理人员。</w:t>
      </w:r>
    </w:p>
    <w:p>
      <w:pPr>
        <w:spacing w:line="360" w:lineRule="auto"/>
        <w:ind w:firstLine="482"/>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分包二：</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能够提供的专业会议功能场所至少有一个可容纳不少于1000人的大会议室（人均面积不少于1.2平方米），相应的中型、小型会议室，及与之配套的免费停车场。会场应具有贵宾接待功能并且能够提供不小于30平方米的序厅。</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1.服务内容，包含但不限于如下几方面：</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（1）会议前的会议主办方的信息资料收集。</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（2）会议前的接待，指客人入店之后工作人员的接待和车辆停放。</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（3）会议厅的布局及物品摆放。布局包括：签到台，会议桌摆放，桌上的纸笔水等。</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（4）灯光及音响的效果和配合，灯光PPT，主席台。音响包括音乐播放等。</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（5）会议小歇的工作安排，休会时，会场的清洁和重新整理。</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（6）会议期间的茶水供应。</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（7）会议结束时会场的检查，客人（包括车辆）的疏导等。</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2.有空调设施，各区域通风良好，温湿度适宜。</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3.有计算机管理系统。</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4.各种设备设施养护良好，使用安全、有效。</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5.各项管理规章制度健全、操作程序以及服务规范健全。</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6.具备各项应急预案和实施细则。</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7.应设应急广播系统。</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8.会议室</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（1）同时拥有不少于3个（含）以上的会议室（活动隔断不可重复计算）；</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（2）会议室应为封闭的独立区域，配有空调、可分区控制的灯光、会议桌椅、茶具、用具齐备，会议室有两个以上完好且能正常使用的麦克风的必要的音响设备（免费提供），隔音效果良好；</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（3）可为特殊需求提供或租用多媒体演示设备（电脑，实物投影仪，多媒体投影仪等）；</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（4）会议室所在楼层有男女分设的卫生间；</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（5）免费提供纸、笔、席卡等基本的会议用文具；</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（6）免费协助会议主办方在合理期限内布置会场；</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（7）会场已安装固定LED大屏的应免费提供使用，或免费配合会议主办方安装LED大屏。</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9.公共区域设施设备</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（1）室内公共区域有制冷、采暖设备；</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（2）4层以上（含4层）建筑物有足够的客用电梯；</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（3）有应急照明设施，紧急出口标识清楚，位置合理，无障碍物。</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10.人员要求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管理服务人员具备接待政府采购会议的能力。管理人员经过专业培训，上岗职工经过岗前培训。</w:t>
      </w:r>
    </w:p>
    <w:p>
      <w:pPr>
        <w:pStyle w:val="8"/>
        <w:keepNext w:val="0"/>
        <w:keepLines w:val="0"/>
        <w:spacing w:before="0" w:after="0" w:line="360" w:lineRule="auto"/>
        <w:ind w:firstLine="422"/>
        <w:rPr>
          <w:rFonts w:ascii="宋体" w:hAnsi="宋体" w:eastAsia="宋体" w:cs="Times New Roman"/>
          <w:bCs w:val="0"/>
          <w:color w:val="000000" w:themeColor="text1"/>
          <w:highlight w:val="none"/>
          <w14:textFill>
            <w14:solidFill>
              <w14:schemeClr w14:val="tx1"/>
            </w14:solidFill>
          </w14:textFill>
        </w:rPr>
      </w:pPr>
      <w:r>
        <w:rPr>
          <w:rFonts w:hint="eastAsia" w:ascii="宋体" w:hAnsi="宋体" w:eastAsia="宋体" w:cs="Times New Roman"/>
          <w:bCs w:val="0"/>
          <w:color w:val="000000" w:themeColor="text1"/>
          <w:highlight w:val="none"/>
          <w14:textFill>
            <w14:solidFill>
              <w14:schemeClr w14:val="tx1"/>
            </w14:solidFill>
          </w14:textFill>
        </w:rPr>
        <w:t>六、付费标准，费用结算及支付方式</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1.付费标准（即执行价格），原则上以入围供应商的入围价格及财政部党政机关会议定点场所管理信息系统公布的最新价格为依据，不得超过中央、省、市各类会议费开支上限。</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2.会议综合定额标准包括</w:t>
      </w:r>
      <w:r>
        <w:rPr>
          <w:rFonts w:ascii="宋体" w:hAnsi="宋体"/>
          <w:color w:val="000000" w:themeColor="text1"/>
          <w:sz w:val="24"/>
          <w:szCs w:val="24"/>
          <w:highlight w:val="none"/>
          <w14:textFill>
            <w14:solidFill>
              <w14:schemeClr w14:val="tx1"/>
            </w14:solidFill>
          </w14:textFill>
        </w:rPr>
        <w:t>住宿费</w:t>
      </w:r>
      <w:r>
        <w:rPr>
          <w:rFonts w:hint="eastAsia" w:ascii="宋体" w:hAnsi="宋体"/>
          <w:color w:val="000000" w:themeColor="text1"/>
          <w:sz w:val="24"/>
          <w:szCs w:val="24"/>
          <w:highlight w:val="none"/>
          <w14:textFill>
            <w14:solidFill>
              <w14:schemeClr w14:val="tx1"/>
            </w14:solidFill>
          </w14:textFill>
        </w:rPr>
        <w:t>（含早餐）</w:t>
      </w:r>
      <w:r>
        <w:rPr>
          <w:rFonts w:ascii="宋体" w:hAnsi="宋体"/>
          <w:color w:val="000000" w:themeColor="text1"/>
          <w:sz w:val="24"/>
          <w:szCs w:val="24"/>
          <w:highlight w:val="none"/>
          <w14:textFill>
            <w14:solidFill>
              <w14:schemeClr w14:val="tx1"/>
            </w14:solidFill>
          </w14:textFill>
        </w:rPr>
        <w:t>、伙食费、</w:t>
      </w:r>
      <w:r>
        <w:rPr>
          <w:rFonts w:hint="eastAsia" w:ascii="宋体" w:hAnsi="宋体"/>
          <w:color w:val="000000" w:themeColor="text1"/>
          <w:sz w:val="24"/>
          <w:szCs w:val="24"/>
          <w:highlight w:val="none"/>
          <w14:textFill>
            <w14:solidFill>
              <w14:schemeClr w14:val="tx1"/>
            </w14:solidFill>
          </w14:textFill>
        </w:rPr>
        <w:t>会议室租金、设备租赁费、</w:t>
      </w:r>
      <w:r>
        <w:rPr>
          <w:rFonts w:ascii="宋体" w:hAnsi="宋体"/>
          <w:color w:val="000000" w:themeColor="text1"/>
          <w:sz w:val="24"/>
          <w:szCs w:val="24"/>
          <w:highlight w:val="none"/>
          <w14:textFill>
            <w14:solidFill>
              <w14:schemeClr w14:val="tx1"/>
            </w14:solidFill>
          </w14:textFill>
        </w:rPr>
        <w:t>交通费、</w:t>
      </w:r>
      <w:r>
        <w:rPr>
          <w:rFonts w:hint="eastAsia" w:ascii="宋体" w:hAnsi="宋体"/>
          <w:color w:val="000000" w:themeColor="text1"/>
          <w:sz w:val="24"/>
          <w:szCs w:val="24"/>
          <w:highlight w:val="none"/>
          <w14:textFill>
            <w14:solidFill>
              <w14:schemeClr w14:val="tx1"/>
            </w14:solidFill>
          </w14:textFill>
        </w:rPr>
        <w:t>文件</w:t>
      </w:r>
      <w:r>
        <w:rPr>
          <w:rFonts w:ascii="宋体" w:hAnsi="宋体"/>
          <w:color w:val="000000" w:themeColor="text1"/>
          <w:sz w:val="24"/>
          <w:szCs w:val="24"/>
          <w:highlight w:val="none"/>
          <w14:textFill>
            <w14:solidFill>
              <w14:schemeClr w14:val="tx1"/>
            </w14:solidFill>
          </w14:textFill>
        </w:rPr>
        <w:t>印刷费、医药费等，</w:t>
      </w:r>
      <w:r>
        <w:rPr>
          <w:rFonts w:hint="eastAsia" w:ascii="宋体" w:hAnsi="宋体"/>
          <w:color w:val="000000" w:themeColor="text1"/>
          <w:sz w:val="24"/>
          <w:szCs w:val="24"/>
          <w:highlight w:val="none"/>
          <w14:textFill>
            <w14:solidFill>
              <w14:schemeClr w14:val="tx1"/>
            </w14:solidFill>
          </w14:textFill>
        </w:rPr>
        <w:t>是会议费开支的上限，各单位应在综合定额标准以内据实结算。</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3.会议费用</w:t>
      </w:r>
      <w:r>
        <w:rPr>
          <w:rFonts w:ascii="宋体" w:hAnsi="宋体"/>
          <w:color w:val="000000" w:themeColor="text1"/>
          <w:sz w:val="24"/>
          <w:szCs w:val="24"/>
          <w:highlight w:val="none"/>
          <w14:textFill>
            <w14:solidFill>
              <w14:schemeClr w14:val="tx1"/>
            </w14:solidFill>
          </w14:textFill>
        </w:rPr>
        <w:t>应在会议结束后及时结算</w:t>
      </w:r>
      <w:r>
        <w:rPr>
          <w:rFonts w:hint="eastAsia" w:ascii="宋体" w:hAnsi="宋体"/>
          <w:color w:val="000000" w:themeColor="text1"/>
          <w:sz w:val="24"/>
          <w:szCs w:val="24"/>
          <w:highlight w:val="none"/>
          <w14:textFill>
            <w14:solidFill>
              <w14:schemeClr w14:val="tx1"/>
            </w14:solidFill>
          </w14:textFill>
        </w:rPr>
        <w:t>，会议定点场所应当在结算时通过“党政机关会议定点场所管理系统”打印电子结算单，按规定提供电子结算单、</w:t>
      </w:r>
      <w:r>
        <w:rPr>
          <w:rFonts w:ascii="宋体" w:hAnsi="宋体"/>
          <w:color w:val="000000" w:themeColor="text1"/>
          <w:sz w:val="24"/>
          <w:szCs w:val="24"/>
          <w:highlight w:val="none"/>
          <w14:textFill>
            <w14:solidFill>
              <w14:schemeClr w14:val="tx1"/>
            </w14:solidFill>
          </w14:textFill>
        </w:rPr>
        <w:t>消费明细清单等资料作为支出凭据</w:t>
      </w:r>
      <w:r>
        <w:rPr>
          <w:rFonts w:hint="eastAsia" w:ascii="宋体" w:hAnsi="宋体"/>
          <w:color w:val="000000" w:themeColor="text1"/>
          <w:sz w:val="24"/>
          <w:szCs w:val="24"/>
          <w:highlight w:val="none"/>
          <w14:textFill>
            <w14:solidFill>
              <w14:schemeClr w14:val="tx1"/>
            </w14:solidFill>
          </w14:textFill>
        </w:rPr>
        <w:t>，为具体采购人或服务对象开具合法的发票，采购人或服务对象须按规定，在收到发票后及时规范进行费用结算，并一次性支付合同款。</w:t>
      </w:r>
    </w:p>
    <w:p>
      <w:pPr>
        <w:pStyle w:val="8"/>
        <w:keepNext w:val="0"/>
        <w:keepLines w:val="0"/>
        <w:spacing w:before="0" w:after="0" w:line="360" w:lineRule="auto"/>
        <w:ind w:firstLine="422"/>
        <w:rPr>
          <w:rFonts w:ascii="宋体" w:hAnsi="宋体" w:eastAsia="宋体" w:cs="Times New Roman"/>
          <w:bCs w:val="0"/>
          <w:color w:val="000000" w:themeColor="text1"/>
          <w:highlight w:val="none"/>
          <w14:textFill>
            <w14:solidFill>
              <w14:schemeClr w14:val="tx1"/>
            </w14:solidFill>
          </w14:textFill>
        </w:rPr>
      </w:pPr>
      <w:r>
        <w:rPr>
          <w:rFonts w:hint="eastAsia" w:ascii="宋体" w:hAnsi="宋体" w:eastAsia="宋体" w:cs="Times New Roman"/>
          <w:bCs w:val="0"/>
          <w:color w:val="000000" w:themeColor="text1"/>
          <w:highlight w:val="none"/>
          <w14:textFill>
            <w14:solidFill>
              <w14:schemeClr w14:val="tx1"/>
            </w14:solidFill>
          </w14:textFill>
        </w:rPr>
        <w:t>七、其他有关要求</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实行政府采购供应商诚信管理制度。对供应商失信行为、不良行为等诚信信息</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在</w:t>
      </w:r>
      <w:r>
        <w:rPr>
          <w:rFonts w:hint="eastAsia" w:ascii="宋体" w:hAnsi="宋体"/>
          <w:color w:val="000000" w:themeColor="text1"/>
          <w:sz w:val="24"/>
          <w:szCs w:val="24"/>
          <w:highlight w:val="none"/>
          <w14:textFill>
            <w14:solidFill>
              <w14:schemeClr w14:val="tx1"/>
            </w14:solidFill>
          </w14:textFill>
        </w:rPr>
        <w:t>本次框架协议采购实施工作</w:t>
      </w:r>
      <w:r>
        <w:rPr>
          <w:rFonts w:ascii="宋体" w:hAnsi="宋体"/>
          <w:color w:val="000000" w:themeColor="text1"/>
          <w:sz w:val="24"/>
          <w:szCs w:val="24"/>
          <w:highlight w:val="none"/>
          <w14:textFill>
            <w14:solidFill>
              <w14:schemeClr w14:val="tx1"/>
            </w14:solidFill>
          </w14:textFill>
        </w:rPr>
        <w:t>中予以记录</w:t>
      </w:r>
      <w:r>
        <w:rPr>
          <w:rFonts w:hint="eastAsia" w:ascii="宋体" w:hAnsi="宋体"/>
          <w:color w:val="000000" w:themeColor="text1"/>
          <w:sz w:val="24"/>
          <w:szCs w:val="24"/>
          <w:highlight w:val="none"/>
          <w14:textFill>
            <w14:solidFill>
              <w14:schemeClr w14:val="tx1"/>
            </w14:solidFill>
          </w14:textFill>
        </w:rPr>
        <w:t>并按规定进行处理。</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2.在入围资格审核及协议履约期间，征集人及财政监督管理部门有权要求供应商出具申请文件中的相关证明材料原件，予以确认其真实性和有效性。</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3.会议定点场所有以下行为之一的，经调查属实，取消会议定点场所资格：</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（1）无正当理由拒绝接待党政机关会议的；</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（2）不履行采购协议义务或者履行采购协议义务不符合约定，经党政机关请求履行后仍不履行或仍未按约定履行的；</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（3）超过协议价格收取费用或采取减少服务项目等降低服务质量的；</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（4）提供虚假凭证或者未按规定提供发票、费用原始明细单据、电子结算单等凭证的；</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（5）不配合、甚至干扰阻挠财政部门正常管理监督工作的；</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（6）未经批准单方面终止履行协议的；</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（7）在采购协议期内，因违法行为被禁止或者限制参加政府采购活动的；</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（8）采购协议约定的其他情形。</w:t>
      </w:r>
    </w:p>
    <w:p>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会议定点场所被取消资格后不得在同一框架协议期内再次加入。</w:t>
      </w:r>
    </w:p>
    <w:p>
      <w:pPr>
        <w:spacing w:line="360" w:lineRule="auto"/>
        <w:ind w:firstLine="880"/>
        <w:rPr>
          <w:rFonts w:ascii="黑体" w:eastAsia="黑体"/>
          <w:bCs/>
          <w:color w:val="000000" w:themeColor="text1"/>
          <w:sz w:val="44"/>
          <w:highlight w:val="none"/>
          <w14:textFill>
            <w14:solidFill>
              <w14:schemeClr w14:val="tx1"/>
            </w14:solidFill>
          </w14:textFill>
        </w:rPr>
      </w:pPr>
    </w:p>
    <w:p>
      <w:pPr>
        <w:widowControl/>
        <w:spacing w:line="440" w:lineRule="exact"/>
        <w:jc w:val="left"/>
        <w:rPr>
          <w:rFonts w:hint="eastAsia" w:ascii="宋体" w:hAnsi="宋体" w:eastAsia="宋体" w:cs="宋体"/>
          <w:color w:val="000000" w:themeColor="text1"/>
          <w:sz w:val="28"/>
          <w:szCs w:val="28"/>
          <w:highlight w:val="none"/>
          <w14:textFill>
            <w14:solidFill>
              <w14:schemeClr w14:val="tx1"/>
            </w14:solidFill>
          </w14:textFill>
        </w:rPr>
      </w:pPr>
    </w:p>
    <w:sectPr>
      <w:footerReference r:id="rId3" w:type="default"/>
      <w:pgSz w:w="11906" w:h="16838"/>
      <w:pgMar w:top="1440" w:right="1800" w:bottom="1440" w:left="1800" w:header="851" w:footer="992"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altName w:val="PMingLiU-ExtB"/>
    <w:panose1 w:val="02020500000000000000"/>
    <w:charset w:val="88"/>
    <w:family w:val="auto"/>
    <w:pitch w:val="default"/>
    <w:sig w:usb0="00000000" w:usb1="00000000" w:usb2="00000016" w:usb3="00000000" w:csb0="00100001" w:csb1="00000000"/>
  </w:font>
  <w:font w:name="新宋体">
    <w:panose1 w:val="02010609030101010101"/>
    <w:charset w:val="86"/>
    <w:family w:val="auto"/>
    <w:pitch w:val="default"/>
    <w:sig w:usb0="00000203" w:usb1="288F0000" w:usb2="00000006" w:usb3="00000000" w:csb0="00040001" w:csb1="00000000"/>
  </w:font>
  <w:font w:name="隶书">
    <w:altName w:val="微软雅黑"/>
    <w:panose1 w:val="020105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6"/>
      <w:jc w:val="right"/>
      <w:rPr>
        <w:rFonts w:hint="eastAsia" w:ascii="隶书" w:eastAsia="隶书"/>
        <w:b/>
        <w: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chineseCountingThousand"/>
      <w:suff w:val="space"/>
      <w:lvlText w:val="%1. "/>
      <w:lvlJc w:val="left"/>
      <w:pPr>
        <w:ind w:left="907" w:hanging="907"/>
      </w:p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302"/>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197"/>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ODdmODA0NGQ1NWNhYjBmYzBjYWIwNjFiZmRmMzUifQ=="/>
  </w:docVars>
  <w:rsids>
    <w:rsidRoot w:val="00000000"/>
    <w:rsid w:val="031B3C4F"/>
    <w:rsid w:val="0643555D"/>
    <w:rsid w:val="08AB0755"/>
    <w:rsid w:val="09AF2065"/>
    <w:rsid w:val="0A375F70"/>
    <w:rsid w:val="0B3A0FFE"/>
    <w:rsid w:val="0C8B47F1"/>
    <w:rsid w:val="0E744BDA"/>
    <w:rsid w:val="144F2751"/>
    <w:rsid w:val="18791B08"/>
    <w:rsid w:val="19B15BB3"/>
    <w:rsid w:val="19CE2614"/>
    <w:rsid w:val="1D942377"/>
    <w:rsid w:val="1FB15BA4"/>
    <w:rsid w:val="216A0FF4"/>
    <w:rsid w:val="24B352B9"/>
    <w:rsid w:val="25D87396"/>
    <w:rsid w:val="29E90B0F"/>
    <w:rsid w:val="2D866C0C"/>
    <w:rsid w:val="32E32ACF"/>
    <w:rsid w:val="359C2E87"/>
    <w:rsid w:val="42062382"/>
    <w:rsid w:val="44CF5B2B"/>
    <w:rsid w:val="46B41EF0"/>
    <w:rsid w:val="4D1676D7"/>
    <w:rsid w:val="4F7E10F1"/>
    <w:rsid w:val="53410B28"/>
    <w:rsid w:val="53DC0CED"/>
    <w:rsid w:val="587D590C"/>
    <w:rsid w:val="598A7AAD"/>
    <w:rsid w:val="682D7CDD"/>
    <w:rsid w:val="6F7D20E0"/>
    <w:rsid w:val="78581411"/>
    <w:rsid w:val="7BF009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4"/>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5">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6">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7">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8">
    <w:name w:val="heading 4"/>
    <w:basedOn w:val="1"/>
    <w:next w:val="9"/>
    <w:link w:val="54"/>
    <w:unhideWhenUsed/>
    <w:qFormat/>
    <w:uiPriority w:val="9"/>
    <w:pPr>
      <w:keepNext/>
      <w:keepLines/>
      <w:spacing w:before="320" w:after="200"/>
      <w:outlineLvl w:val="3"/>
    </w:pPr>
    <w:rPr>
      <w:rFonts w:ascii="Arial" w:hAnsi="Arial" w:eastAsia="Arial" w:cs="Arial"/>
      <w:b/>
      <w:bCs/>
      <w:sz w:val="26"/>
      <w:szCs w:val="26"/>
    </w:rPr>
  </w:style>
  <w:style w:type="paragraph" w:styleId="10">
    <w:name w:val="heading 5"/>
    <w:basedOn w:val="1"/>
    <w:next w:val="1"/>
    <w:link w:val="55"/>
    <w:unhideWhenUsed/>
    <w:qFormat/>
    <w:uiPriority w:val="9"/>
    <w:pPr>
      <w:keepNext/>
      <w:keepLines/>
      <w:spacing w:before="320" w:after="200"/>
      <w:outlineLvl w:val="4"/>
    </w:pPr>
    <w:rPr>
      <w:rFonts w:ascii="Arial" w:hAnsi="Arial" w:eastAsia="Arial" w:cs="Arial"/>
      <w:b/>
      <w:bCs/>
      <w:sz w:val="24"/>
      <w:szCs w:val="24"/>
    </w:rPr>
  </w:style>
  <w:style w:type="paragraph" w:styleId="11">
    <w:name w:val="heading 6"/>
    <w:basedOn w:val="1"/>
    <w:next w:val="1"/>
    <w:link w:val="56"/>
    <w:unhideWhenUsed/>
    <w:qFormat/>
    <w:uiPriority w:val="9"/>
    <w:pPr>
      <w:keepNext/>
      <w:keepLines/>
      <w:spacing w:before="320" w:after="200"/>
      <w:outlineLvl w:val="5"/>
    </w:pPr>
    <w:rPr>
      <w:rFonts w:ascii="Arial" w:hAnsi="Arial" w:eastAsia="Arial" w:cs="Arial"/>
      <w:b/>
      <w:bCs/>
      <w:sz w:val="22"/>
      <w:szCs w:val="22"/>
    </w:rPr>
  </w:style>
  <w:style w:type="paragraph" w:styleId="12">
    <w:name w:val="heading 7"/>
    <w:basedOn w:val="1"/>
    <w:next w:val="1"/>
    <w:link w:val="57"/>
    <w:unhideWhenUsed/>
    <w:qFormat/>
    <w:uiPriority w:val="9"/>
    <w:pPr>
      <w:keepNext/>
      <w:keepLines/>
      <w:spacing w:before="320" w:after="200"/>
      <w:outlineLvl w:val="6"/>
    </w:pPr>
    <w:rPr>
      <w:rFonts w:ascii="Arial" w:hAnsi="Arial" w:eastAsia="Arial" w:cs="Arial"/>
      <w:b/>
      <w:bCs/>
      <w:i/>
      <w:iCs/>
      <w:sz w:val="22"/>
      <w:szCs w:val="22"/>
    </w:rPr>
  </w:style>
  <w:style w:type="paragraph" w:styleId="13">
    <w:name w:val="heading 8"/>
    <w:basedOn w:val="1"/>
    <w:next w:val="1"/>
    <w:link w:val="58"/>
    <w:unhideWhenUsed/>
    <w:qFormat/>
    <w:uiPriority w:val="9"/>
    <w:pPr>
      <w:keepNext/>
      <w:keepLines/>
      <w:spacing w:before="320" w:after="200"/>
      <w:outlineLvl w:val="7"/>
    </w:pPr>
    <w:rPr>
      <w:rFonts w:ascii="Arial" w:hAnsi="Arial" w:eastAsia="Arial" w:cs="Arial"/>
      <w:i/>
      <w:iCs/>
      <w:sz w:val="22"/>
      <w:szCs w:val="22"/>
    </w:rPr>
  </w:style>
  <w:style w:type="paragraph" w:styleId="14">
    <w:name w:val="heading 9"/>
    <w:basedOn w:val="1"/>
    <w:next w:val="1"/>
    <w:link w:val="59"/>
    <w:unhideWhenUsed/>
    <w:qFormat/>
    <w:uiPriority w:val="9"/>
    <w:pPr>
      <w:keepNext/>
      <w:keepLines/>
      <w:spacing w:before="320" w:after="200"/>
      <w:outlineLvl w:val="8"/>
    </w:pPr>
    <w:rPr>
      <w:rFonts w:ascii="Arial" w:hAnsi="Arial" w:eastAsia="Arial" w:cs="Arial"/>
      <w:i/>
      <w:iCs/>
      <w:sz w:val="21"/>
      <w:szCs w:val="21"/>
    </w:rPr>
  </w:style>
  <w:style w:type="character" w:default="1" w:styleId="35">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widowControl w:val="0"/>
      <w:spacing w:line="360" w:lineRule="auto"/>
      <w:jc w:val="both"/>
    </w:pPr>
    <w:rPr>
      <w:rFonts w:ascii="Arial" w:hAnsi="Arial" w:eastAsia="宋体" w:cs="Arial"/>
      <w:kern w:val="2"/>
      <w:sz w:val="21"/>
      <w:szCs w:val="24"/>
      <w:lang w:val="en-US" w:eastAsia="zh-CN" w:bidi="ar-SA"/>
    </w:rPr>
  </w:style>
  <w:style w:type="paragraph" w:styleId="9">
    <w:name w:val="Normal Indent"/>
    <w:basedOn w:val="1"/>
    <w:qFormat/>
    <w:uiPriority w:val="0"/>
    <w:pPr>
      <w:ind w:firstLine="420"/>
    </w:pPr>
  </w:style>
  <w:style w:type="paragraph" w:styleId="15">
    <w:name w:val="toc 7"/>
    <w:basedOn w:val="1"/>
    <w:next w:val="1"/>
    <w:unhideWhenUsed/>
    <w:qFormat/>
    <w:uiPriority w:val="39"/>
    <w:pPr>
      <w:spacing w:after="57"/>
      <w:ind w:left="1701" w:right="0" w:firstLine="0"/>
    </w:pPr>
  </w:style>
  <w:style w:type="paragraph" w:styleId="16">
    <w:name w:val="Body Text First Indent"/>
    <w:basedOn w:val="17"/>
    <w:qFormat/>
    <w:uiPriority w:val="0"/>
    <w:pPr>
      <w:spacing w:after="0" w:line="360" w:lineRule="auto"/>
      <w:ind w:firstLine="510"/>
      <w:jc w:val="center"/>
    </w:pPr>
    <w:rPr>
      <w:rFonts w:ascii="宋体" w:hAnsi="Arial"/>
      <w:sz w:val="28"/>
      <w:szCs w:val="20"/>
    </w:rPr>
  </w:style>
  <w:style w:type="paragraph" w:styleId="17">
    <w:name w:val="Body Text"/>
    <w:basedOn w:val="1"/>
    <w:qFormat/>
    <w:uiPriority w:val="0"/>
    <w:rPr>
      <w:rFonts w:ascii="楷体_GB2312" w:hAnsi="Arial" w:eastAsia="楷体_GB2312"/>
      <w:sz w:val="28"/>
      <w:szCs w:val="28"/>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toc 5"/>
    <w:basedOn w:val="1"/>
    <w:next w:val="1"/>
    <w:unhideWhenUsed/>
    <w:qFormat/>
    <w:uiPriority w:val="39"/>
    <w:pPr>
      <w:spacing w:after="57"/>
      <w:ind w:left="1134" w:right="0" w:firstLine="0"/>
    </w:pPr>
  </w:style>
  <w:style w:type="paragraph" w:styleId="20">
    <w:name w:val="toc 3"/>
    <w:basedOn w:val="1"/>
    <w:next w:val="1"/>
    <w:unhideWhenUsed/>
    <w:qFormat/>
    <w:uiPriority w:val="39"/>
    <w:pPr>
      <w:spacing w:after="57"/>
      <w:ind w:left="567" w:right="0" w:firstLine="0"/>
    </w:pPr>
  </w:style>
  <w:style w:type="paragraph" w:styleId="21">
    <w:name w:val="toc 8"/>
    <w:basedOn w:val="1"/>
    <w:next w:val="1"/>
    <w:unhideWhenUsed/>
    <w:qFormat/>
    <w:uiPriority w:val="39"/>
    <w:pPr>
      <w:spacing w:after="57"/>
      <w:ind w:left="1984" w:right="0" w:firstLine="0"/>
    </w:pPr>
  </w:style>
  <w:style w:type="paragraph" w:styleId="22">
    <w:name w:val="endnote text"/>
    <w:basedOn w:val="1"/>
    <w:link w:val="192"/>
    <w:semiHidden/>
    <w:unhideWhenUsed/>
    <w:qFormat/>
    <w:uiPriority w:val="99"/>
    <w:pPr>
      <w:spacing w:after="0" w:line="240" w:lineRule="auto"/>
    </w:pPr>
    <w:rPr>
      <w:sz w:val="20"/>
    </w:rPr>
  </w:style>
  <w:style w:type="paragraph" w:styleId="23">
    <w:name w:val="footer"/>
    <w:basedOn w:val="1"/>
    <w:unhideWhenUsed/>
    <w:qFormat/>
    <w:uiPriority w:val="99"/>
    <w:pPr>
      <w:tabs>
        <w:tab w:val="center" w:pos="7143"/>
        <w:tab w:val="right" w:pos="14287"/>
      </w:tabs>
      <w:spacing w:after="0" w:line="240" w:lineRule="auto"/>
    </w:pPr>
  </w:style>
  <w:style w:type="paragraph" w:styleId="24">
    <w:name w:val="header"/>
    <w:basedOn w:val="1"/>
    <w:unhideWhenUsed/>
    <w:qFormat/>
    <w:uiPriority w:val="99"/>
    <w:pPr>
      <w:tabs>
        <w:tab w:val="center" w:pos="7143"/>
        <w:tab w:val="right" w:pos="14287"/>
      </w:tabs>
      <w:spacing w:after="0" w:line="240" w:lineRule="auto"/>
    </w:pPr>
  </w:style>
  <w:style w:type="paragraph" w:styleId="25">
    <w:name w:val="toc 1"/>
    <w:basedOn w:val="1"/>
    <w:next w:val="1"/>
    <w:unhideWhenUsed/>
    <w:qFormat/>
    <w:uiPriority w:val="39"/>
    <w:pPr>
      <w:spacing w:after="57"/>
      <w:ind w:left="0" w:right="0" w:firstLine="0"/>
    </w:pPr>
  </w:style>
  <w:style w:type="paragraph" w:styleId="26">
    <w:name w:val="toc 4"/>
    <w:basedOn w:val="1"/>
    <w:next w:val="1"/>
    <w:unhideWhenUsed/>
    <w:qFormat/>
    <w:uiPriority w:val="39"/>
    <w:pPr>
      <w:spacing w:after="57"/>
      <w:ind w:left="850" w:right="0" w:firstLine="0"/>
    </w:pPr>
  </w:style>
  <w:style w:type="paragraph" w:styleId="27">
    <w:name w:val="Subtitle"/>
    <w:basedOn w:val="1"/>
    <w:next w:val="1"/>
    <w:link w:val="63"/>
    <w:qFormat/>
    <w:uiPriority w:val="11"/>
    <w:pPr>
      <w:spacing w:before="200" w:after="200"/>
    </w:pPr>
    <w:rPr>
      <w:sz w:val="24"/>
      <w:szCs w:val="24"/>
    </w:rPr>
  </w:style>
  <w:style w:type="paragraph" w:styleId="28">
    <w:name w:val="footnote text"/>
    <w:basedOn w:val="1"/>
    <w:semiHidden/>
    <w:unhideWhenUsed/>
    <w:qFormat/>
    <w:uiPriority w:val="99"/>
    <w:pPr>
      <w:spacing w:after="40" w:line="240" w:lineRule="auto"/>
    </w:pPr>
    <w:rPr>
      <w:sz w:val="18"/>
    </w:rPr>
  </w:style>
  <w:style w:type="paragraph" w:styleId="29">
    <w:name w:val="toc 6"/>
    <w:basedOn w:val="1"/>
    <w:next w:val="1"/>
    <w:unhideWhenUsed/>
    <w:qFormat/>
    <w:uiPriority w:val="39"/>
    <w:pPr>
      <w:spacing w:after="57"/>
      <w:ind w:left="1417" w:right="0" w:firstLine="0"/>
    </w:pPr>
  </w:style>
  <w:style w:type="paragraph" w:styleId="30">
    <w:name w:val="table of figures"/>
    <w:basedOn w:val="1"/>
    <w:next w:val="1"/>
    <w:unhideWhenUsed/>
    <w:qFormat/>
    <w:uiPriority w:val="99"/>
    <w:pPr>
      <w:spacing w:after="0" w:afterAutospacing="0"/>
    </w:pPr>
  </w:style>
  <w:style w:type="paragraph" w:styleId="31">
    <w:name w:val="toc 2"/>
    <w:basedOn w:val="1"/>
    <w:next w:val="1"/>
    <w:unhideWhenUsed/>
    <w:qFormat/>
    <w:uiPriority w:val="39"/>
    <w:pPr>
      <w:spacing w:after="57"/>
      <w:ind w:left="283" w:right="0" w:firstLine="0"/>
    </w:pPr>
  </w:style>
  <w:style w:type="paragraph" w:styleId="32">
    <w:name w:val="toc 9"/>
    <w:basedOn w:val="1"/>
    <w:next w:val="1"/>
    <w:unhideWhenUsed/>
    <w:qFormat/>
    <w:uiPriority w:val="39"/>
    <w:pPr>
      <w:spacing w:after="57"/>
      <w:ind w:left="2268" w:right="0" w:firstLine="0"/>
    </w:pPr>
  </w:style>
  <w:style w:type="paragraph" w:styleId="3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4">
    <w:name w:val="Title"/>
    <w:basedOn w:val="1"/>
    <w:next w:val="1"/>
    <w:link w:val="62"/>
    <w:qFormat/>
    <w:uiPriority w:val="10"/>
    <w:pPr>
      <w:spacing w:before="300" w:after="200"/>
      <w:contextualSpacing/>
    </w:pPr>
    <w:rPr>
      <w:sz w:val="48"/>
      <w:szCs w:val="48"/>
    </w:rPr>
  </w:style>
  <w:style w:type="character" w:styleId="36">
    <w:name w:val="endnote reference"/>
    <w:semiHidden/>
    <w:unhideWhenUsed/>
    <w:qFormat/>
    <w:uiPriority w:val="99"/>
    <w:rPr>
      <w:vertAlign w:val="superscript"/>
    </w:rPr>
  </w:style>
  <w:style w:type="character" w:styleId="37">
    <w:name w:val="Hyperlink"/>
    <w:unhideWhenUsed/>
    <w:qFormat/>
    <w:uiPriority w:val="99"/>
    <w:rPr>
      <w:color w:val="0000FF" w:themeColor="hyperlink"/>
      <w:u w:val="single"/>
      <w14:textFill>
        <w14:solidFill>
          <w14:schemeClr w14:val="hlink"/>
        </w14:solidFill>
      </w14:textFill>
    </w:rPr>
  </w:style>
  <w:style w:type="character" w:styleId="38">
    <w:name w:val="footnote reference"/>
    <w:unhideWhenUsed/>
    <w:qFormat/>
    <w:uiPriority w:val="99"/>
    <w:rPr>
      <w:vertAlign w:val="superscript"/>
    </w:rPr>
  </w:style>
  <w:style w:type="table" w:styleId="4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1">
    <w:name w:val="正文首行缩进 211"/>
    <w:basedOn w:val="42"/>
    <w:next w:val="1"/>
    <w:qFormat/>
    <w:uiPriority w:val="0"/>
    <w:pPr>
      <w:spacing w:line="360" w:lineRule="auto"/>
      <w:ind w:firstLine="420"/>
    </w:pPr>
    <w:rPr>
      <w:rFonts w:ascii="宋体" w:hAnsi="宋体" w:eastAsia="宋体"/>
      <w:sz w:val="21"/>
      <w:szCs w:val="20"/>
    </w:rPr>
  </w:style>
  <w:style w:type="paragraph" w:customStyle="1" w:styleId="42">
    <w:name w:val="正文文本缩进12"/>
    <w:basedOn w:val="1"/>
    <w:next w:val="43"/>
    <w:qFormat/>
    <w:uiPriority w:val="0"/>
    <w:pPr>
      <w:ind w:firstLine="645"/>
    </w:pPr>
    <w:rPr>
      <w:rFonts w:ascii="楷体_GB2312" w:eastAsia="楷体_GB2312"/>
      <w:sz w:val="32"/>
      <w:szCs w:val="32"/>
    </w:rPr>
  </w:style>
  <w:style w:type="paragraph" w:customStyle="1" w:styleId="43">
    <w:name w:val="寄信人地址11"/>
    <w:basedOn w:val="1"/>
    <w:qFormat/>
    <w:uiPriority w:val="0"/>
    <w:rPr>
      <w:rFonts w:ascii="Arial" w:hAnsi="Arial" w:cs="宋体"/>
    </w:rPr>
  </w:style>
  <w:style w:type="paragraph" w:customStyle="1" w:styleId="44">
    <w:name w:val="首行缩进"/>
    <w:basedOn w:val="45"/>
    <w:qFormat/>
    <w:uiPriority w:val="0"/>
    <w:pPr>
      <w:spacing w:line="360" w:lineRule="auto"/>
      <w:ind w:firstLine="420"/>
    </w:pPr>
    <w:rPr>
      <w:sz w:val="20"/>
    </w:rPr>
  </w:style>
  <w:style w:type="paragraph" w:customStyle="1" w:styleId="45">
    <w:name w:val="正文11"/>
    <w:basedOn w:val="1"/>
    <w:next w:val="1"/>
    <w:qFormat/>
    <w:uiPriority w:val="0"/>
  </w:style>
  <w:style w:type="paragraph" w:customStyle="1" w:styleId="46">
    <w:name w:val="文本块1"/>
    <w:basedOn w:val="47"/>
    <w:next w:val="52"/>
    <w:unhideWhenUsed/>
    <w:qFormat/>
    <w:uiPriority w:val="99"/>
    <w:pPr>
      <w:widowControl/>
      <w:spacing w:after="120" w:line="276" w:lineRule="auto"/>
      <w:ind w:left="1440" w:right="1440"/>
      <w:jc w:val="left"/>
    </w:pPr>
    <w:rPr>
      <w:rFonts w:ascii="Calibri" w:hAnsi="Calibri" w:eastAsia="宋体" w:cs="Times New Roman"/>
      <w:sz w:val="22"/>
      <w:szCs w:val="22"/>
      <w:lang w:eastAsia="en-US"/>
    </w:rPr>
  </w:style>
  <w:style w:type="paragraph" w:customStyle="1" w:styleId="47">
    <w:name w:val="正文1"/>
    <w:basedOn w:val="48"/>
    <w:next w:val="51"/>
    <w:qFormat/>
    <w:uiPriority w:val="0"/>
    <w:pPr>
      <w:widowControl w:val="0"/>
      <w:jc w:val="both"/>
    </w:pPr>
    <w:rPr>
      <w:rFonts w:hint="default" w:ascii="Calibri" w:hAnsi="Calibri" w:eastAsia="宋体" w:cs="Times New Roman"/>
      <w:sz w:val="21"/>
      <w:szCs w:val="24"/>
      <w:lang w:val="en-US" w:eastAsia="zh-CN" w:bidi="ar-SA"/>
    </w:rPr>
  </w:style>
  <w:style w:type="paragraph" w:customStyle="1" w:styleId="48">
    <w:name w:val="正文111"/>
    <w:next w:val="4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
    <w:name w:val="正文文本缩进1"/>
    <w:basedOn w:val="1"/>
    <w:next w:val="50"/>
    <w:link w:val="224"/>
    <w:qFormat/>
    <w:uiPriority w:val="0"/>
    <w:pPr>
      <w:spacing w:after="120"/>
      <w:ind w:left="420"/>
    </w:pPr>
  </w:style>
  <w:style w:type="paragraph" w:customStyle="1" w:styleId="50">
    <w:name w:val="寄信人地址1"/>
    <w:basedOn w:val="48"/>
    <w:qFormat/>
    <w:uiPriority w:val="0"/>
    <w:pPr>
      <w:ind w:firstLine="200"/>
    </w:pPr>
    <w:rPr>
      <w:rFonts w:ascii="Arial" w:hAnsi="Arial" w:eastAsia="仿宋_GB2312"/>
    </w:rPr>
  </w:style>
  <w:style w:type="paragraph" w:customStyle="1" w:styleId="51">
    <w:name w:val="正文文本1"/>
    <w:basedOn w:val="47"/>
    <w:next w:val="47"/>
    <w:qFormat/>
    <w:uiPriority w:val="99"/>
    <w:pPr>
      <w:spacing w:after="120" w:line="360" w:lineRule="atLeast"/>
      <w:jc w:val="left"/>
    </w:pPr>
    <w:rPr>
      <w:rFonts w:ascii="宋体" w:hAnsi="Calibri" w:eastAsia="宋体" w:cs="Times New Roman"/>
      <w:sz w:val="24"/>
      <w:szCs w:val="20"/>
      <w:lang w:eastAsia="en-US"/>
    </w:rPr>
  </w:style>
  <w:style w:type="paragraph" w:customStyle="1" w:styleId="52">
    <w:name w:val="文本块11"/>
    <w:basedOn w:val="1"/>
    <w:qFormat/>
    <w:uiPriority w:val="99"/>
    <w:pPr>
      <w:ind w:left="256" w:right="6" w:firstLine="624"/>
    </w:pPr>
    <w:rPr>
      <w:rFonts w:eastAsia="仿宋"/>
      <w:sz w:val="28"/>
      <w:szCs w:val="20"/>
    </w:rPr>
  </w:style>
  <w:style w:type="paragraph" w:customStyle="1" w:styleId="53">
    <w:name w:val="目录 11"/>
    <w:basedOn w:val="1"/>
    <w:next w:val="1"/>
    <w:unhideWhenUsed/>
    <w:qFormat/>
    <w:uiPriority w:val="39"/>
    <w:pPr>
      <w:widowControl/>
      <w:spacing w:after="100" w:line="259" w:lineRule="auto"/>
      <w:jc w:val="left"/>
    </w:pPr>
    <w:rPr>
      <w:rFonts w:ascii="Calibri" w:hAnsi="Calibri" w:eastAsia="宋体"/>
      <w:sz w:val="22"/>
      <w:szCs w:val="22"/>
    </w:rPr>
  </w:style>
  <w:style w:type="character" w:customStyle="1" w:styleId="54">
    <w:name w:val="Heading 4 Char"/>
    <w:link w:val="8"/>
    <w:qFormat/>
    <w:uiPriority w:val="9"/>
    <w:rPr>
      <w:rFonts w:ascii="Arial" w:hAnsi="Arial" w:eastAsia="Arial" w:cs="Arial"/>
      <w:b/>
      <w:bCs/>
      <w:sz w:val="26"/>
      <w:szCs w:val="26"/>
    </w:rPr>
  </w:style>
  <w:style w:type="character" w:customStyle="1" w:styleId="55">
    <w:name w:val="Heading 5 Char"/>
    <w:link w:val="10"/>
    <w:qFormat/>
    <w:uiPriority w:val="9"/>
    <w:rPr>
      <w:rFonts w:ascii="Arial" w:hAnsi="Arial" w:eastAsia="Arial" w:cs="Arial"/>
      <w:b/>
      <w:bCs/>
      <w:sz w:val="24"/>
      <w:szCs w:val="24"/>
    </w:rPr>
  </w:style>
  <w:style w:type="character" w:customStyle="1" w:styleId="56">
    <w:name w:val="Heading 6 Char"/>
    <w:link w:val="11"/>
    <w:qFormat/>
    <w:uiPriority w:val="9"/>
    <w:rPr>
      <w:rFonts w:ascii="Arial" w:hAnsi="Arial" w:eastAsia="Arial" w:cs="Arial"/>
      <w:b/>
      <w:bCs/>
      <w:sz w:val="22"/>
      <w:szCs w:val="22"/>
    </w:rPr>
  </w:style>
  <w:style w:type="character" w:customStyle="1" w:styleId="57">
    <w:name w:val="Heading 7 Char"/>
    <w:link w:val="12"/>
    <w:qFormat/>
    <w:uiPriority w:val="9"/>
    <w:rPr>
      <w:rFonts w:ascii="Arial" w:hAnsi="Arial" w:eastAsia="Arial" w:cs="Arial"/>
      <w:b/>
      <w:bCs/>
      <w:i/>
      <w:iCs/>
      <w:sz w:val="22"/>
      <w:szCs w:val="22"/>
    </w:rPr>
  </w:style>
  <w:style w:type="character" w:customStyle="1" w:styleId="58">
    <w:name w:val="Heading 8 Char"/>
    <w:link w:val="13"/>
    <w:qFormat/>
    <w:uiPriority w:val="9"/>
    <w:rPr>
      <w:rFonts w:ascii="Arial" w:hAnsi="Arial" w:eastAsia="Arial" w:cs="Arial"/>
      <w:i/>
      <w:iCs/>
      <w:sz w:val="22"/>
      <w:szCs w:val="22"/>
    </w:rPr>
  </w:style>
  <w:style w:type="character" w:customStyle="1" w:styleId="59">
    <w:name w:val="Heading 9 Char"/>
    <w:link w:val="14"/>
    <w:qFormat/>
    <w:uiPriority w:val="9"/>
    <w:rPr>
      <w:rFonts w:ascii="Arial" w:hAnsi="Arial" w:eastAsia="Arial" w:cs="Arial"/>
      <w:i/>
      <w:iCs/>
      <w:sz w:val="21"/>
      <w:szCs w:val="21"/>
    </w:rPr>
  </w:style>
  <w:style w:type="paragraph" w:styleId="60">
    <w:name w:val="List Paragraph"/>
    <w:basedOn w:val="1"/>
    <w:qFormat/>
    <w:uiPriority w:val="34"/>
    <w:pPr>
      <w:ind w:left="720"/>
      <w:contextualSpacing/>
    </w:pPr>
  </w:style>
  <w:style w:type="paragraph" w:styleId="61">
    <w:name w:val="No Spacing"/>
    <w:qFormat/>
    <w:uiPriority w:val="1"/>
    <w:pPr>
      <w:spacing w:before="0" w:after="0" w:line="240" w:lineRule="auto"/>
    </w:pPr>
    <w:rPr>
      <w:rFonts w:hint="default" w:ascii="Times New Roman" w:hAnsi="Times New Roman" w:eastAsia="宋体" w:cs="Times New Roman"/>
    </w:rPr>
  </w:style>
  <w:style w:type="character" w:customStyle="1" w:styleId="62">
    <w:name w:val="Title Char"/>
    <w:link w:val="34"/>
    <w:qFormat/>
    <w:uiPriority w:val="10"/>
    <w:rPr>
      <w:sz w:val="48"/>
      <w:szCs w:val="48"/>
    </w:rPr>
  </w:style>
  <w:style w:type="character" w:customStyle="1" w:styleId="63">
    <w:name w:val="Subtitle Char"/>
    <w:link w:val="27"/>
    <w:qFormat/>
    <w:uiPriority w:val="11"/>
    <w:rPr>
      <w:sz w:val="24"/>
      <w:szCs w:val="24"/>
    </w:rPr>
  </w:style>
  <w:style w:type="paragraph" w:styleId="64">
    <w:name w:val="Quote"/>
    <w:basedOn w:val="1"/>
    <w:next w:val="1"/>
    <w:link w:val="65"/>
    <w:qFormat/>
    <w:uiPriority w:val="29"/>
    <w:pPr>
      <w:ind w:left="720" w:right="720"/>
    </w:pPr>
    <w:rPr>
      <w:i/>
    </w:rPr>
  </w:style>
  <w:style w:type="character" w:customStyle="1" w:styleId="65">
    <w:name w:val="Quote Char"/>
    <w:link w:val="64"/>
    <w:qFormat/>
    <w:uiPriority w:val="29"/>
    <w:rPr>
      <w:i/>
    </w:rPr>
  </w:style>
  <w:style w:type="paragraph" w:styleId="66">
    <w:name w:val="Intense Quote"/>
    <w:basedOn w:val="1"/>
    <w:next w:val="1"/>
    <w:link w:val="6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7">
    <w:name w:val="Intense Quote Char"/>
    <w:link w:val="66"/>
    <w:qFormat/>
    <w:uiPriority w:val="30"/>
    <w:rPr>
      <w:i/>
    </w:rPr>
  </w:style>
  <w:style w:type="table" w:customStyle="1" w:styleId="68">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69">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0">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1">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5">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6">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7">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8">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9">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0">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1">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0">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7">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8">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9">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0">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1">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2">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3">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4">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5">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6">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7">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8">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9">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6">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8">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9">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0">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1">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2">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3">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4">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5">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6">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7">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8">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9">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0">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8">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9">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0">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1">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2">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3">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4">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5">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6">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7">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8">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9">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0">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1">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2">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3">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4">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5">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6">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7">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8">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9">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st Table 7 Colorful"/>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6">
    <w:name w:val="List Table 7 Colorful - Accent 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7">
    <w:name w:val="List Table 7 Colorful - Accent 2"/>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8">
    <w:name w:val="List Table 7 Colorful - Accent 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9">
    <w:name w:val="List Table 7 Colorful - Accent 4"/>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0">
    <w:name w:val="List Table 7 Colorful - Accent 5"/>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1">
    <w:name w:val="List Table 7 Colorful - Accent 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2">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2">
    <w:name w:val="Endnote Text Char"/>
    <w:link w:val="22"/>
    <w:qFormat/>
    <w:uiPriority w:val="99"/>
    <w:rPr>
      <w:sz w:val="20"/>
    </w:rPr>
  </w:style>
  <w:style w:type="paragraph" w:customStyle="1" w:styleId="193">
    <w:name w:val="TOC Heading"/>
    <w:unhideWhenUsed/>
    <w:qFormat/>
    <w:uiPriority w:val="39"/>
    <w:rPr>
      <w:rFonts w:hint="default" w:ascii="Times New Roman" w:hAnsi="Times New Roman" w:eastAsia="宋体" w:cs="Times New Roman"/>
    </w:rPr>
  </w:style>
  <w:style w:type="paragraph" w:customStyle="1" w:styleId="194">
    <w:name w:val="标题 11"/>
    <w:basedOn w:val="1"/>
    <w:next w:val="1"/>
    <w:link w:val="206"/>
    <w:qFormat/>
    <w:uiPriority w:val="9"/>
    <w:pPr>
      <w:keepNext/>
      <w:keepLines/>
      <w:spacing w:before="340" w:after="330" w:line="578" w:lineRule="auto"/>
      <w:outlineLvl w:val="0"/>
    </w:pPr>
    <w:rPr>
      <w:b/>
      <w:bCs/>
      <w:sz w:val="44"/>
      <w:szCs w:val="44"/>
    </w:rPr>
  </w:style>
  <w:style w:type="paragraph" w:customStyle="1" w:styleId="195">
    <w:name w:val="标题 211"/>
    <w:basedOn w:val="1"/>
    <w:next w:val="1"/>
    <w:link w:val="207"/>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96">
    <w:name w:val="标题 31"/>
    <w:basedOn w:val="1"/>
    <w:next w:val="1"/>
    <w:link w:val="208"/>
    <w:qFormat/>
    <w:uiPriority w:val="9"/>
    <w:pPr>
      <w:keepNext/>
      <w:keepLines/>
      <w:spacing w:before="260" w:after="260" w:line="416" w:lineRule="auto"/>
      <w:outlineLvl w:val="2"/>
    </w:pPr>
    <w:rPr>
      <w:b/>
      <w:bCs/>
      <w:sz w:val="32"/>
      <w:szCs w:val="32"/>
    </w:rPr>
  </w:style>
  <w:style w:type="paragraph" w:customStyle="1" w:styleId="197">
    <w:name w:val="标题 41"/>
    <w:basedOn w:val="1"/>
    <w:next w:val="198"/>
    <w:link w:val="209"/>
    <w:qFormat/>
    <w:uiPriority w:val="9"/>
    <w:pPr>
      <w:keepNext/>
      <w:keepLines/>
      <w:numPr>
        <w:ilvl w:val="3"/>
        <w:numId w:val="1"/>
      </w:numPr>
      <w:spacing w:before="60" w:after="20" w:line="376" w:lineRule="auto"/>
      <w:outlineLvl w:val="3"/>
    </w:pPr>
    <w:rPr>
      <w:rFonts w:ascii="黑体" w:hAnsi="Arial" w:eastAsia="黑体"/>
      <w:sz w:val="24"/>
      <w:szCs w:val="20"/>
    </w:rPr>
  </w:style>
  <w:style w:type="paragraph" w:customStyle="1" w:styleId="198">
    <w:name w:val="正文缩进1"/>
    <w:basedOn w:val="1"/>
    <w:qFormat/>
    <w:uiPriority w:val="0"/>
    <w:pPr>
      <w:ind w:firstLine="420"/>
    </w:pPr>
  </w:style>
  <w:style w:type="paragraph" w:customStyle="1" w:styleId="199">
    <w:name w:val="标题 51"/>
    <w:basedOn w:val="1"/>
    <w:next w:val="1"/>
    <w:link w:val="210"/>
    <w:qFormat/>
    <w:uiPriority w:val="9"/>
    <w:pPr>
      <w:keepNext/>
      <w:keepLines/>
      <w:spacing w:before="320" w:after="200"/>
      <w:outlineLvl w:val="4"/>
    </w:pPr>
    <w:rPr>
      <w:rFonts w:ascii="Arial" w:hAnsi="Arial" w:eastAsia="Arial" w:cs="Arial"/>
      <w:b/>
      <w:bCs/>
      <w:sz w:val="24"/>
    </w:rPr>
  </w:style>
  <w:style w:type="paragraph" w:customStyle="1" w:styleId="200">
    <w:name w:val="标题 61"/>
    <w:basedOn w:val="1"/>
    <w:next w:val="1"/>
    <w:link w:val="211"/>
    <w:qFormat/>
    <w:uiPriority w:val="9"/>
    <w:pPr>
      <w:keepNext/>
      <w:keepLines/>
      <w:spacing w:before="320" w:after="200"/>
      <w:outlineLvl w:val="5"/>
    </w:pPr>
    <w:rPr>
      <w:rFonts w:ascii="Arial" w:hAnsi="Arial" w:eastAsia="Arial" w:cs="Arial"/>
      <w:b/>
      <w:bCs/>
      <w:sz w:val="22"/>
      <w:szCs w:val="22"/>
    </w:rPr>
  </w:style>
  <w:style w:type="paragraph" w:customStyle="1" w:styleId="201">
    <w:name w:val="标题 71"/>
    <w:basedOn w:val="1"/>
    <w:next w:val="1"/>
    <w:link w:val="212"/>
    <w:qFormat/>
    <w:uiPriority w:val="9"/>
    <w:pPr>
      <w:keepNext/>
      <w:keepLines/>
      <w:spacing w:before="320" w:after="200"/>
      <w:outlineLvl w:val="6"/>
    </w:pPr>
    <w:rPr>
      <w:rFonts w:ascii="Arial" w:hAnsi="Arial" w:eastAsia="Arial" w:cs="Arial"/>
      <w:b/>
      <w:bCs/>
      <w:i/>
      <w:iCs/>
      <w:sz w:val="22"/>
      <w:szCs w:val="22"/>
    </w:rPr>
  </w:style>
  <w:style w:type="paragraph" w:customStyle="1" w:styleId="202">
    <w:name w:val="标题 81"/>
    <w:basedOn w:val="1"/>
    <w:next w:val="1"/>
    <w:link w:val="213"/>
    <w:qFormat/>
    <w:uiPriority w:val="9"/>
    <w:pPr>
      <w:keepNext/>
      <w:keepLines/>
      <w:spacing w:before="320" w:after="200"/>
      <w:outlineLvl w:val="7"/>
    </w:pPr>
    <w:rPr>
      <w:rFonts w:ascii="Arial" w:hAnsi="Arial" w:eastAsia="Arial" w:cs="Arial"/>
      <w:i/>
      <w:iCs/>
      <w:sz w:val="22"/>
      <w:szCs w:val="22"/>
    </w:rPr>
  </w:style>
  <w:style w:type="paragraph" w:customStyle="1" w:styleId="203">
    <w:name w:val="标题 91"/>
    <w:basedOn w:val="1"/>
    <w:next w:val="1"/>
    <w:link w:val="214"/>
    <w:qFormat/>
    <w:uiPriority w:val="9"/>
    <w:pPr>
      <w:keepNext/>
      <w:keepLines/>
      <w:spacing w:before="320" w:after="200"/>
      <w:outlineLvl w:val="8"/>
    </w:pPr>
    <w:rPr>
      <w:rFonts w:ascii="Arial" w:hAnsi="Arial" w:eastAsia="Arial" w:cs="Arial"/>
      <w:i/>
      <w:iCs/>
      <w:szCs w:val="21"/>
    </w:rPr>
  </w:style>
  <w:style w:type="character" w:customStyle="1" w:styleId="204">
    <w:name w:val="默认段落字体1"/>
    <w:link w:val="1"/>
    <w:semiHidden/>
    <w:qFormat/>
    <w:uiPriority w:val="0"/>
  </w:style>
  <w:style w:type="table" w:customStyle="1" w:styleId="205">
    <w:name w:val="普通表格1"/>
    <w:semiHidden/>
    <w:qFormat/>
    <w:uiPriority w:val="0"/>
  </w:style>
  <w:style w:type="character" w:customStyle="1" w:styleId="206">
    <w:name w:val="标题 1 Char"/>
    <w:basedOn w:val="204"/>
    <w:link w:val="194"/>
    <w:qFormat/>
    <w:uiPriority w:val="9"/>
    <w:rPr>
      <w:b/>
      <w:bCs/>
      <w:sz w:val="44"/>
      <w:szCs w:val="44"/>
    </w:rPr>
  </w:style>
  <w:style w:type="character" w:customStyle="1" w:styleId="207">
    <w:name w:val="标题 2 Char"/>
    <w:basedOn w:val="204"/>
    <w:link w:val="195"/>
    <w:qFormat/>
    <w:uiPriority w:val="0"/>
    <w:rPr>
      <w:rFonts w:ascii="Cambria" w:hAnsi="Cambria" w:eastAsia="宋体" w:cs="Times New Roman"/>
      <w:b/>
      <w:bCs/>
      <w:sz w:val="32"/>
      <w:szCs w:val="32"/>
    </w:rPr>
  </w:style>
  <w:style w:type="character" w:customStyle="1" w:styleId="208">
    <w:name w:val="标题 3 Char"/>
    <w:basedOn w:val="204"/>
    <w:link w:val="196"/>
    <w:qFormat/>
    <w:uiPriority w:val="9"/>
    <w:rPr>
      <w:b/>
      <w:bCs/>
      <w:sz w:val="32"/>
      <w:szCs w:val="32"/>
    </w:rPr>
  </w:style>
  <w:style w:type="character" w:customStyle="1" w:styleId="209">
    <w:name w:val="标题 4 Char"/>
    <w:basedOn w:val="204"/>
    <w:link w:val="197"/>
    <w:qFormat/>
    <w:uiPriority w:val="9"/>
    <w:rPr>
      <w:rFonts w:ascii="黑体" w:hAnsi="Arial" w:eastAsia="黑体"/>
      <w:sz w:val="24"/>
    </w:rPr>
  </w:style>
  <w:style w:type="character" w:customStyle="1" w:styleId="210">
    <w:name w:val="标题 5 Char"/>
    <w:basedOn w:val="204"/>
    <w:link w:val="199"/>
    <w:qFormat/>
    <w:uiPriority w:val="9"/>
    <w:rPr>
      <w:rFonts w:ascii="Arial" w:hAnsi="Arial" w:eastAsia="Arial" w:cs="Arial"/>
      <w:b/>
      <w:bCs/>
      <w:sz w:val="24"/>
      <w:szCs w:val="24"/>
    </w:rPr>
  </w:style>
  <w:style w:type="character" w:customStyle="1" w:styleId="211">
    <w:name w:val="标题 6 Char"/>
    <w:basedOn w:val="204"/>
    <w:link w:val="200"/>
    <w:qFormat/>
    <w:uiPriority w:val="9"/>
    <w:rPr>
      <w:rFonts w:ascii="Arial" w:hAnsi="Arial" w:eastAsia="Arial" w:cs="Arial"/>
      <w:b/>
      <w:bCs/>
      <w:sz w:val="22"/>
      <w:szCs w:val="22"/>
    </w:rPr>
  </w:style>
  <w:style w:type="character" w:customStyle="1" w:styleId="212">
    <w:name w:val="标题 7 Char"/>
    <w:basedOn w:val="204"/>
    <w:link w:val="201"/>
    <w:qFormat/>
    <w:uiPriority w:val="9"/>
    <w:rPr>
      <w:rFonts w:ascii="Arial" w:hAnsi="Arial" w:eastAsia="Arial" w:cs="Arial"/>
      <w:b/>
      <w:bCs/>
      <w:i/>
      <w:iCs/>
      <w:sz w:val="22"/>
      <w:szCs w:val="22"/>
    </w:rPr>
  </w:style>
  <w:style w:type="character" w:customStyle="1" w:styleId="213">
    <w:name w:val="标题 8 Char"/>
    <w:basedOn w:val="204"/>
    <w:link w:val="202"/>
    <w:qFormat/>
    <w:uiPriority w:val="9"/>
    <w:rPr>
      <w:rFonts w:ascii="Arial" w:hAnsi="Arial" w:eastAsia="Arial" w:cs="Arial"/>
      <w:i/>
      <w:iCs/>
      <w:sz w:val="22"/>
      <w:szCs w:val="22"/>
    </w:rPr>
  </w:style>
  <w:style w:type="character" w:customStyle="1" w:styleId="214">
    <w:name w:val="标题 9 Char"/>
    <w:basedOn w:val="204"/>
    <w:link w:val="203"/>
    <w:qFormat/>
    <w:uiPriority w:val="9"/>
    <w:rPr>
      <w:rFonts w:ascii="Arial" w:hAnsi="Arial" w:eastAsia="Arial" w:cs="Arial"/>
      <w:i/>
      <w:iCs/>
      <w:sz w:val="21"/>
      <w:szCs w:val="21"/>
    </w:rPr>
  </w:style>
  <w:style w:type="paragraph" w:customStyle="1" w:styleId="215">
    <w:name w:val="目录 71"/>
    <w:basedOn w:val="1"/>
    <w:next w:val="1"/>
    <w:unhideWhenUsed/>
    <w:qFormat/>
    <w:uiPriority w:val="39"/>
    <w:pPr>
      <w:spacing w:after="57"/>
      <w:ind w:left="1701"/>
    </w:pPr>
  </w:style>
  <w:style w:type="paragraph" w:customStyle="1" w:styleId="216">
    <w:name w:val="索引 511"/>
    <w:basedOn w:val="1"/>
    <w:next w:val="1"/>
    <w:qFormat/>
    <w:uiPriority w:val="0"/>
    <w:pPr>
      <w:ind w:left="798"/>
      <w:jc w:val="left"/>
    </w:pPr>
    <w:rPr>
      <w:rFonts w:ascii="Calibri" w:hAnsi="Calibri"/>
    </w:rPr>
  </w:style>
  <w:style w:type="paragraph" w:customStyle="1" w:styleId="217">
    <w:name w:val="批注文字1"/>
    <w:basedOn w:val="1"/>
    <w:link w:val="218"/>
    <w:unhideWhenUsed/>
    <w:qFormat/>
    <w:uiPriority w:val="0"/>
    <w:pPr>
      <w:jc w:val="left"/>
    </w:pPr>
  </w:style>
  <w:style w:type="character" w:customStyle="1" w:styleId="218">
    <w:name w:val="批注文字 Char"/>
    <w:basedOn w:val="204"/>
    <w:link w:val="217"/>
    <w:qFormat/>
    <w:uiPriority w:val="0"/>
    <w:rPr>
      <w:sz w:val="21"/>
      <w:szCs w:val="24"/>
    </w:rPr>
  </w:style>
  <w:style w:type="paragraph" w:customStyle="1" w:styleId="219">
    <w:name w:val="正文文本11"/>
    <w:basedOn w:val="1"/>
    <w:next w:val="220"/>
    <w:link w:val="223"/>
    <w:qFormat/>
    <w:uiPriority w:val="99"/>
    <w:pPr>
      <w:spacing w:after="120"/>
    </w:pPr>
    <w:rPr>
      <w:rFonts w:ascii="Calibri" w:hAnsi="Calibri"/>
    </w:rPr>
  </w:style>
  <w:style w:type="paragraph" w:customStyle="1" w:styleId="220">
    <w:name w:val="一级条标题"/>
    <w:basedOn w:val="221"/>
    <w:next w:val="2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21">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22">
    <w:name w:val="段"/>
    <w:basedOn w:val="47"/>
    <w:next w:val="1"/>
    <w:qFormat/>
    <w:uiPriority w:val="0"/>
    <w:pPr>
      <w:widowControl/>
      <w:spacing w:line="360" w:lineRule="atLeast"/>
      <w:ind w:firstLine="200"/>
      <w:jc w:val="left"/>
    </w:pPr>
    <w:rPr>
      <w:rFonts w:ascii="宋体" w:hAnsi="Calibri" w:eastAsia="宋体" w:cs="Times New Roman"/>
      <w:sz w:val="20"/>
      <w:szCs w:val="20"/>
    </w:rPr>
  </w:style>
  <w:style w:type="character" w:customStyle="1" w:styleId="223">
    <w:name w:val="正文文本 Char"/>
    <w:basedOn w:val="204"/>
    <w:link w:val="219"/>
    <w:qFormat/>
    <w:uiPriority w:val="99"/>
    <w:rPr>
      <w:rFonts w:ascii="Calibri" w:hAnsi="Calibri"/>
      <w:sz w:val="21"/>
      <w:szCs w:val="24"/>
    </w:rPr>
  </w:style>
  <w:style w:type="character" w:customStyle="1" w:styleId="224">
    <w:name w:val="正文文本缩进 Char"/>
    <w:basedOn w:val="204"/>
    <w:link w:val="49"/>
    <w:qFormat/>
    <w:uiPriority w:val="0"/>
    <w:rPr>
      <w:sz w:val="21"/>
      <w:szCs w:val="24"/>
    </w:rPr>
  </w:style>
  <w:style w:type="paragraph" w:customStyle="1" w:styleId="225">
    <w:name w:val="索引 41"/>
    <w:basedOn w:val="1"/>
    <w:next w:val="1"/>
    <w:unhideWhenUsed/>
    <w:qFormat/>
    <w:uiPriority w:val="99"/>
    <w:pPr>
      <w:ind w:left="600"/>
    </w:pPr>
    <w:rPr>
      <w:rFonts w:ascii="Verdana" w:hAnsi="Verdana" w:eastAsia="微软雅黑"/>
      <w:szCs w:val="20"/>
    </w:rPr>
  </w:style>
  <w:style w:type="paragraph" w:customStyle="1" w:styleId="226">
    <w:name w:val="目录 51"/>
    <w:basedOn w:val="1"/>
    <w:next w:val="1"/>
    <w:unhideWhenUsed/>
    <w:qFormat/>
    <w:uiPriority w:val="39"/>
    <w:pPr>
      <w:spacing w:after="57"/>
      <w:ind w:left="1134"/>
    </w:pPr>
  </w:style>
  <w:style w:type="paragraph" w:customStyle="1" w:styleId="227">
    <w:name w:val="目录 31"/>
    <w:basedOn w:val="1"/>
    <w:next w:val="1"/>
    <w:unhideWhenUsed/>
    <w:qFormat/>
    <w:uiPriority w:val="39"/>
    <w:pPr>
      <w:spacing w:after="57"/>
      <w:ind w:left="567"/>
    </w:pPr>
  </w:style>
  <w:style w:type="paragraph" w:customStyle="1" w:styleId="228">
    <w:name w:val="纯文本1"/>
    <w:basedOn w:val="1"/>
    <w:link w:val="315"/>
    <w:qFormat/>
    <w:uiPriority w:val="0"/>
    <w:rPr>
      <w:rFonts w:ascii="宋体" w:hAnsi="Courier New"/>
      <w:szCs w:val="21"/>
    </w:rPr>
  </w:style>
  <w:style w:type="paragraph" w:customStyle="1" w:styleId="229">
    <w:name w:val="目录 81"/>
    <w:basedOn w:val="1"/>
    <w:next w:val="1"/>
    <w:unhideWhenUsed/>
    <w:qFormat/>
    <w:uiPriority w:val="39"/>
    <w:pPr>
      <w:spacing w:after="57"/>
      <w:ind w:left="1984"/>
    </w:pPr>
  </w:style>
  <w:style w:type="paragraph" w:customStyle="1" w:styleId="230">
    <w:name w:val="日期1"/>
    <w:basedOn w:val="1"/>
    <w:next w:val="1"/>
    <w:qFormat/>
    <w:uiPriority w:val="0"/>
    <w:rPr>
      <w:rFonts w:eastAsia="仿宋_GB2312"/>
      <w:sz w:val="28"/>
      <w:szCs w:val="20"/>
    </w:rPr>
  </w:style>
  <w:style w:type="paragraph" w:customStyle="1" w:styleId="231">
    <w:name w:val="正文文本缩进 21"/>
    <w:basedOn w:val="1"/>
    <w:qFormat/>
    <w:uiPriority w:val="0"/>
    <w:pPr>
      <w:spacing w:line="10" w:lineRule="atLeast"/>
      <w:ind w:firstLine="475"/>
    </w:pPr>
    <w:rPr>
      <w:rFonts w:ascii="仿宋_GB2312" w:eastAsia="仿宋_GB2312"/>
      <w:sz w:val="24"/>
    </w:rPr>
  </w:style>
  <w:style w:type="paragraph" w:customStyle="1" w:styleId="232">
    <w:name w:val="尾注文本1"/>
    <w:basedOn w:val="1"/>
    <w:link w:val="233"/>
    <w:unhideWhenUsed/>
    <w:qFormat/>
    <w:uiPriority w:val="99"/>
    <w:rPr>
      <w:sz w:val="20"/>
    </w:rPr>
  </w:style>
  <w:style w:type="character" w:customStyle="1" w:styleId="233">
    <w:name w:val="尾注文本 Char"/>
    <w:basedOn w:val="204"/>
    <w:link w:val="232"/>
    <w:qFormat/>
    <w:uiPriority w:val="99"/>
    <w:rPr>
      <w:szCs w:val="24"/>
    </w:rPr>
  </w:style>
  <w:style w:type="paragraph" w:customStyle="1" w:styleId="234">
    <w:name w:val="批注框文本1"/>
    <w:basedOn w:val="1"/>
    <w:link w:val="235"/>
    <w:qFormat/>
    <w:uiPriority w:val="0"/>
    <w:rPr>
      <w:sz w:val="18"/>
      <w:szCs w:val="18"/>
    </w:rPr>
  </w:style>
  <w:style w:type="character" w:customStyle="1" w:styleId="235">
    <w:name w:val="批注框文本 Char"/>
    <w:basedOn w:val="204"/>
    <w:link w:val="234"/>
    <w:qFormat/>
    <w:uiPriority w:val="0"/>
    <w:rPr>
      <w:sz w:val="18"/>
      <w:szCs w:val="18"/>
    </w:rPr>
  </w:style>
  <w:style w:type="paragraph" w:customStyle="1" w:styleId="236">
    <w:name w:val="页脚11"/>
    <w:basedOn w:val="1"/>
    <w:link w:val="237"/>
    <w:qFormat/>
    <w:uiPriority w:val="99"/>
    <w:pPr>
      <w:tabs>
        <w:tab w:val="center" w:pos="4153"/>
        <w:tab w:val="right" w:pos="8306"/>
      </w:tabs>
      <w:jc w:val="left"/>
    </w:pPr>
    <w:rPr>
      <w:sz w:val="18"/>
      <w:szCs w:val="18"/>
    </w:rPr>
  </w:style>
  <w:style w:type="character" w:customStyle="1" w:styleId="237">
    <w:name w:val="页脚 Char"/>
    <w:basedOn w:val="204"/>
    <w:link w:val="236"/>
    <w:qFormat/>
    <w:uiPriority w:val="99"/>
    <w:rPr>
      <w:sz w:val="18"/>
      <w:szCs w:val="18"/>
    </w:rPr>
  </w:style>
  <w:style w:type="paragraph" w:customStyle="1" w:styleId="238">
    <w:name w:val="页眉11"/>
    <w:basedOn w:val="1"/>
    <w:link w:val="239"/>
    <w:qFormat/>
    <w:uiPriority w:val="99"/>
    <w:pPr>
      <w:pBdr>
        <w:bottom w:val="single" w:color="000000" w:sz="6" w:space="1"/>
      </w:pBdr>
      <w:tabs>
        <w:tab w:val="center" w:pos="4153"/>
        <w:tab w:val="right" w:pos="8306"/>
      </w:tabs>
      <w:jc w:val="center"/>
    </w:pPr>
    <w:rPr>
      <w:sz w:val="18"/>
      <w:szCs w:val="18"/>
    </w:rPr>
  </w:style>
  <w:style w:type="character" w:customStyle="1" w:styleId="239">
    <w:name w:val="页眉 Char"/>
    <w:basedOn w:val="204"/>
    <w:link w:val="238"/>
    <w:qFormat/>
    <w:uiPriority w:val="99"/>
    <w:rPr>
      <w:sz w:val="18"/>
      <w:szCs w:val="18"/>
    </w:rPr>
  </w:style>
  <w:style w:type="paragraph" w:customStyle="1" w:styleId="240">
    <w:name w:val="目录 41"/>
    <w:basedOn w:val="1"/>
    <w:next w:val="1"/>
    <w:unhideWhenUsed/>
    <w:qFormat/>
    <w:uiPriority w:val="39"/>
    <w:pPr>
      <w:spacing w:after="57"/>
      <w:ind w:left="850"/>
    </w:pPr>
  </w:style>
  <w:style w:type="paragraph" w:customStyle="1" w:styleId="241">
    <w:name w:val="副标题1"/>
    <w:basedOn w:val="1"/>
    <w:next w:val="1"/>
    <w:link w:val="242"/>
    <w:qFormat/>
    <w:uiPriority w:val="11"/>
    <w:pPr>
      <w:spacing w:before="200" w:after="200"/>
    </w:pPr>
    <w:rPr>
      <w:sz w:val="24"/>
    </w:rPr>
  </w:style>
  <w:style w:type="character" w:customStyle="1" w:styleId="242">
    <w:name w:val="副标题 Char"/>
    <w:basedOn w:val="204"/>
    <w:link w:val="241"/>
    <w:qFormat/>
    <w:uiPriority w:val="11"/>
    <w:rPr>
      <w:sz w:val="24"/>
      <w:szCs w:val="24"/>
    </w:rPr>
  </w:style>
  <w:style w:type="paragraph" w:customStyle="1" w:styleId="243">
    <w:name w:val="脚注文本11"/>
    <w:basedOn w:val="1"/>
    <w:next w:val="216"/>
    <w:link w:val="244"/>
    <w:qFormat/>
    <w:uiPriority w:val="0"/>
    <w:pPr>
      <w:jc w:val="left"/>
    </w:pPr>
    <w:rPr>
      <w:rFonts w:ascii="宋体" w:eastAsia="Times New Roman"/>
      <w:sz w:val="18"/>
      <w:szCs w:val="18"/>
    </w:rPr>
  </w:style>
  <w:style w:type="character" w:customStyle="1" w:styleId="244">
    <w:name w:val="脚注文本 Char"/>
    <w:basedOn w:val="204"/>
    <w:link w:val="243"/>
    <w:qFormat/>
    <w:uiPriority w:val="0"/>
    <w:rPr>
      <w:rFonts w:ascii="宋体" w:eastAsia="Times New Roman"/>
      <w:sz w:val="18"/>
      <w:szCs w:val="18"/>
    </w:rPr>
  </w:style>
  <w:style w:type="paragraph" w:customStyle="1" w:styleId="245">
    <w:name w:val="目录 61"/>
    <w:basedOn w:val="1"/>
    <w:next w:val="1"/>
    <w:unhideWhenUsed/>
    <w:qFormat/>
    <w:uiPriority w:val="39"/>
    <w:pPr>
      <w:spacing w:after="57"/>
      <w:ind w:left="1417"/>
    </w:pPr>
  </w:style>
  <w:style w:type="paragraph" w:customStyle="1" w:styleId="246">
    <w:name w:val="图表目录1"/>
    <w:basedOn w:val="1"/>
    <w:next w:val="1"/>
    <w:unhideWhenUsed/>
    <w:qFormat/>
    <w:uiPriority w:val="99"/>
  </w:style>
  <w:style w:type="paragraph" w:customStyle="1" w:styleId="247">
    <w:name w:val="目录 21"/>
    <w:basedOn w:val="1"/>
    <w:next w:val="1"/>
    <w:unhideWhenUsed/>
    <w:qFormat/>
    <w:uiPriority w:val="39"/>
    <w:pPr>
      <w:spacing w:after="57"/>
      <w:ind w:left="283"/>
    </w:pPr>
  </w:style>
  <w:style w:type="paragraph" w:customStyle="1" w:styleId="248">
    <w:name w:val="目录 91"/>
    <w:basedOn w:val="1"/>
    <w:next w:val="1"/>
    <w:unhideWhenUsed/>
    <w:qFormat/>
    <w:uiPriority w:val="39"/>
    <w:pPr>
      <w:spacing w:after="57"/>
      <w:ind w:left="2268"/>
    </w:pPr>
  </w:style>
  <w:style w:type="paragraph" w:customStyle="1" w:styleId="249">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50">
    <w:name w:val="标题1"/>
    <w:basedOn w:val="1"/>
    <w:next w:val="1"/>
    <w:link w:val="251"/>
    <w:qFormat/>
    <w:uiPriority w:val="10"/>
    <w:pPr>
      <w:spacing w:before="300" w:after="200"/>
      <w:contextualSpacing/>
    </w:pPr>
    <w:rPr>
      <w:sz w:val="48"/>
      <w:szCs w:val="48"/>
    </w:rPr>
  </w:style>
  <w:style w:type="character" w:customStyle="1" w:styleId="251">
    <w:name w:val="标题 Char"/>
    <w:basedOn w:val="204"/>
    <w:link w:val="250"/>
    <w:qFormat/>
    <w:uiPriority w:val="10"/>
    <w:rPr>
      <w:sz w:val="48"/>
      <w:szCs w:val="48"/>
    </w:rPr>
  </w:style>
  <w:style w:type="paragraph" w:customStyle="1" w:styleId="252">
    <w:name w:val="批注主题1"/>
    <w:basedOn w:val="217"/>
    <w:next w:val="217"/>
    <w:link w:val="253"/>
    <w:unhideWhenUsed/>
    <w:qFormat/>
    <w:uiPriority w:val="0"/>
    <w:rPr>
      <w:b/>
      <w:bCs/>
    </w:rPr>
  </w:style>
  <w:style w:type="character" w:customStyle="1" w:styleId="253">
    <w:name w:val="批注主题 Char"/>
    <w:basedOn w:val="218"/>
    <w:link w:val="252"/>
    <w:qFormat/>
    <w:uiPriority w:val="0"/>
    <w:rPr>
      <w:b/>
      <w:bCs/>
    </w:rPr>
  </w:style>
  <w:style w:type="paragraph" w:customStyle="1" w:styleId="254">
    <w:name w:val="正文首行缩进1"/>
    <w:basedOn w:val="219"/>
    <w:next w:val="255"/>
    <w:link w:val="257"/>
    <w:qFormat/>
    <w:uiPriority w:val="0"/>
    <w:pPr>
      <w:ind w:firstLine="420"/>
    </w:pPr>
  </w:style>
  <w:style w:type="paragraph" w:customStyle="1" w:styleId="255">
    <w:name w:val="正文首行缩进 21"/>
    <w:basedOn w:val="49"/>
    <w:link w:val="256"/>
    <w:qFormat/>
    <w:uiPriority w:val="0"/>
    <w:pPr>
      <w:ind w:firstLine="420"/>
    </w:pPr>
  </w:style>
  <w:style w:type="character" w:customStyle="1" w:styleId="256">
    <w:name w:val="正文首行缩进 2 Char"/>
    <w:basedOn w:val="224"/>
    <w:link w:val="255"/>
    <w:qFormat/>
    <w:uiPriority w:val="0"/>
  </w:style>
  <w:style w:type="character" w:customStyle="1" w:styleId="257">
    <w:name w:val="正文首行缩进 Char"/>
    <w:basedOn w:val="223"/>
    <w:link w:val="254"/>
    <w:qFormat/>
    <w:uiPriority w:val="0"/>
  </w:style>
  <w:style w:type="character" w:customStyle="1" w:styleId="258">
    <w:name w:val="尾注引用1"/>
    <w:basedOn w:val="204"/>
    <w:link w:val="1"/>
    <w:unhideWhenUsed/>
    <w:qFormat/>
    <w:uiPriority w:val="99"/>
    <w:rPr>
      <w:vertAlign w:val="superscript"/>
    </w:rPr>
  </w:style>
  <w:style w:type="character" w:customStyle="1" w:styleId="259">
    <w:name w:val="页码1"/>
    <w:basedOn w:val="204"/>
    <w:link w:val="1"/>
    <w:qFormat/>
    <w:uiPriority w:val="0"/>
  </w:style>
  <w:style w:type="character" w:customStyle="1" w:styleId="260">
    <w:name w:val="已访问的超链接1"/>
    <w:basedOn w:val="204"/>
    <w:link w:val="1"/>
    <w:qFormat/>
    <w:uiPriority w:val="0"/>
    <w:rPr>
      <w:color w:val="800080"/>
      <w:u w:val="single"/>
    </w:rPr>
  </w:style>
  <w:style w:type="character" w:customStyle="1" w:styleId="261">
    <w:name w:val="超链接1"/>
    <w:link w:val="1"/>
    <w:qFormat/>
    <w:uiPriority w:val="99"/>
    <w:rPr>
      <w:color w:val="0000FF"/>
      <w:u w:val="single"/>
    </w:rPr>
  </w:style>
  <w:style w:type="character" w:customStyle="1" w:styleId="262">
    <w:name w:val="批注引用1"/>
    <w:basedOn w:val="204"/>
    <w:link w:val="1"/>
    <w:unhideWhenUsed/>
    <w:qFormat/>
    <w:uiPriority w:val="0"/>
    <w:rPr>
      <w:sz w:val="21"/>
      <w:szCs w:val="21"/>
    </w:rPr>
  </w:style>
  <w:style w:type="character" w:customStyle="1" w:styleId="263">
    <w:name w:val="脚注引用1"/>
    <w:basedOn w:val="204"/>
    <w:link w:val="1"/>
    <w:unhideWhenUsed/>
    <w:qFormat/>
    <w:uiPriority w:val="99"/>
    <w:rPr>
      <w:vertAlign w:val="superscript"/>
    </w:rPr>
  </w:style>
  <w:style w:type="paragraph" w:customStyle="1" w:styleId="264">
    <w:name w:val="默认段落字体 Para Char Char Char Char Char Char Char"/>
    <w:basedOn w:val="1"/>
    <w:qFormat/>
    <w:uiPriority w:val="0"/>
    <w:rPr>
      <w:rFonts w:ascii="Tahoma" w:hAnsi="Tahoma"/>
      <w:sz w:val="24"/>
      <w:szCs w:val="20"/>
    </w:rPr>
  </w:style>
  <w:style w:type="paragraph" w:customStyle="1" w:styleId="265">
    <w:name w:val="Char"/>
    <w:basedOn w:val="1"/>
    <w:qFormat/>
    <w:uiPriority w:val="0"/>
    <w:pPr>
      <w:tabs>
        <w:tab w:val="left" w:pos="360"/>
      </w:tabs>
    </w:pPr>
    <w:rPr>
      <w:sz w:val="24"/>
    </w:rPr>
  </w:style>
  <w:style w:type="paragraph" w:customStyle="1" w:styleId="266">
    <w:name w:val="普通正文"/>
    <w:basedOn w:val="1"/>
    <w:qFormat/>
    <w:uiPriority w:val="0"/>
    <w:pPr>
      <w:spacing w:before="120" w:after="120" w:line="360" w:lineRule="auto"/>
      <w:ind w:firstLine="480"/>
      <w:jc w:val="left"/>
    </w:pPr>
    <w:rPr>
      <w:rFonts w:ascii="Arial" w:hAnsi="Arial"/>
      <w:sz w:val="24"/>
    </w:rPr>
  </w:style>
  <w:style w:type="paragraph" w:customStyle="1" w:styleId="267">
    <w:name w:val="p0"/>
    <w:basedOn w:val="1"/>
    <w:qFormat/>
    <w:uiPriority w:val="0"/>
    <w:pPr>
      <w:widowControl/>
    </w:pPr>
    <w:rPr>
      <w:szCs w:val="21"/>
    </w:rPr>
  </w:style>
  <w:style w:type="paragraph" w:customStyle="1" w:styleId="268">
    <w:name w:val="Default"/>
    <w:basedOn w:val="1"/>
    <w:qFormat/>
    <w:uiPriority w:val="0"/>
    <w:rPr>
      <w:rFonts w:ascii="宋体" w:hAnsi="宋体" w:cs="宋体"/>
      <w:color w:val="000000"/>
      <w:sz w:val="24"/>
    </w:rPr>
  </w:style>
  <w:style w:type="character" w:customStyle="1" w:styleId="269">
    <w:name w:val="16"/>
    <w:basedOn w:val="204"/>
    <w:link w:val="1"/>
    <w:qFormat/>
    <w:uiPriority w:val="0"/>
    <w:rPr>
      <w:rFonts w:hint="eastAsia" w:ascii="黑体" w:hAnsi="宋体" w:eastAsia="黑体" w:cs="黑体"/>
      <w:color w:val="000000"/>
      <w:sz w:val="44"/>
      <w:szCs w:val="44"/>
    </w:rPr>
  </w:style>
  <w:style w:type="character" w:customStyle="1" w:styleId="270">
    <w:name w:val="15"/>
    <w:basedOn w:val="204"/>
    <w:link w:val="1"/>
    <w:qFormat/>
    <w:uiPriority w:val="0"/>
    <w:rPr>
      <w:rFonts w:hint="eastAsia" w:ascii="仿宋" w:hAnsi="仿宋" w:eastAsia="仿宋" w:cs="仿宋"/>
      <w:color w:val="000000"/>
      <w:sz w:val="18"/>
      <w:szCs w:val="18"/>
    </w:rPr>
  </w:style>
  <w:style w:type="paragraph" w:customStyle="1" w:styleId="271">
    <w:name w:val="Table Paragraph"/>
    <w:basedOn w:val="1"/>
    <w:qFormat/>
    <w:uiPriority w:val="1"/>
    <w:rPr>
      <w:rFonts w:ascii="宋体" w:hAnsi="宋体" w:eastAsia="宋体" w:cs="宋体"/>
      <w:lang w:val="zh-CN" w:eastAsia="zh-CN" w:bidi="zh-CN"/>
    </w:rPr>
  </w:style>
  <w:style w:type="paragraph" w:customStyle="1" w:styleId="272">
    <w:name w:val="脚注文本1"/>
    <w:basedOn w:val="47"/>
    <w:next w:val="273"/>
    <w:qFormat/>
    <w:uiPriority w:val="0"/>
    <w:pPr>
      <w:spacing w:line="360" w:lineRule="atLeast"/>
      <w:jc w:val="left"/>
    </w:pPr>
    <w:rPr>
      <w:rFonts w:ascii="宋体" w:hAnsi="Calibri" w:eastAsia="Times New Roman" w:cs="Times New Roman"/>
      <w:sz w:val="18"/>
      <w:szCs w:val="18"/>
    </w:rPr>
  </w:style>
  <w:style w:type="paragraph" w:customStyle="1" w:styleId="273">
    <w:name w:val="索引 51"/>
    <w:basedOn w:val="47"/>
    <w:next w:val="47"/>
    <w:qFormat/>
    <w:uiPriority w:val="0"/>
    <w:pPr>
      <w:spacing w:line="360" w:lineRule="atLeast"/>
      <w:ind w:left="798"/>
      <w:jc w:val="left"/>
    </w:pPr>
    <w:rPr>
      <w:rFonts w:eastAsia="宋体" w:cs="Times New Roman"/>
      <w:sz w:val="24"/>
      <w:szCs w:val="20"/>
    </w:rPr>
  </w:style>
  <w:style w:type="character" w:customStyle="1" w:styleId="274">
    <w:name w:val="Heading 1 Char"/>
    <w:basedOn w:val="204"/>
    <w:link w:val="1"/>
    <w:qFormat/>
    <w:uiPriority w:val="9"/>
    <w:rPr>
      <w:rFonts w:ascii="Arial" w:hAnsi="Arial" w:eastAsia="Arial" w:cs="Arial"/>
      <w:sz w:val="40"/>
      <w:szCs w:val="40"/>
    </w:rPr>
  </w:style>
  <w:style w:type="character" w:customStyle="1" w:styleId="275">
    <w:name w:val="Heading 2 Char"/>
    <w:basedOn w:val="204"/>
    <w:link w:val="1"/>
    <w:qFormat/>
    <w:uiPriority w:val="9"/>
    <w:rPr>
      <w:rFonts w:ascii="Arial" w:hAnsi="Arial" w:eastAsia="Arial" w:cs="Arial"/>
      <w:sz w:val="34"/>
    </w:rPr>
  </w:style>
  <w:style w:type="character" w:customStyle="1" w:styleId="276">
    <w:name w:val="Heading 3 Char"/>
    <w:basedOn w:val="204"/>
    <w:link w:val="1"/>
    <w:qFormat/>
    <w:uiPriority w:val="9"/>
    <w:rPr>
      <w:rFonts w:ascii="Arial" w:hAnsi="Arial" w:eastAsia="Arial" w:cs="Arial"/>
      <w:sz w:val="30"/>
      <w:szCs w:val="30"/>
    </w:rPr>
  </w:style>
  <w:style w:type="paragraph" w:customStyle="1" w:styleId="277">
    <w:name w:val="无间隔"/>
    <w:qFormat/>
    <w:uiPriority w:val="1"/>
    <w:rPr>
      <w:rFonts w:hint="default" w:ascii="Times New Roman" w:hAnsi="Times New Roman" w:eastAsia="宋体" w:cs="Times New Roman"/>
      <w:lang w:val="en-US" w:eastAsia="zh-CN" w:bidi="ar-SA"/>
    </w:rPr>
  </w:style>
  <w:style w:type="paragraph" w:customStyle="1" w:styleId="278">
    <w:name w:val="引用"/>
    <w:basedOn w:val="1"/>
    <w:next w:val="1"/>
    <w:link w:val="279"/>
    <w:qFormat/>
    <w:uiPriority w:val="29"/>
    <w:pPr>
      <w:ind w:left="720" w:right="720"/>
    </w:pPr>
    <w:rPr>
      <w:i/>
    </w:rPr>
  </w:style>
  <w:style w:type="character" w:customStyle="1" w:styleId="279">
    <w:name w:val="引用 Char"/>
    <w:basedOn w:val="204"/>
    <w:link w:val="278"/>
    <w:qFormat/>
    <w:uiPriority w:val="29"/>
    <w:rPr>
      <w:i/>
      <w:sz w:val="21"/>
      <w:szCs w:val="24"/>
    </w:rPr>
  </w:style>
  <w:style w:type="paragraph" w:customStyle="1" w:styleId="280">
    <w:name w:val="明显引用"/>
    <w:basedOn w:val="1"/>
    <w:next w:val="1"/>
    <w:link w:val="28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281">
    <w:name w:val="明显引用 Char"/>
    <w:basedOn w:val="204"/>
    <w:link w:val="280"/>
    <w:qFormat/>
    <w:uiPriority w:val="30"/>
    <w:rPr>
      <w:i/>
      <w:sz w:val="21"/>
      <w:szCs w:val="24"/>
      <w:shd w:val="clear" w:color="auto" w:fill="F2F2F2"/>
    </w:rPr>
  </w:style>
  <w:style w:type="character" w:customStyle="1" w:styleId="282">
    <w:name w:val="Header Char"/>
    <w:basedOn w:val="204"/>
    <w:link w:val="1"/>
    <w:qFormat/>
    <w:uiPriority w:val="99"/>
  </w:style>
  <w:style w:type="character" w:customStyle="1" w:styleId="283">
    <w:name w:val="Footer Char"/>
    <w:basedOn w:val="204"/>
    <w:link w:val="1"/>
    <w:qFormat/>
    <w:uiPriority w:val="99"/>
  </w:style>
  <w:style w:type="character" w:customStyle="1" w:styleId="284">
    <w:name w:val="Caption Char"/>
    <w:link w:val="1"/>
    <w:qFormat/>
    <w:uiPriority w:val="99"/>
  </w:style>
  <w:style w:type="table" w:customStyle="1" w:styleId="285">
    <w:name w:val="Bordered &amp; Lined - Accent"/>
    <w:basedOn w:val="205"/>
    <w:qFormat/>
    <w:uiPriority w:val="99"/>
    <w:rPr>
      <w:color w:val="404040"/>
    </w:rPr>
  </w:style>
  <w:style w:type="character" w:customStyle="1" w:styleId="286">
    <w:name w:val="Footnote Text Char"/>
    <w:link w:val="1"/>
    <w:qFormat/>
    <w:uiPriority w:val="99"/>
    <w:rPr>
      <w:sz w:val="18"/>
    </w:rPr>
  </w:style>
  <w:style w:type="paragraph" w:customStyle="1" w:styleId="287">
    <w:name w:val="TOC 标题1"/>
    <w:unhideWhenUsed/>
    <w:qFormat/>
    <w:uiPriority w:val="39"/>
    <w:rPr>
      <w:rFonts w:hint="default" w:ascii="Times New Roman" w:hAnsi="Times New Roman" w:eastAsia="宋体" w:cs="Times New Roman"/>
      <w:lang w:val="en-US" w:eastAsia="zh-CN" w:bidi="ar-SA"/>
    </w:rPr>
  </w:style>
  <w:style w:type="paragraph" w:customStyle="1" w:styleId="288">
    <w:name w:val="列出段落"/>
    <w:basedOn w:val="1"/>
    <w:qFormat/>
    <w:uiPriority w:val="34"/>
    <w:pPr>
      <w:ind w:firstLine="420"/>
    </w:pPr>
  </w:style>
  <w:style w:type="character" w:customStyle="1" w:styleId="289">
    <w:name w:val="NormalCharacter1"/>
    <w:link w:val="1"/>
    <w:semiHidden/>
    <w:qFormat/>
    <w:uiPriority w:val="0"/>
    <w:rPr>
      <w:sz w:val="28"/>
      <w:lang w:val="en-US" w:eastAsia="zh-CN" w:bidi="ar-SA"/>
    </w:rPr>
  </w:style>
  <w:style w:type="paragraph" w:customStyle="1" w:styleId="290">
    <w:name w:val="179"/>
    <w:basedOn w:val="1"/>
    <w:qFormat/>
    <w:uiPriority w:val="0"/>
    <w:pPr>
      <w:widowControl/>
      <w:ind w:firstLine="420"/>
      <w:jc w:val="left"/>
    </w:pPr>
    <w:rPr>
      <w:rFonts w:ascii="宋体" w:hAnsi="宋体"/>
      <w:sz w:val="24"/>
    </w:rPr>
  </w:style>
  <w:style w:type="paragraph" w:customStyle="1" w:styleId="291">
    <w:name w:val="UserStyle_0"/>
    <w:qFormat/>
    <w:uiPriority w:val="0"/>
    <w:rPr>
      <w:rFonts w:hint="default" w:ascii="Times New Roman" w:hAnsi="Times New Roman" w:eastAsia="宋体" w:cs="Times New Roman"/>
      <w:color w:val="000000"/>
      <w:sz w:val="24"/>
      <w:szCs w:val="24"/>
      <w:lang w:val="en-US" w:eastAsia="zh-CN" w:bidi="ar-SA"/>
    </w:rPr>
  </w:style>
  <w:style w:type="paragraph" w:customStyle="1" w:styleId="292">
    <w:name w:val="标准"/>
    <w:basedOn w:val="1"/>
    <w:qFormat/>
    <w:uiPriority w:val="0"/>
    <w:pPr>
      <w:spacing w:line="360" w:lineRule="auto"/>
      <w:ind w:firstLine="200"/>
    </w:pPr>
    <w:rPr>
      <w:rFonts w:cs="宋体"/>
      <w:sz w:val="20"/>
      <w:szCs w:val="20"/>
    </w:rPr>
  </w:style>
  <w:style w:type="paragraph" w:customStyle="1" w:styleId="293">
    <w:name w:val="_Style 11"/>
    <w:basedOn w:val="1"/>
    <w:next w:val="288"/>
    <w:qFormat/>
    <w:uiPriority w:val="34"/>
    <w:pPr>
      <w:ind w:firstLine="420"/>
    </w:pPr>
    <w:rPr>
      <w:color w:val="000000"/>
      <w:szCs w:val="21"/>
    </w:rPr>
  </w:style>
  <w:style w:type="paragraph" w:customStyle="1" w:styleId="294">
    <w:name w:val="TOC 11"/>
    <w:basedOn w:val="1"/>
    <w:next w:val="1"/>
    <w:qFormat/>
    <w:uiPriority w:val="0"/>
    <w:pPr>
      <w:widowControl/>
      <w:spacing w:before="120" w:after="120"/>
      <w:jc w:val="left"/>
    </w:pPr>
    <w:rPr>
      <w:rFonts w:ascii="Calibri" w:hAnsi="Calibri" w:cs="Calibri"/>
      <w:b/>
      <w:bCs/>
      <w:caps/>
      <w:sz w:val="20"/>
      <w:szCs w:val="20"/>
    </w:rPr>
  </w:style>
  <w:style w:type="paragraph" w:customStyle="1" w:styleId="295">
    <w:name w:val="BodyText1I21"/>
    <w:basedOn w:val="1"/>
    <w:qFormat/>
    <w:uiPriority w:val="0"/>
    <w:pPr>
      <w:widowControl/>
      <w:spacing w:line="360" w:lineRule="auto"/>
      <w:ind w:firstLine="420"/>
    </w:pPr>
    <w:rPr>
      <w:rFonts w:ascii="宋体" w:hAnsi="宋体" w:cs="Times New Roman"/>
      <w:sz w:val="20"/>
      <w:szCs w:val="20"/>
    </w:rPr>
  </w:style>
  <w:style w:type="paragraph" w:customStyle="1" w:styleId="296">
    <w:name w:val="UserStyle_133"/>
    <w:basedOn w:val="1"/>
    <w:qFormat/>
    <w:uiPriority w:val="0"/>
    <w:pPr>
      <w:widowControl/>
    </w:pPr>
    <w:rPr>
      <w:rFonts w:ascii="Tahoma" w:hAnsi="Tahoma" w:cs="Times New Roman"/>
      <w:sz w:val="24"/>
    </w:rPr>
  </w:style>
  <w:style w:type="paragraph" w:customStyle="1" w:styleId="297">
    <w:name w:val="AnnotationText1"/>
    <w:basedOn w:val="1"/>
    <w:link w:val="298"/>
    <w:qFormat/>
    <w:uiPriority w:val="0"/>
    <w:pPr>
      <w:widowControl/>
      <w:jc w:val="left"/>
    </w:pPr>
    <w:rPr>
      <w:lang w:val="en-US" w:eastAsia="en-US"/>
    </w:rPr>
  </w:style>
  <w:style w:type="character" w:customStyle="1" w:styleId="298">
    <w:name w:val="UserStyle_12"/>
    <w:link w:val="297"/>
    <w:qFormat/>
    <w:uiPriority w:val="0"/>
    <w:rPr>
      <w:rFonts w:cs="Times New Roman"/>
      <w:sz w:val="21"/>
      <w:szCs w:val="24"/>
    </w:rPr>
  </w:style>
  <w:style w:type="paragraph" w:customStyle="1" w:styleId="299">
    <w:name w:val="UserStyle_115"/>
    <w:qFormat/>
    <w:uiPriority w:val="0"/>
    <w:rPr>
      <w:rFonts w:hint="default" w:ascii="Times New Roman" w:hAnsi="Times New Roman" w:eastAsia="宋体" w:cs="Times New Roman"/>
      <w:color w:val="000000"/>
      <w:sz w:val="24"/>
      <w:szCs w:val="24"/>
      <w:lang w:val="en-US" w:eastAsia="zh-CN" w:bidi="ar-SA"/>
    </w:rPr>
  </w:style>
  <w:style w:type="paragraph" w:customStyle="1" w:styleId="300">
    <w:name w:val="*正文-表格"/>
    <w:basedOn w:val="1"/>
    <w:qFormat/>
    <w:uiPriority w:val="0"/>
    <w:rPr>
      <w:sz w:val="24"/>
      <w:szCs w:val="20"/>
    </w:rPr>
  </w:style>
  <w:style w:type="character" w:customStyle="1" w:styleId="301">
    <w:name w:val="font21"/>
    <w:basedOn w:val="204"/>
    <w:link w:val="1"/>
    <w:qFormat/>
    <w:uiPriority w:val="0"/>
    <w:rPr>
      <w:rFonts w:hint="eastAsia" w:ascii="宋体" w:hAnsi="宋体" w:eastAsia="宋体" w:cs="宋体"/>
      <w:b/>
      <w:bCs/>
      <w:color w:val="000000"/>
      <w:sz w:val="28"/>
      <w:szCs w:val="28"/>
      <w:u w:val="none"/>
    </w:rPr>
  </w:style>
  <w:style w:type="paragraph" w:customStyle="1" w:styleId="302">
    <w:name w:val="标题 5（有编号）（绿盟科技）"/>
    <w:basedOn w:val="1"/>
    <w:next w:val="303"/>
    <w:qFormat/>
    <w:uiPriority w:val="99"/>
    <w:pPr>
      <w:keepNext/>
      <w:keepLines/>
      <w:numPr>
        <w:ilvl w:val="4"/>
        <w:numId w:val="2"/>
      </w:numPr>
      <w:spacing w:before="280" w:after="156" w:line="376" w:lineRule="auto"/>
      <w:jc w:val="left"/>
      <w:outlineLvl w:val="4"/>
    </w:pPr>
    <w:rPr>
      <w:rFonts w:ascii="Arial" w:hAnsi="Arial" w:eastAsia="黑体"/>
      <w:b/>
      <w:sz w:val="24"/>
      <w:szCs w:val="28"/>
    </w:rPr>
  </w:style>
  <w:style w:type="paragraph" w:customStyle="1" w:styleId="303">
    <w:name w:val="正文（绿盟科技）"/>
    <w:qFormat/>
    <w:uiPriority w:val="99"/>
    <w:pPr>
      <w:spacing w:line="300" w:lineRule="auto"/>
    </w:pPr>
    <w:rPr>
      <w:rFonts w:hint="default" w:ascii="Arial" w:hAnsi="Arial" w:eastAsia="宋体" w:cs="黑体"/>
      <w:sz w:val="21"/>
      <w:szCs w:val="21"/>
      <w:lang w:val="en-US" w:eastAsia="zh-CN" w:bidi="ar-SA"/>
    </w:rPr>
  </w:style>
  <w:style w:type="paragraph" w:customStyle="1" w:styleId="304">
    <w:name w:val="投标文件正文"/>
    <w:basedOn w:val="1"/>
    <w:qFormat/>
    <w:uiPriority w:val="0"/>
    <w:pPr>
      <w:spacing w:before="40" w:after="40" w:line="400" w:lineRule="exact"/>
      <w:ind w:firstLine="200"/>
    </w:pPr>
    <w:rPr>
      <w:sz w:val="24"/>
    </w:rPr>
  </w:style>
  <w:style w:type="paragraph" w:customStyle="1" w:styleId="305">
    <w:name w:val="标题 21"/>
    <w:basedOn w:val="1"/>
    <w:next w:val="1"/>
    <w:qFormat/>
    <w:uiPriority w:val="0"/>
    <w:pPr>
      <w:keepNext/>
      <w:keepLines/>
      <w:tabs>
        <w:tab w:val="left" w:pos="0"/>
      </w:tabs>
      <w:spacing w:before="50"/>
      <w:jc w:val="left"/>
    </w:pPr>
    <w:rPr>
      <w:rFonts w:ascii="Arial" w:hAnsi="Arial" w:eastAsia="黑体"/>
      <w:sz w:val="32"/>
      <w:szCs w:val="20"/>
    </w:rPr>
  </w:style>
  <w:style w:type="paragraph" w:customStyle="1" w:styleId="306">
    <w:name w:val="BodyTextIndent1"/>
    <w:basedOn w:val="1"/>
    <w:next w:val="307"/>
    <w:qFormat/>
    <w:uiPriority w:val="0"/>
    <w:pPr>
      <w:spacing w:after="120"/>
      <w:ind w:left="420"/>
    </w:pPr>
  </w:style>
  <w:style w:type="paragraph" w:customStyle="1" w:styleId="307">
    <w:name w:val="EnvelopeReturn1"/>
    <w:basedOn w:val="1"/>
    <w:qFormat/>
    <w:uiPriority w:val="0"/>
    <w:rPr>
      <w:rFonts w:ascii="Arial" w:hAnsi="Arial"/>
    </w:rPr>
  </w:style>
  <w:style w:type="paragraph" w:customStyle="1" w:styleId="308">
    <w:name w:val="列出段落1"/>
    <w:basedOn w:val="1"/>
    <w:qFormat/>
    <w:uiPriority w:val="34"/>
    <w:pPr>
      <w:ind w:left="480"/>
      <w:jc w:val="left"/>
    </w:pPr>
    <w:rPr>
      <w:rFonts w:ascii="Calibri" w:hAnsi="Calibri" w:eastAsia="PMingLiU"/>
      <w:sz w:val="24"/>
      <w:szCs w:val="20"/>
      <w:lang w:eastAsia="zh-TW"/>
    </w:rPr>
  </w:style>
  <w:style w:type="paragraph" w:customStyle="1" w:styleId="309">
    <w:name w:val="Normal_0_2"/>
    <w:qFormat/>
    <w:uiPriority w:val="0"/>
    <w:rPr>
      <w:rFonts w:hint="default" w:ascii="Times New Roman" w:hAnsi="Times New Roman" w:eastAsia="Times New Roman" w:cs="Times New Roman"/>
      <w:sz w:val="24"/>
      <w:szCs w:val="24"/>
      <w:lang w:val="en-US" w:eastAsia="zh-CN" w:bidi="ar-SA"/>
    </w:rPr>
  </w:style>
  <w:style w:type="character" w:customStyle="1" w:styleId="310">
    <w:name w:val="font51"/>
    <w:basedOn w:val="204"/>
    <w:link w:val="1"/>
    <w:qFormat/>
    <w:uiPriority w:val="0"/>
    <w:rPr>
      <w:rFonts w:hint="eastAsia" w:ascii="宋体" w:hAnsi="宋体" w:eastAsia="宋体" w:cs="宋体"/>
      <w:color w:val="000000"/>
      <w:sz w:val="20"/>
      <w:szCs w:val="20"/>
      <w:u w:val="none"/>
    </w:rPr>
  </w:style>
  <w:style w:type="character" w:customStyle="1" w:styleId="311">
    <w:name w:val="font61"/>
    <w:basedOn w:val="204"/>
    <w:link w:val="1"/>
    <w:qFormat/>
    <w:uiPriority w:val="0"/>
    <w:rPr>
      <w:rFonts w:ascii="Calibri" w:hAnsi="Calibri" w:cs="Calibri"/>
      <w:color w:val="000000"/>
      <w:sz w:val="20"/>
      <w:szCs w:val="20"/>
      <w:u w:val="none"/>
    </w:rPr>
  </w:style>
  <w:style w:type="table" w:customStyle="1" w:styleId="312">
    <w:name w:val="网格型1"/>
    <w:basedOn w:val="205"/>
    <w:qFormat/>
    <w:uiPriority w:val="39"/>
  </w:style>
  <w:style w:type="character" w:customStyle="1" w:styleId="313">
    <w:name w:val="font31"/>
    <w:basedOn w:val="204"/>
    <w:link w:val="1"/>
    <w:qFormat/>
    <w:uiPriority w:val="0"/>
    <w:rPr>
      <w:rFonts w:ascii="Times New Roman" w:hAnsi="Times New Roman" w:cs="Times New Roman"/>
      <w:b/>
      <w:bCs/>
      <w:color w:val="000000"/>
      <w:sz w:val="52"/>
      <w:szCs w:val="52"/>
      <w:u w:val="none"/>
    </w:rPr>
  </w:style>
  <w:style w:type="character" w:customStyle="1" w:styleId="314">
    <w:name w:val="font41"/>
    <w:basedOn w:val="204"/>
    <w:link w:val="1"/>
    <w:qFormat/>
    <w:uiPriority w:val="0"/>
    <w:rPr>
      <w:rFonts w:hint="eastAsia" w:ascii="新宋体" w:hAnsi="新宋体" w:eastAsia="新宋体" w:cs="新宋体"/>
      <w:b/>
      <w:bCs/>
      <w:color w:val="000000"/>
      <w:sz w:val="52"/>
      <w:szCs w:val="52"/>
      <w:u w:val="none"/>
    </w:rPr>
  </w:style>
  <w:style w:type="character" w:customStyle="1" w:styleId="315">
    <w:name w:val="纯文本 Char"/>
    <w:basedOn w:val="204"/>
    <w:link w:val="228"/>
    <w:qFormat/>
    <w:uiPriority w:val="0"/>
    <w:rPr>
      <w:rFonts w:ascii="宋体" w:hAnsi="Courier New"/>
      <w:sz w:val="21"/>
      <w:szCs w:val="21"/>
    </w:rPr>
  </w:style>
  <w:style w:type="character" w:customStyle="1" w:styleId="316">
    <w:name w:val="font11"/>
    <w:basedOn w:val="204"/>
    <w:link w:val="1"/>
    <w:qFormat/>
    <w:uiPriority w:val="0"/>
    <w:rPr>
      <w:rFonts w:hint="eastAsia" w:ascii="宋体" w:hAnsi="宋体" w:eastAsia="宋体" w:cs="宋体"/>
      <w:color w:val="000000"/>
      <w:sz w:val="24"/>
      <w:szCs w:val="24"/>
      <w:u w:val="none"/>
    </w:rPr>
  </w:style>
  <w:style w:type="paragraph" w:customStyle="1" w:styleId="317">
    <w:name w:val="Heading21"/>
    <w:basedOn w:val="1"/>
    <w:next w:val="1"/>
    <w:qFormat/>
    <w:uiPriority w:val="0"/>
    <w:pPr>
      <w:keepNext/>
      <w:keepLines/>
      <w:spacing w:before="260" w:after="260" w:line="416" w:lineRule="auto"/>
    </w:pPr>
    <w:rPr>
      <w:rFonts w:ascii="Cambria" w:hAnsi="Cambria"/>
      <w:b/>
      <w:bCs/>
      <w:sz w:val="32"/>
      <w:szCs w:val="32"/>
    </w:rPr>
  </w:style>
  <w:style w:type="paragraph" w:customStyle="1" w:styleId="318">
    <w:name w:val="正文-1"/>
    <w:basedOn w:val="1"/>
    <w:qFormat/>
    <w:uiPriority w:val="0"/>
    <w:pPr>
      <w:widowControl/>
      <w:spacing w:line="360" w:lineRule="auto"/>
      <w:ind w:firstLine="200"/>
      <w:jc w:val="left"/>
    </w:pPr>
    <w:rPr>
      <w:rFonts w:ascii="Calibri" w:hAnsi="Calibri"/>
      <w:sz w:val="24"/>
      <w:szCs w:val="20"/>
    </w:rPr>
  </w:style>
  <w:style w:type="paragraph" w:customStyle="1" w:styleId="319">
    <w:name w:val="页眉1"/>
    <w:basedOn w:val="1"/>
    <w:next w:val="238"/>
    <w:link w:val="320"/>
    <w:unhideWhenUsed/>
    <w:qFormat/>
    <w:uiPriority w:val="99"/>
    <w:pPr>
      <w:widowControl/>
      <w:pBdr>
        <w:bottom w:val="single" w:color="000000" w:sz="6" w:space="1"/>
      </w:pBdr>
      <w:tabs>
        <w:tab w:val="center" w:pos="4153"/>
        <w:tab w:val="right" w:pos="8306"/>
      </w:tabs>
      <w:spacing w:after="200" w:line="276" w:lineRule="auto"/>
      <w:jc w:val="center"/>
    </w:pPr>
    <w:rPr>
      <w:rFonts w:ascii="Calibri" w:hAnsi="Calibri" w:eastAsia="宋体" w:cs="Times New Roman"/>
      <w:sz w:val="18"/>
      <w:szCs w:val="18"/>
      <w:lang w:eastAsia="en-US"/>
    </w:rPr>
  </w:style>
  <w:style w:type="character" w:customStyle="1" w:styleId="320">
    <w:name w:val="页眉 字符"/>
    <w:basedOn w:val="204"/>
    <w:link w:val="319"/>
    <w:qFormat/>
    <w:uiPriority w:val="99"/>
    <w:rPr>
      <w:rFonts w:ascii="Calibri" w:hAnsi="Calibri" w:eastAsia="宋体" w:cs="Times New Roman"/>
      <w:sz w:val="18"/>
      <w:szCs w:val="18"/>
      <w:lang w:eastAsia="en-US"/>
    </w:rPr>
  </w:style>
  <w:style w:type="paragraph" w:customStyle="1" w:styleId="321">
    <w:name w:val="页脚1"/>
    <w:basedOn w:val="1"/>
    <w:next w:val="236"/>
    <w:link w:val="322"/>
    <w:unhideWhenUsed/>
    <w:qFormat/>
    <w:uiPriority w:val="99"/>
    <w:pPr>
      <w:widowControl/>
      <w:tabs>
        <w:tab w:val="center" w:pos="4153"/>
        <w:tab w:val="right" w:pos="8306"/>
      </w:tabs>
      <w:spacing w:after="200" w:line="276" w:lineRule="auto"/>
      <w:jc w:val="left"/>
    </w:pPr>
    <w:rPr>
      <w:rFonts w:ascii="Calibri" w:hAnsi="Calibri" w:eastAsia="宋体" w:cs="Times New Roman"/>
      <w:sz w:val="18"/>
      <w:szCs w:val="18"/>
      <w:lang w:eastAsia="en-US"/>
    </w:rPr>
  </w:style>
  <w:style w:type="character" w:customStyle="1" w:styleId="322">
    <w:name w:val="页脚 字符"/>
    <w:basedOn w:val="204"/>
    <w:link w:val="321"/>
    <w:qFormat/>
    <w:uiPriority w:val="99"/>
    <w:rPr>
      <w:rFonts w:ascii="Calibri" w:hAnsi="Calibri" w:eastAsia="宋体" w:cs="Times New Roman"/>
      <w:sz w:val="18"/>
      <w:szCs w:val="18"/>
      <w:lang w:eastAsia="en-US"/>
    </w:rPr>
  </w:style>
  <w:style w:type="paragraph" w:customStyle="1" w:styleId="323">
    <w:name w:val="列表段落1"/>
    <w:basedOn w:val="1"/>
    <w:next w:val="288"/>
    <w:qFormat/>
    <w:uiPriority w:val="34"/>
    <w:pPr>
      <w:widowControl/>
      <w:spacing w:after="200" w:line="276" w:lineRule="auto"/>
      <w:ind w:firstLine="420"/>
      <w:jc w:val="left"/>
    </w:pPr>
    <w:rPr>
      <w:rFonts w:ascii="Calibri" w:hAnsi="Calibri" w:eastAsia="宋体" w:cs="Times New Roman"/>
      <w:sz w:val="22"/>
      <w:szCs w:val="22"/>
      <w:lang w:eastAsia="en-US"/>
    </w:rPr>
  </w:style>
  <w:style w:type="character" w:customStyle="1" w:styleId="324">
    <w:name w:val="正文文本 字符1"/>
    <w:basedOn w:val="204"/>
    <w:link w:val="1"/>
    <w:semiHidden/>
    <w:qFormat/>
    <w:uiPriority w:val="99"/>
  </w:style>
  <w:style w:type="paragraph" w:customStyle="1" w:styleId="325">
    <w:name w:val="Normal_0"/>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3271</Words>
  <Characters>3296</Characters>
  <TotalTime>24</TotalTime>
  <ScaleCrop>false</ScaleCrop>
  <LinksUpToDate>false</LinksUpToDate>
  <CharactersWithSpaces>3340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2023-08-21T03:13:00Z</dcterms:created>
  <dc:creator>烟头</dc:creator>
  <cp:lastModifiedBy>Administrator</cp:lastModifiedBy>
  <cp:lastPrinted>2024-12-02T02:12:00Z</cp:lastPrinted>
  <dcterms:modified xsi:type="dcterms:W3CDTF">2025-07-24T03:17:42Z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26D8F6482CAE44E9939B46A72B1645BE_12</vt:lpwstr>
  </property>
</Properties>
</file>