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ABDB">
      <w:pPr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z w:val="28"/>
          <w:szCs w:val="28"/>
        </w:rPr>
        <w:t>更正（澄清）的内容（一）</w:t>
      </w:r>
    </w:p>
    <w:bookmarkEnd w:id="0"/>
    <w:p w14:paraId="420AC8F7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（一）原招标文件中</w:t>
      </w:r>
    </w:p>
    <w:p w14:paraId="32EF2887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9865" cy="568960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F84B">
      <w:pP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br w:type="page"/>
      </w:r>
    </w:p>
    <w:p w14:paraId="048058B2">
      <w:pP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更正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为</w:t>
      </w:r>
    </w:p>
    <w:p w14:paraId="29839CDB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865" cy="6365875"/>
            <wp:effectExtent l="0" t="0" r="698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6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E57D9">
      <w:pPr>
        <w:jc w:val="both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48CF"/>
    <w:rsid w:val="0B5B7931"/>
    <w:rsid w:val="627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2025-07-24T02:08:00Z</dcterms:created>
  <dc:creator>落雪飞花</dc:creator>
  <cp:lastModifiedBy>落雪飞花</cp:lastModifiedBy>
  <dcterms:modified xsi:type="dcterms:W3CDTF">2025-07-24T02:13:30Z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1A10895B38EC475BA8BC2DCDA385BBA6_11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