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DD7D">
      <w:pPr>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如有建议或意见，请以书面形式并加盖公章、注明联系人、联系方式，于2025年</w:t>
      </w:r>
      <w:r>
        <w:rPr>
          <w:rFonts w:hint="eastAsia" w:ascii="宋体" w:hAnsi="宋体" w:cs="宋体"/>
          <w:kern w:val="2"/>
          <w:sz w:val="28"/>
          <w:szCs w:val="28"/>
          <w:lang w:val="en-US" w:eastAsia="zh-CN"/>
        </w:rPr>
        <w:t>7</w:t>
      </w:r>
      <w:r>
        <w:rPr>
          <w:rFonts w:hint="eastAsia" w:ascii="宋体" w:hAnsi="宋体" w:eastAsia="宋体" w:cs="宋体"/>
          <w:kern w:val="2"/>
          <w:sz w:val="28"/>
          <w:szCs w:val="28"/>
        </w:rPr>
        <w:t>月</w:t>
      </w:r>
      <w:r>
        <w:rPr>
          <w:rFonts w:hint="eastAsia" w:ascii="宋体" w:hAnsi="宋体" w:cs="宋体"/>
          <w:kern w:val="2"/>
          <w:sz w:val="28"/>
          <w:szCs w:val="28"/>
          <w:lang w:val="en-US" w:eastAsia="zh-CN"/>
        </w:rPr>
        <w:t>16</w:t>
      </w:r>
      <w:r>
        <w:rPr>
          <w:rFonts w:hint="eastAsia" w:ascii="宋体" w:hAnsi="宋体" w:eastAsia="宋体" w:cs="宋体"/>
          <w:kern w:val="2"/>
          <w:sz w:val="28"/>
          <w:szCs w:val="28"/>
        </w:rPr>
        <w:t>日17:</w:t>
      </w:r>
      <w:r>
        <w:rPr>
          <w:rFonts w:hint="eastAsia" w:ascii="宋体" w:hAnsi="宋体" w:cs="宋体"/>
          <w:kern w:val="2"/>
          <w:sz w:val="28"/>
          <w:szCs w:val="28"/>
          <w:lang w:val="en-US" w:eastAsia="zh-CN"/>
        </w:rPr>
        <w:t>0</w:t>
      </w:r>
      <w:r>
        <w:rPr>
          <w:rFonts w:hint="eastAsia" w:ascii="宋体" w:hAnsi="宋体" w:eastAsia="宋体" w:cs="宋体"/>
          <w:kern w:val="2"/>
          <w:sz w:val="28"/>
          <w:szCs w:val="28"/>
        </w:rPr>
        <w:t>0之前送至采购人单位，逾期不受理（如邮寄，2025年</w:t>
      </w:r>
      <w:r>
        <w:rPr>
          <w:rFonts w:hint="eastAsia" w:ascii="宋体" w:hAnsi="宋体" w:cs="宋体"/>
          <w:kern w:val="2"/>
          <w:sz w:val="28"/>
          <w:szCs w:val="28"/>
          <w:lang w:val="en-US" w:eastAsia="zh-CN"/>
        </w:rPr>
        <w:t>7</w:t>
      </w:r>
      <w:r>
        <w:rPr>
          <w:rFonts w:hint="eastAsia" w:ascii="宋体" w:hAnsi="宋体" w:eastAsia="宋体" w:cs="宋体"/>
          <w:kern w:val="2"/>
          <w:sz w:val="28"/>
          <w:szCs w:val="28"/>
        </w:rPr>
        <w:t>月</w:t>
      </w:r>
      <w:r>
        <w:rPr>
          <w:rFonts w:hint="eastAsia" w:ascii="宋体" w:hAnsi="宋体" w:cs="宋体"/>
          <w:kern w:val="2"/>
          <w:sz w:val="28"/>
          <w:szCs w:val="28"/>
          <w:lang w:val="en-US" w:eastAsia="zh-CN"/>
        </w:rPr>
        <w:t>16</w:t>
      </w:r>
      <w:r>
        <w:rPr>
          <w:rFonts w:hint="eastAsia" w:ascii="宋体" w:hAnsi="宋体" w:eastAsia="宋体" w:cs="宋体"/>
          <w:kern w:val="2"/>
          <w:sz w:val="28"/>
          <w:szCs w:val="28"/>
        </w:rPr>
        <w:t>日17:</w:t>
      </w:r>
      <w:r>
        <w:rPr>
          <w:rFonts w:hint="eastAsia" w:ascii="宋体" w:hAnsi="宋体" w:cs="宋体"/>
          <w:kern w:val="2"/>
          <w:sz w:val="28"/>
          <w:szCs w:val="28"/>
          <w:lang w:val="en-US" w:eastAsia="zh-CN"/>
        </w:rPr>
        <w:t>0</w:t>
      </w:r>
      <w:r>
        <w:rPr>
          <w:rFonts w:hint="eastAsia" w:ascii="宋体" w:hAnsi="宋体" w:eastAsia="宋体" w:cs="宋体"/>
          <w:kern w:val="2"/>
          <w:sz w:val="28"/>
          <w:szCs w:val="28"/>
        </w:rPr>
        <w:t>0之后到达采购人单位的邮件将不再受理）。</w:t>
      </w:r>
    </w:p>
    <w:p w14:paraId="52FA50BA">
      <w:pPr>
        <w:keepNext w:val="0"/>
        <w:keepLines w:val="0"/>
        <w:pageBreakBefore/>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r>
        <w:rPr>
          <w:rFonts w:hint="eastAsia" w:ascii="仿宋" w:hAnsi="仿宋" w:eastAsia="仿宋"/>
          <w:sz w:val="30"/>
          <w:szCs w:val="30"/>
        </w:rPr>
        <w:t>采购需求</w:t>
      </w:r>
    </w:p>
    <w:p w14:paraId="47108FCB">
      <w:pPr>
        <w:keepNext w:val="0"/>
        <w:keepLines w:val="0"/>
        <w:tabs>
          <w:tab w:val="left" w:pos="0"/>
        </w:tabs>
        <w:kinsoku/>
        <w:wordWrap/>
        <w:overflowPunct/>
        <w:topLinePunct w:val="0"/>
        <w:autoSpaceDE/>
        <w:autoSpaceDN/>
        <w:bidi w:val="0"/>
        <w:adjustRightInd/>
        <w:snapToGrid/>
        <w:spacing w:line="360" w:lineRule="auto"/>
        <w:ind w:firstLine="487"/>
        <w:textAlignment w:val="auto"/>
        <w:rPr>
          <w:rFonts w:ascii="仿宋" w:hAnsi="仿宋" w:eastAsia="仿宋"/>
          <w:b/>
          <w:bCs/>
          <w:sz w:val="24"/>
        </w:rPr>
      </w:pPr>
      <w:r>
        <w:rPr>
          <w:rFonts w:hint="eastAsia" w:ascii="仿宋" w:hAnsi="仿宋" w:eastAsia="仿宋"/>
          <w:b/>
          <w:bCs/>
          <w:sz w:val="24"/>
        </w:rPr>
        <w:t>一、说明</w:t>
      </w:r>
    </w:p>
    <w:p w14:paraId="5641F9D4">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default" w:ascii="仿宋" w:hAnsi="仿宋" w:eastAsia="仿宋"/>
          <w:color w:val="000000"/>
          <w:sz w:val="24"/>
          <w:lang w:val="en-US" w:eastAsia="zh-CN"/>
        </w:rPr>
      </w:pPr>
      <w:r>
        <w:rPr>
          <w:rFonts w:hint="eastAsia" w:ascii="仿宋" w:hAnsi="仿宋" w:eastAsia="仿宋"/>
          <w:sz w:val="24"/>
        </w:rPr>
        <w:t>（一）采购人：</w:t>
      </w:r>
      <w:r>
        <w:rPr>
          <w:rFonts w:hint="eastAsia" w:ascii="仿宋" w:hAnsi="仿宋" w:eastAsia="仿宋"/>
          <w:color w:val="000000"/>
          <w:sz w:val="24"/>
          <w:lang w:val="en-US" w:eastAsia="zh-CN"/>
        </w:rPr>
        <w:t>邳州</w:t>
      </w:r>
      <w:r>
        <w:rPr>
          <w:rFonts w:hint="eastAsia" w:ascii="仿宋" w:hAnsi="仿宋" w:eastAsia="仿宋"/>
          <w:color w:val="000000"/>
          <w:sz w:val="24"/>
          <w:lang w:eastAsia="zh-CN"/>
        </w:rPr>
        <w:t>市机关事务服务中心、邳州市（含镇、街道）党政机关、事业单位和团体组织，驻地在邳州市的中央、省直属单位及派驻机构</w:t>
      </w:r>
      <w:r>
        <w:rPr>
          <w:rFonts w:hint="eastAsia" w:ascii="仿宋" w:hAnsi="仿宋" w:eastAsia="仿宋"/>
          <w:color w:val="000000"/>
          <w:sz w:val="24"/>
          <w:lang w:val="en-US" w:eastAsia="zh-CN"/>
        </w:rPr>
        <w:t>可参照执行。</w:t>
      </w:r>
    </w:p>
    <w:p w14:paraId="5D69DC8D">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cs="Times New Roman"/>
          <w:sz w:val="24"/>
          <w:lang w:val="en-US" w:eastAsia="zh-CN"/>
        </w:rPr>
      </w:pPr>
      <w:r>
        <w:rPr>
          <w:rFonts w:hint="eastAsia" w:ascii="仿宋" w:hAnsi="仿宋" w:eastAsia="仿宋" w:cs="Times New Roman"/>
          <w:sz w:val="24"/>
        </w:rPr>
        <w:t>（二）采购项目名称：</w:t>
      </w:r>
      <w:r>
        <w:rPr>
          <w:rFonts w:hint="eastAsia" w:ascii="仿宋" w:hAnsi="仿宋" w:eastAsia="仿宋" w:cs="Times New Roman"/>
          <w:sz w:val="24"/>
          <w:lang w:val="en-US" w:eastAsia="zh-CN"/>
        </w:rPr>
        <w:t>2025-2027年度邳州市公务用车定点维修和保养服务</w:t>
      </w:r>
    </w:p>
    <w:p w14:paraId="60C0288F">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（三）采购标的：公务用车定点维修和保养服务</w:t>
      </w:r>
    </w:p>
    <w:p w14:paraId="2AEDA47C">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cs="Times New Roman"/>
          <w:sz w:val="24"/>
        </w:rPr>
      </w:pPr>
      <w:r>
        <w:rPr>
          <w:rFonts w:hint="eastAsia" w:ascii="仿宋" w:hAnsi="仿宋" w:eastAsia="仿宋" w:cs="Times New Roman"/>
          <w:sz w:val="24"/>
        </w:rPr>
        <w:t>车辆维修和保养服务对应的中小企业划分标准所属行业为其他未列明行业。</w:t>
      </w:r>
    </w:p>
    <w:p w14:paraId="2A2689B0">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cs="Times New Roman"/>
          <w:sz w:val="24"/>
        </w:rPr>
      </w:pPr>
      <w:r>
        <w:rPr>
          <w:rFonts w:hint="eastAsia" w:ascii="仿宋" w:hAnsi="仿宋" w:eastAsia="仿宋" w:cs="Times New Roman"/>
          <w:sz w:val="24"/>
        </w:rPr>
        <w:t>注：中小企业划分标准所属行业以《关于印发中小企业划型标准规定的通知》（工信部联企业[2011]300号）的规定为准。</w:t>
      </w:r>
    </w:p>
    <w:p w14:paraId="0B574731">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cs="Times New Roman"/>
          <w:sz w:val="24"/>
        </w:rPr>
      </w:pPr>
      <w:r>
        <w:rPr>
          <w:rFonts w:hint="eastAsia" w:ascii="仿宋" w:hAnsi="仿宋" w:eastAsia="仿宋" w:cs="Times New Roman"/>
          <w:sz w:val="24"/>
        </w:rPr>
        <w:t>（四）本项目为专门面向中小企业的项目。</w:t>
      </w:r>
    </w:p>
    <w:p w14:paraId="2CC8471F">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cs="Times New Roman"/>
          <w:sz w:val="24"/>
        </w:rPr>
      </w:pPr>
      <w:r>
        <w:rPr>
          <w:rFonts w:hint="eastAsia" w:ascii="仿宋" w:hAnsi="仿宋" w:eastAsia="仿宋" w:cs="Times New Roman"/>
          <w:sz w:val="24"/>
        </w:rPr>
        <w:t>（五）最高限制单价：本项目不接受超过最高限价的响应报价。</w:t>
      </w:r>
    </w:p>
    <w:p w14:paraId="2F0DFCFC">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ascii="仿宋" w:hAnsi="仿宋" w:eastAsia="仿宋"/>
          <w:sz w:val="24"/>
        </w:rPr>
      </w:pPr>
      <w:r>
        <w:rPr>
          <w:rFonts w:hint="eastAsia" w:ascii="仿宋" w:hAnsi="仿宋" w:eastAsia="仿宋"/>
          <w:sz w:val="24"/>
        </w:rPr>
        <w:t>（六）本项目为框架协议采购服务项目,本项目通过公开征集程序，由</w:t>
      </w:r>
      <w:r>
        <w:rPr>
          <w:rFonts w:hint="eastAsia" w:ascii="仿宋" w:hAnsi="仿宋" w:eastAsia="仿宋"/>
          <w:sz w:val="24"/>
          <w:lang w:eastAsia="zh-CN"/>
        </w:rPr>
        <w:t>邳州市公共资源交易中心</w:t>
      </w:r>
      <w:r>
        <w:rPr>
          <w:rFonts w:hint="eastAsia" w:ascii="仿宋" w:hAnsi="仿宋" w:eastAsia="仿宋"/>
          <w:sz w:val="24"/>
        </w:rPr>
        <w:t>作为征集人，对</w:t>
      </w:r>
      <w:r>
        <w:rPr>
          <w:rFonts w:hint="eastAsia" w:ascii="仿宋" w:hAnsi="仿宋" w:eastAsia="仿宋"/>
          <w:sz w:val="24"/>
          <w:lang w:val="en-US" w:eastAsia="zh-CN"/>
        </w:rPr>
        <w:t>2025-2027年度邳州市公务用车定点维修和保养服务</w:t>
      </w:r>
      <w:r>
        <w:rPr>
          <w:rFonts w:hint="eastAsia" w:ascii="仿宋" w:hAnsi="仿宋" w:eastAsia="仿宋"/>
          <w:sz w:val="24"/>
        </w:rPr>
        <w:t>进行封闭式框架协议采购。</w:t>
      </w:r>
    </w:p>
    <w:p w14:paraId="5DE4CDF3">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ascii="仿宋" w:hAnsi="仿宋" w:eastAsia="仿宋"/>
          <w:sz w:val="24"/>
        </w:rPr>
      </w:pPr>
      <w:r>
        <w:rPr>
          <w:rFonts w:hint="eastAsia" w:ascii="仿宋" w:hAnsi="仿宋" w:eastAsia="仿宋"/>
          <w:sz w:val="24"/>
        </w:rPr>
        <w:t>（七）采购项目内容：</w:t>
      </w:r>
    </w:p>
    <w:p w14:paraId="0D1D58D7">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hint="eastAsia" w:ascii="仿宋" w:hAnsi="仿宋" w:eastAsia="仿宋"/>
          <w:sz w:val="24"/>
          <w:lang w:val="en-US" w:eastAsia="zh-CN"/>
        </w:rPr>
      </w:pPr>
      <w:r>
        <w:rPr>
          <w:rFonts w:hint="eastAsia" w:ascii="仿宋" w:hAnsi="仿宋" w:eastAsia="仿宋"/>
          <w:sz w:val="24"/>
          <w:lang w:val="en-US" w:eastAsia="zh-CN"/>
        </w:rPr>
        <w:t>2025-2027年度邳州市公务用车定点维修和保养服务（包含</w:t>
      </w:r>
      <w:r>
        <w:rPr>
          <w:rFonts w:hint="eastAsia" w:ascii="仿宋" w:hAnsi="仿宋" w:eastAsia="仿宋"/>
          <w:sz w:val="24"/>
        </w:rPr>
        <w:t>一类汽车维修</w:t>
      </w:r>
      <w:r>
        <w:rPr>
          <w:rFonts w:hint="eastAsia" w:ascii="仿宋" w:hAnsi="仿宋" w:eastAsia="仿宋"/>
          <w:sz w:val="24"/>
          <w:lang w:eastAsia="zh-CN"/>
        </w:rPr>
        <w:t>、</w:t>
      </w:r>
      <w:r>
        <w:rPr>
          <w:rFonts w:hint="eastAsia" w:ascii="仿宋" w:hAnsi="仿宋" w:eastAsia="仿宋"/>
          <w:sz w:val="24"/>
        </w:rPr>
        <w:t>二类汽车维修）</w:t>
      </w:r>
    </w:p>
    <w:p w14:paraId="1BA51718">
      <w:pPr>
        <w:keepNext w:val="0"/>
        <w:keepLines w:val="0"/>
        <w:tabs>
          <w:tab w:val="left" w:pos="0"/>
        </w:tabs>
        <w:kinsoku/>
        <w:wordWrap/>
        <w:overflowPunct/>
        <w:topLinePunct w:val="0"/>
        <w:autoSpaceDE/>
        <w:autoSpaceDN/>
        <w:bidi w:val="0"/>
        <w:adjustRightInd/>
        <w:snapToGrid/>
        <w:spacing w:line="360" w:lineRule="auto"/>
        <w:ind w:firstLine="487"/>
        <w:textAlignment w:val="auto"/>
        <w:rPr>
          <w:rFonts w:ascii="仿宋" w:hAnsi="仿宋" w:eastAsia="仿宋"/>
          <w:b/>
          <w:bCs/>
          <w:sz w:val="24"/>
        </w:rPr>
      </w:pPr>
      <w:r>
        <w:rPr>
          <w:rFonts w:hint="eastAsia" w:ascii="仿宋" w:hAnsi="仿宋" w:eastAsia="仿宋"/>
          <w:b/>
          <w:bCs/>
          <w:sz w:val="24"/>
        </w:rPr>
        <w:t>二、技术要求</w:t>
      </w:r>
    </w:p>
    <w:p w14:paraId="76447981">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ascii="仿宋" w:hAnsi="仿宋" w:eastAsia="仿宋"/>
          <w:sz w:val="24"/>
        </w:rPr>
      </w:pPr>
      <w:r>
        <w:rPr>
          <w:rFonts w:hint="eastAsia" w:ascii="仿宋" w:hAnsi="仿宋" w:eastAsia="仿宋"/>
          <w:sz w:val="24"/>
        </w:rPr>
        <w:t>（一）维修服务范围</w:t>
      </w:r>
    </w:p>
    <w:p w14:paraId="778E0331">
      <w:pPr>
        <w:keepNext w:val="0"/>
        <w:keepLines w:val="0"/>
        <w:tabs>
          <w:tab w:val="left" w:pos="0"/>
        </w:tabs>
        <w:kinsoku/>
        <w:wordWrap/>
        <w:overflowPunct/>
        <w:topLinePunct w:val="0"/>
        <w:autoSpaceDE/>
        <w:autoSpaceDN/>
        <w:bidi w:val="0"/>
        <w:adjustRightInd/>
        <w:snapToGrid/>
        <w:spacing w:line="360" w:lineRule="auto"/>
        <w:ind w:firstLine="484"/>
        <w:textAlignment w:val="auto"/>
        <w:rPr>
          <w:rFonts w:ascii="仿宋" w:hAnsi="仿宋" w:eastAsia="仿宋" w:cs="仿宋"/>
          <w:sz w:val="24"/>
        </w:rPr>
      </w:pPr>
      <w:r>
        <w:rPr>
          <w:rFonts w:hint="eastAsia" w:ascii="仿宋" w:hAnsi="仿宋" w:eastAsia="仿宋" w:cs="仿宋"/>
          <w:sz w:val="24"/>
        </w:rPr>
        <w:t>采购人（以下称“托修方”）是</w:t>
      </w:r>
      <w:r>
        <w:rPr>
          <w:rFonts w:hint="eastAsia" w:ascii="仿宋" w:hAnsi="仿宋" w:eastAsia="仿宋"/>
          <w:color w:val="000000"/>
          <w:sz w:val="24"/>
          <w:lang w:val="en-US" w:eastAsia="zh-CN"/>
        </w:rPr>
        <w:t>邳州</w:t>
      </w:r>
      <w:r>
        <w:rPr>
          <w:rFonts w:hint="eastAsia" w:ascii="仿宋" w:hAnsi="仿宋" w:eastAsia="仿宋"/>
          <w:color w:val="000000"/>
          <w:sz w:val="24"/>
          <w:lang w:eastAsia="zh-CN"/>
        </w:rPr>
        <w:t>市机关事务服务中心、邳州市（含镇、街道）党政机关、事业单位和团体组织，</w:t>
      </w:r>
      <w:r>
        <w:rPr>
          <w:rFonts w:hint="eastAsia" w:ascii="仿宋" w:hAnsi="仿宋" w:eastAsia="仿宋" w:cs="仿宋"/>
          <w:sz w:val="24"/>
        </w:rPr>
        <w:t>，使用财政性资金进行的公务用车（乘用车或小型车，不含摩托车）维修小额零星采购项目。</w:t>
      </w:r>
      <w:r>
        <w:rPr>
          <w:rFonts w:hint="eastAsia" w:ascii="仿宋" w:hAnsi="仿宋" w:eastAsia="仿宋"/>
          <w:color w:val="000000"/>
          <w:sz w:val="24"/>
          <w:lang w:eastAsia="zh-CN"/>
        </w:rPr>
        <w:t>驻地在邳州市的中央、省直属单位及派驻机构</w:t>
      </w:r>
      <w:r>
        <w:rPr>
          <w:rFonts w:hint="eastAsia" w:ascii="仿宋" w:hAnsi="仿宋" w:eastAsia="仿宋"/>
          <w:color w:val="000000"/>
          <w:sz w:val="24"/>
          <w:lang w:val="en-US" w:eastAsia="zh-CN"/>
        </w:rPr>
        <w:t>可参照执行。</w:t>
      </w:r>
    </w:p>
    <w:p w14:paraId="553A73E9">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（二）维修服务项目</w:t>
      </w:r>
    </w:p>
    <w:p w14:paraId="3E4F1D9C">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《江苏省机动车维修结算工时定额与收费指南》（2014版）中规定的相关项目。</w:t>
      </w:r>
    </w:p>
    <w:p w14:paraId="6FCB8582">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（三）维修服务流程</w:t>
      </w:r>
    </w:p>
    <w:p w14:paraId="61D6B191">
      <w:pPr>
        <w:pStyle w:val="10"/>
        <w:keepNext w:val="0"/>
        <w:keepLines w:val="0"/>
        <w:kinsoku/>
        <w:wordWrap/>
        <w:overflowPunct/>
        <w:topLinePunct w:val="0"/>
        <w:autoSpaceDE/>
        <w:autoSpaceDN/>
        <w:bidi w:val="0"/>
        <w:adjustRightInd/>
        <w:snapToGrid/>
        <w:spacing w:before="100" w:line="360" w:lineRule="auto"/>
        <w:ind w:firstLine="480"/>
        <w:jc w:val="left"/>
        <w:textAlignment w:val="auto"/>
        <w:rPr>
          <w:rFonts w:ascii="仿宋" w:hAnsi="仿宋" w:eastAsia="仿宋" w:cs="仿宋"/>
          <w:sz w:val="24"/>
          <w:szCs w:val="24"/>
        </w:rPr>
      </w:pPr>
      <w:r>
        <w:rPr>
          <w:rFonts w:hint="eastAsia" w:ascii="仿宋" w:hAnsi="仿宋" w:eastAsia="仿宋" w:cs="仿宋"/>
          <w:sz w:val="24"/>
          <w:szCs w:val="24"/>
        </w:rPr>
        <w:t>1.按照江苏省质量技术监督局发布的《机动车维修服务质量规范》（DB32/T1227—2008）中相关规定执行。</w:t>
      </w:r>
    </w:p>
    <w:p w14:paraId="13B93A6E">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2.验收标准（验收要求、验收标准和程序）要求：</w:t>
      </w:r>
    </w:p>
    <w:p w14:paraId="3377FF72">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（1）验收程序：已完工车辆，承修方在1个工作日内通知托修方，托修方在接到通知后7个工作日内进行验收。</w:t>
      </w:r>
    </w:p>
    <w:p w14:paraId="535E38B4">
      <w:pPr>
        <w:keepNext w:val="0"/>
        <w:keepLines w:val="0"/>
        <w:kinsoku/>
        <w:wordWrap/>
        <w:overflowPunct/>
        <w:topLinePunct w:val="0"/>
        <w:autoSpaceDE/>
        <w:autoSpaceDN/>
        <w:bidi w:val="0"/>
        <w:adjustRightInd/>
        <w:snapToGrid/>
        <w:spacing w:line="360" w:lineRule="auto"/>
        <w:ind w:right="6" w:firstLine="480"/>
        <w:textAlignment w:val="auto"/>
        <w:rPr>
          <w:rFonts w:ascii="仿宋" w:hAnsi="仿宋" w:eastAsia="仿宋" w:cs="仿宋"/>
          <w:sz w:val="24"/>
        </w:rPr>
      </w:pPr>
      <w:r>
        <w:rPr>
          <w:rFonts w:hint="eastAsia" w:ascii="仿宋" w:hAnsi="仿宋" w:eastAsia="仿宋" w:cs="仿宋"/>
          <w:sz w:val="24"/>
        </w:rPr>
        <w:t>（2）验收标准：以响应文件和供应商的澄清、说明或者更正为验收标准；供应商的响应文件和供应商的澄清、说明或者更正不明确的，以《征集文件》相关要求为验收标准；供应商的响应文件和供应商的澄清、说明或者更正和《征集文件》相关要求都不明确的，按国家相关标准。</w:t>
      </w:r>
    </w:p>
    <w:p w14:paraId="2884163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（四）维修服务质量标准（质量保证）</w:t>
      </w:r>
    </w:p>
    <w:p w14:paraId="7E08E420">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按照中华人民共和国交通运输部2023年第14号《机动车维修管理规定》有关规定执行。</w:t>
      </w:r>
    </w:p>
    <w:p w14:paraId="7009C1E6">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（五）服务基本要求</w:t>
      </w:r>
    </w:p>
    <w:p w14:paraId="3B45616E">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1.全年每天24小时维修服务，设立应急电话，实行24小时专人值班制度。</w:t>
      </w:r>
    </w:p>
    <w:p w14:paraId="7D78719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2.为托修方提供二十四小时服务，在接到托修方求援电话的最短时间内（</w:t>
      </w:r>
      <w:r>
        <w:rPr>
          <w:rFonts w:hint="eastAsia" w:ascii="仿宋" w:hAnsi="仿宋" w:eastAsia="仿宋" w:cs="仿宋"/>
          <w:sz w:val="24"/>
          <w:lang w:val="en-US" w:eastAsia="zh-CN"/>
        </w:rPr>
        <w:t>邳州</w:t>
      </w:r>
      <w:r>
        <w:rPr>
          <w:rFonts w:hint="eastAsia" w:ascii="仿宋" w:hAnsi="仿宋" w:eastAsia="仿宋" w:cs="仿宋"/>
          <w:sz w:val="24"/>
        </w:rPr>
        <w:t>市行政区域内，最长不超过</w:t>
      </w:r>
      <w:r>
        <w:rPr>
          <w:rFonts w:hint="eastAsia" w:ascii="仿宋" w:hAnsi="仿宋" w:eastAsia="仿宋" w:cs="仿宋"/>
          <w:sz w:val="24"/>
          <w:lang w:val="en-US" w:eastAsia="zh-CN"/>
        </w:rPr>
        <w:t>1.5</w:t>
      </w:r>
      <w:r>
        <w:rPr>
          <w:rFonts w:hint="eastAsia" w:ascii="仿宋" w:hAnsi="仿宋" w:eastAsia="仿宋" w:cs="仿宋"/>
          <w:sz w:val="24"/>
        </w:rPr>
        <w:t>小时）到托修方车辆抛锚地点，予以现场维修或拖至站内维修（车辆施救、停车费免收）。</w:t>
      </w:r>
    </w:p>
    <w:p w14:paraId="27801768">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3.对托修方所送车辆随到随修，急用急修，小修不过夜，大修不超过预定期限，保证托修方及时用车。</w:t>
      </w:r>
    </w:p>
    <w:p w14:paraId="3F0B124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.免费提供技术咨询服务，定期到托修方走访征求意见和建议，不断改进服务质量，以热情、高效、方便、全面的服务满足用户需要。</w:t>
      </w:r>
    </w:p>
    <w:p w14:paraId="29F3B37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.维修的车辆免费洗车。</w:t>
      </w:r>
    </w:p>
    <w:p w14:paraId="64E6B6EA">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.四轮定位、四轮换位、更换三滤、机油、防冻液免收工时费用。</w:t>
      </w:r>
    </w:p>
    <w:p w14:paraId="17E91F3B">
      <w:pPr>
        <w:keepNext w:val="0"/>
        <w:keepLines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4"/>
          <w:highlight w:val="none"/>
        </w:rPr>
      </w:pP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Times New Roman"/>
          <w:color w:val="auto"/>
          <w:sz w:val="24"/>
          <w:szCs w:val="24"/>
          <w:highlight w:val="none"/>
          <w:lang w:val="en-US" w:eastAsia="zh-CN" w:bidi="ar-SA"/>
        </w:rPr>
        <w:t>入围供应商需在公务用车专用维修工位上方安装监控，要求能全面、清晰记录维修全过程，并保留不少于2个月的视频资料。</w:t>
      </w:r>
    </w:p>
    <w:p w14:paraId="550F9CC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其他服务要求：见《拟签订的框架协议文本》。</w:t>
      </w:r>
    </w:p>
    <w:p w14:paraId="362334B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 xml:space="preserve"> （六）维修车型要求</w:t>
      </w:r>
    </w:p>
    <w:p w14:paraId="6D5FD8DA">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供应商自行选报燃油车或新能源车维修，也可同时选报燃油车和新能源车维修。</w:t>
      </w:r>
    </w:p>
    <w:p w14:paraId="6783E25E">
      <w:pPr>
        <w:keepNext w:val="0"/>
        <w:keepLines w:val="0"/>
        <w:kinsoku/>
        <w:wordWrap/>
        <w:overflowPunct/>
        <w:topLinePunct w:val="0"/>
        <w:autoSpaceDE/>
        <w:autoSpaceDN/>
        <w:bidi w:val="0"/>
        <w:adjustRightInd/>
        <w:snapToGrid/>
        <w:spacing w:line="360" w:lineRule="auto"/>
        <w:ind w:firstLine="542"/>
        <w:textAlignment w:val="auto"/>
        <w:rPr>
          <w:rFonts w:ascii="仿宋" w:hAnsi="仿宋" w:eastAsia="仿宋" w:cs="仿宋"/>
          <w:b/>
          <w:bCs/>
          <w:sz w:val="24"/>
        </w:rPr>
      </w:pPr>
      <w:r>
        <w:rPr>
          <w:rFonts w:hint="eastAsia" w:ascii="仿宋" w:hAnsi="仿宋" w:eastAsia="仿宋" w:cs="仿宋"/>
          <w:b/>
          <w:bCs/>
          <w:sz w:val="24"/>
        </w:rPr>
        <w:t>三、商务要求</w:t>
      </w:r>
    </w:p>
    <w:p w14:paraId="3D389421">
      <w:pPr>
        <w:keepNext w:val="0"/>
        <w:keepLines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ascii="仿宋" w:hAnsi="仿宋" w:eastAsia="仿宋" w:cs="仿宋"/>
          <w:sz w:val="24"/>
        </w:rPr>
      </w:pPr>
      <w:r>
        <w:rPr>
          <w:rFonts w:hint="eastAsia" w:ascii="仿宋" w:hAnsi="仿宋" w:eastAsia="仿宋" w:cs="仿宋"/>
          <w:sz w:val="24"/>
        </w:rPr>
        <w:t>（一）框架协议期限：两年。从本框架协议签订之日起至年月日止。若省厅另有统一征集的，按省厅征集要求及结果执行</w:t>
      </w:r>
      <w:r>
        <w:rPr>
          <w:rFonts w:hint="eastAsia" w:ascii="仿宋" w:hAnsi="仿宋" w:eastAsia="仿宋" w:cs="仿宋"/>
          <w:sz w:val="24"/>
          <w:lang w:eastAsia="zh-CN"/>
        </w:rPr>
        <w:t>。</w:t>
      </w:r>
    </w:p>
    <w:p w14:paraId="5C0A503A">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（二）维修费用</w:t>
      </w:r>
    </w:p>
    <w:p w14:paraId="3917747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1.承修方按“公务用车维修费用执行价格一览表”中响应的成交价格为框架协议期限内的最高限价。允许承修方根据实际情况自行降低价格。</w:t>
      </w:r>
    </w:p>
    <w:p w14:paraId="1D6B7E22">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2.项目最高限制单价：</w:t>
      </w:r>
    </w:p>
    <w:p w14:paraId="6E6C08A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①工时定额：按照省交通主管部门制定的《江苏省机动车维修结算工时定额与收费指南》（2014版）下浮10%执行。</w:t>
      </w:r>
    </w:p>
    <w:p w14:paraId="59931A0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②工时单价：本次项目采购的工时单价不接受超过8元的报价，且报价不得低于项目运行成本</w:t>
      </w:r>
      <w:r>
        <w:rPr>
          <w:rFonts w:hint="eastAsia" w:ascii="仿宋" w:hAnsi="仿宋" w:eastAsia="仿宋" w:cs="仿宋"/>
          <w:sz w:val="24"/>
          <w:lang w:eastAsia="zh-CN"/>
        </w:rPr>
        <w:t>（</w:t>
      </w:r>
      <w:r>
        <w:rPr>
          <w:rFonts w:hint="eastAsia" w:ascii="仿宋" w:hAnsi="仿宋" w:eastAsia="仿宋" w:cs="仿宋"/>
          <w:sz w:val="24"/>
          <w:lang w:val="en-US" w:eastAsia="zh-CN"/>
        </w:rPr>
        <w:t>报价高于0</w:t>
      </w:r>
      <w:r>
        <w:rPr>
          <w:rFonts w:hint="eastAsia" w:ascii="仿宋" w:hAnsi="仿宋" w:eastAsia="仿宋" w:cs="仿宋"/>
          <w:sz w:val="24"/>
          <w:lang w:eastAsia="zh-CN"/>
        </w:rPr>
        <w:t>）</w:t>
      </w:r>
      <w:r>
        <w:rPr>
          <w:rFonts w:hint="eastAsia" w:ascii="仿宋" w:hAnsi="仿宋" w:eastAsia="仿宋" w:cs="仿宋"/>
          <w:sz w:val="24"/>
        </w:rPr>
        <w:t>。</w:t>
      </w:r>
    </w:p>
    <w:p w14:paraId="4F5B024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③材料进销差价率：本次项目采购的材料进销差价率不接受高于10%的报价。</w:t>
      </w:r>
    </w:p>
    <w:p w14:paraId="6CB9CAC0">
      <w:pPr>
        <w:keepNext w:val="0"/>
        <w:keepLines w:val="0"/>
        <w:widowControl/>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（三）资金支付（结算）方式、时间和条件</w:t>
      </w:r>
    </w:p>
    <w:p w14:paraId="0CB64A2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1.托修方与承修方结算维修费用。具体结算方式:</w:t>
      </w:r>
    </w:p>
    <w:p w14:paraId="75D6A6E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 xml:space="preserve">（1）列入公务卡方式结算的托修方，须通过公务卡方式与承修方结算。 </w:t>
      </w:r>
    </w:p>
    <w:p w14:paraId="41CCB53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（2）未列入公务卡方式结算的托修方，与承修方自行商定结算方式。</w:t>
      </w:r>
    </w:p>
    <w:p w14:paraId="1CB16201">
      <w:pPr>
        <w:pStyle w:val="9"/>
        <w:keepNext w:val="0"/>
        <w:keepLines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000000"/>
          <w:sz w:val="24"/>
          <w:lang w:val="en-US" w:eastAsia="zh-CN"/>
        </w:rPr>
        <w:t xml:space="preserve"> </w:t>
      </w:r>
      <w:r>
        <w:rPr>
          <w:rFonts w:hint="eastAsia" w:ascii="仿宋" w:hAnsi="仿宋" w:eastAsia="仿宋" w:cs="仿宋"/>
          <w:color w:val="auto"/>
          <w:sz w:val="24"/>
          <w:lang w:val="en-US" w:eastAsia="zh-CN"/>
        </w:rPr>
        <w:t>（3）主管单位另有规定的，从其要求。</w:t>
      </w:r>
    </w:p>
    <w:p w14:paraId="1A9CEED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2.结算时承修方应当向托修方出具维修费用结算清单、维修记录、维修委托单和维修发票。承修方不出具的，托修方有权拒绝支付维修费用。</w:t>
      </w:r>
    </w:p>
    <w:p w14:paraId="318DACE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highlight w:val="yellow"/>
        </w:rPr>
      </w:pPr>
      <w:r>
        <w:rPr>
          <w:rFonts w:hint="eastAsia" w:ascii="仿宋" w:hAnsi="仿宋" w:eastAsia="仿宋"/>
          <w:sz w:val="24"/>
        </w:rPr>
        <w:t>3.结算原则上乙方与托修方协商确定。乙方与托修方应按照《徐州市财政局关于转发省财政厅做好政府采购支持企业发展有关事项的通知》（徐财购（2020）15号）及《关于进一步提高政府采购透明度和采购效率相关事项的通知》（财办库〔2023〕243号）有关要求，协商确定维修费用预付及支付事项。托修方应在满足协商确定的结算条件下，</w:t>
      </w:r>
      <w:r>
        <w:rPr>
          <w:rFonts w:hint="eastAsia" w:ascii="仿宋" w:hAnsi="仿宋" w:eastAsia="仿宋"/>
          <w:color w:val="auto"/>
          <w:sz w:val="24"/>
          <w:highlight w:val="none"/>
        </w:rPr>
        <w:t>自收到发票后1</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个工作日内，将维修费用支付到乙方账户。</w:t>
      </w:r>
    </w:p>
    <w:p w14:paraId="41F53F6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4.承修方须执行江苏省质量技术监督局发布的《机动车维修费用结算规范》（DB 32/T 2665-2014）。</w:t>
      </w:r>
    </w:p>
    <w:p w14:paraId="5A1DBD1A">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（四）送修手续</w:t>
      </w:r>
    </w:p>
    <w:p w14:paraId="6F25FB2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1.托修方根据各自车辆情况凭“政府采购公务用车维修委托单” （具有合同性质的</w:t>
      </w:r>
      <w:bookmarkStart w:id="0" w:name="_GoBack"/>
      <w:bookmarkEnd w:id="0"/>
      <w:r>
        <w:rPr>
          <w:rFonts w:hint="eastAsia" w:ascii="仿宋" w:hAnsi="仿宋" w:eastAsia="仿宋" w:cs="仿宋"/>
          <w:sz w:val="24"/>
        </w:rPr>
        <w:t>凭单、订单）（以下称“维修委托单”，内容和格式由</w:t>
      </w:r>
      <w:r>
        <w:rPr>
          <w:rFonts w:hint="eastAsia" w:ascii="仿宋" w:hAnsi="仿宋" w:eastAsia="仿宋" w:cs="仿宋"/>
          <w:sz w:val="24"/>
          <w:lang w:eastAsia="zh-CN"/>
        </w:rPr>
        <w:t>邳州市公共资源交易中心</w:t>
      </w:r>
      <w:r>
        <w:rPr>
          <w:rFonts w:hint="eastAsia" w:ascii="仿宋" w:hAnsi="仿宋" w:eastAsia="仿宋" w:cs="仿宋"/>
          <w:sz w:val="24"/>
        </w:rPr>
        <w:t>确定）与承修方联系维修事宜。</w:t>
      </w:r>
    </w:p>
    <w:p w14:paraId="208BBFC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2.承修方接收维修车辆时，必须向托修方索取“维修委托单”（承修方留存联和发票附件联）。</w:t>
      </w:r>
    </w:p>
    <w:p w14:paraId="6DAEA216">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3.承修方应对送修车辆进行细致检查，详细填写“维修委托单”。托修方确认后方可进行维修。</w:t>
      </w:r>
    </w:p>
    <w:p w14:paraId="0B2FFE1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4.对维修车辆承修方应以修复为主，能不更换的零部件尽量不予更换，确实不能修复或修复不经济的零部件，在征得托修方同意的情况下，方可进行更换。</w:t>
      </w:r>
    </w:p>
    <w:p w14:paraId="5F0D6C1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5.托修方将确认后的“维修委托单”相关内容，在“苏采云”电子交易系统进行信息录入。</w:t>
      </w:r>
    </w:p>
    <w:p w14:paraId="0BACA4C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6.征集人在本框架协议期满后10个工作日内发布成交结果汇总公告。</w:t>
      </w:r>
    </w:p>
    <w:p w14:paraId="12070FD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
          <w:sz w:val="24"/>
        </w:rPr>
      </w:pPr>
      <w:r>
        <w:rPr>
          <w:rFonts w:hint="eastAsia" w:ascii="仿宋" w:hAnsi="仿宋" w:eastAsia="仿宋" w:cs="仿宋"/>
          <w:sz w:val="24"/>
        </w:rPr>
        <w:t>（五）报价要求</w:t>
      </w:r>
    </w:p>
    <w:p w14:paraId="70C9B49C">
      <w:pPr>
        <w:keepNext w:val="0"/>
        <w:keepLines w:val="0"/>
        <w:kinsoku/>
        <w:wordWrap/>
        <w:overflowPunct/>
        <w:topLinePunct w:val="0"/>
        <w:autoSpaceDE/>
        <w:autoSpaceDN/>
        <w:bidi w:val="0"/>
        <w:adjustRightInd/>
        <w:snapToGrid/>
        <w:spacing w:line="360" w:lineRule="auto"/>
        <w:ind w:firstLine="540"/>
        <w:textAlignment w:val="auto"/>
      </w:pPr>
      <w:r>
        <w:rPr>
          <w:rFonts w:hint="eastAsia" w:ascii="仿宋" w:hAnsi="仿宋" w:eastAsia="仿宋" w:cs="仿宋"/>
          <w:sz w:val="24"/>
          <w:lang w:eastAsia="zh-CN"/>
        </w:rPr>
        <w:t>此项目允许一</w:t>
      </w:r>
      <w:r>
        <w:rPr>
          <w:rFonts w:hint="eastAsia" w:ascii="仿宋" w:hAnsi="仿宋" w:eastAsia="仿宋" w:cs="仿宋"/>
          <w:sz w:val="24"/>
        </w:rPr>
        <w:t>类汽车维修供应商</w:t>
      </w:r>
      <w:r>
        <w:rPr>
          <w:rFonts w:hint="eastAsia" w:ascii="仿宋" w:hAnsi="仿宋" w:eastAsia="仿宋" w:cs="仿宋"/>
          <w:sz w:val="24"/>
          <w:lang w:eastAsia="zh-CN"/>
        </w:rPr>
        <w:t>与</w:t>
      </w:r>
      <w:r>
        <w:rPr>
          <w:rFonts w:hint="eastAsia" w:ascii="仿宋" w:hAnsi="仿宋" w:eastAsia="仿宋" w:cs="仿宋"/>
          <w:sz w:val="24"/>
        </w:rPr>
        <w:t>二类汽车维修供应商</w:t>
      </w:r>
      <w:r>
        <w:rPr>
          <w:rFonts w:hint="eastAsia" w:ascii="仿宋" w:hAnsi="仿宋" w:eastAsia="仿宋" w:cs="仿宋"/>
          <w:sz w:val="24"/>
          <w:lang w:eastAsia="zh-CN"/>
        </w:rPr>
        <w:t>同时</w:t>
      </w:r>
      <w:r>
        <w:rPr>
          <w:rFonts w:hint="eastAsia" w:ascii="仿宋" w:hAnsi="仿宋" w:eastAsia="仿宋" w:cs="仿宋"/>
          <w:sz w:val="24"/>
        </w:rPr>
        <w:t>参与报价</w:t>
      </w:r>
      <w:r>
        <w:rPr>
          <w:rFonts w:hint="eastAsia" w:ascii="仿宋" w:hAnsi="仿宋" w:eastAsia="仿宋" w:cs="仿宋"/>
          <w:sz w:val="24"/>
          <w:lang w:eastAsia="zh-CN"/>
        </w:rPr>
        <w:t>竞标。</w:t>
      </w:r>
    </w:p>
    <w:p w14:paraId="7DEE8282">
      <w:pPr>
        <w:keepNext w:val="0"/>
        <w:keepLine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2"/>
        <w:textAlignment w:val="auto"/>
        <w:rPr>
          <w:rFonts w:ascii="仿宋" w:hAnsi="仿宋" w:eastAsia="仿宋" w:cs="仿宋"/>
          <w:b/>
          <w:bCs/>
          <w:sz w:val="24"/>
        </w:rPr>
      </w:pPr>
      <w:r>
        <w:rPr>
          <w:rFonts w:hint="eastAsia" w:ascii="仿宋" w:hAnsi="仿宋" w:eastAsia="仿宋" w:cs="仿宋"/>
          <w:b/>
          <w:bCs/>
          <w:sz w:val="24"/>
        </w:rPr>
        <w:t>四、采购合同（维修委托单）授予</w:t>
      </w:r>
    </w:p>
    <w:p w14:paraId="5D8588DA">
      <w:pPr>
        <w:keepNext w:val="0"/>
        <w:keepLine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确定第二阶段成交供应商由托修方依据入围产品价格、质量以及服务便利性、用户评价等因素，从第一阶段入围供应商中直接选定。</w:t>
      </w:r>
    </w:p>
    <w:p w14:paraId="688C0A76">
      <w:pPr>
        <w:pStyle w:val="5"/>
        <w:keepNext w:val="0"/>
        <w:keepLines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ascii="仿宋" w:hAnsi="仿宋" w:eastAsia="仿宋" w:cs="仿宋"/>
          <w:b/>
        </w:rPr>
      </w:pPr>
      <w:r>
        <w:rPr>
          <w:rFonts w:hint="eastAsia" w:ascii="仿宋" w:hAnsi="仿宋" w:eastAsia="仿宋" w:cs="仿宋"/>
          <w:b/>
          <w:bCs/>
        </w:rPr>
        <w:t>五、入围供应商清退和补充规则</w:t>
      </w:r>
      <w:r>
        <w:rPr>
          <w:rFonts w:hint="eastAsia" w:ascii="仿宋" w:hAnsi="仿宋" w:eastAsia="仿宋" w:cs="仿宋"/>
          <w:b/>
        </w:rPr>
        <w:t>：</w:t>
      </w:r>
    </w:p>
    <w:p w14:paraId="4EDF9B99">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入围供应商清退规则：见</w:t>
      </w:r>
      <w:r>
        <w:rPr>
          <w:rFonts w:hint="eastAsia" w:ascii="仿宋" w:hAnsi="仿宋" w:eastAsia="仿宋" w:cs="仿宋"/>
          <w:sz w:val="24"/>
        </w:rPr>
        <w:t>《拟签订的框架协议文本》中</w:t>
      </w:r>
      <w:r>
        <w:rPr>
          <w:rFonts w:hint="eastAsia" w:ascii="仿宋" w:hAnsi="仿宋" w:eastAsia="仿宋" w:cs="仿宋"/>
          <w:bCs/>
          <w:sz w:val="24"/>
        </w:rPr>
        <w:t>“</w:t>
      </w:r>
      <w:r>
        <w:rPr>
          <w:rFonts w:hint="eastAsia" w:ascii="仿宋" w:hAnsi="仿宋" w:eastAsia="仿宋" w:cs="仿宋"/>
          <w:sz w:val="24"/>
        </w:rPr>
        <w:t>十三、违约责任”第4条、第5条内容。</w:t>
      </w:r>
    </w:p>
    <w:p w14:paraId="46DA216E">
      <w:pPr>
        <w:pStyle w:val="5"/>
        <w:keepNext w:val="0"/>
        <w:keepLines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ascii="仿宋" w:hAnsi="仿宋" w:eastAsia="仿宋" w:cs="仿宋_GB2312"/>
        </w:rPr>
      </w:pPr>
      <w:r>
        <w:rPr>
          <w:rFonts w:hint="eastAsia" w:ascii="仿宋" w:hAnsi="仿宋" w:eastAsia="仿宋" w:cs="仿宋"/>
        </w:rPr>
        <w:t>2.</w:t>
      </w:r>
      <w:r>
        <w:rPr>
          <w:rFonts w:hint="eastAsia" w:ascii="仿宋" w:hAnsi="仿宋" w:eastAsia="仿宋" w:cs="仿宋"/>
          <w:bCs/>
        </w:rPr>
        <w:t>入围供应商补充规则：</w:t>
      </w:r>
      <w:r>
        <w:rPr>
          <w:rFonts w:hint="eastAsia" w:ascii="仿宋" w:hAnsi="仿宋" w:eastAsia="仿宋" w:cs="仿宋"/>
          <w:shd w:val="clear" w:color="auto" w:fill="FFFFFF"/>
        </w:rPr>
        <w:t>剩余入围供应商不足入围供应商总数70%且影响框架协议执行的情形时，甲方有权在框架协议有效期内补充征集服务供应商。</w:t>
      </w:r>
    </w:p>
    <w:p w14:paraId="2761D586">
      <w:pPr>
        <w:pStyle w:val="5"/>
        <w:keepNext w:val="0"/>
        <w:keepLines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ascii="仿宋" w:hAnsi="仿宋" w:eastAsia="仿宋" w:cs="仿宋"/>
        </w:rPr>
      </w:pPr>
    </w:p>
    <w:p w14:paraId="00E44D98">
      <w:pPr>
        <w:keepNext w:val="0"/>
        <w:keepLine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2"/>
        <w:textAlignment w:val="auto"/>
        <w:rPr>
          <w:rFonts w:ascii="仿宋" w:hAnsi="仿宋" w:eastAsia="仿宋" w:cs="仿宋"/>
          <w:sz w:val="24"/>
        </w:rPr>
      </w:pPr>
      <w:r>
        <w:rPr>
          <w:rFonts w:hint="eastAsia" w:ascii="仿宋" w:hAnsi="仿宋" w:eastAsia="仿宋" w:cs="仿宋"/>
          <w:b/>
          <w:bCs/>
          <w:sz w:val="24"/>
        </w:rPr>
        <w:t>六、其他要求：</w:t>
      </w:r>
      <w:r>
        <w:rPr>
          <w:rFonts w:hint="eastAsia" w:ascii="仿宋" w:hAnsi="仿宋" w:eastAsia="仿宋" w:cs="仿宋"/>
          <w:sz w:val="24"/>
        </w:rPr>
        <w:t>详见《拟签订的框架协议文本》。</w:t>
      </w:r>
    </w:p>
    <w:p w14:paraId="6E028F2A">
      <w:pPr>
        <w:pStyle w:val="2"/>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szCs w:val="24"/>
        </w:rPr>
      </w:pPr>
    </w:p>
    <w:p w14:paraId="7F032C63">
      <w:pPr>
        <w:pStyle w:val="2"/>
        <w:keepNext w:val="0"/>
        <w:keepLines w:val="0"/>
        <w:numPr>
          <w:ilvl w:val="0"/>
          <w:numId w:val="1"/>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sz w:val="24"/>
          <w:szCs w:val="24"/>
        </w:rPr>
      </w:pPr>
      <w:r>
        <w:rPr>
          <w:rFonts w:hint="eastAsia" w:ascii="仿宋" w:hAnsi="仿宋" w:eastAsia="仿宋" w:cs="仿宋"/>
          <w:b/>
          <w:sz w:val="24"/>
          <w:szCs w:val="24"/>
        </w:rPr>
        <w:t>以上要求均为实质性要求，如不响应，视为无效报价。</w:t>
      </w:r>
    </w:p>
    <w:p w14:paraId="751A9E0D">
      <w:pPr>
        <w:rPr>
          <w:rFonts w:hint="eastAsia" w:ascii="仿宋" w:hAnsi="仿宋" w:eastAsia="仿宋" w:cs="仿宋"/>
          <w:b/>
          <w:sz w:val="24"/>
          <w:szCs w:val="24"/>
        </w:rPr>
      </w:pPr>
    </w:p>
    <w:p w14:paraId="6805D3E0">
      <w:pPr>
        <w:pStyle w:val="2"/>
        <w:rPr>
          <w:rFonts w:hint="eastAsia" w:ascii="仿宋" w:hAnsi="仿宋" w:eastAsia="仿宋" w:cs="仿宋"/>
          <w:b/>
          <w:sz w:val="24"/>
          <w:szCs w:val="24"/>
        </w:rPr>
      </w:pPr>
    </w:p>
    <w:p w14:paraId="1F4D6612">
      <w:pPr>
        <w:rPr>
          <w:rFonts w:hint="eastAsia" w:ascii="仿宋" w:hAnsi="仿宋" w:eastAsia="仿宋" w:cs="仿宋"/>
          <w:b/>
          <w:sz w:val="24"/>
          <w:szCs w:val="24"/>
        </w:rPr>
      </w:pPr>
    </w:p>
    <w:p w14:paraId="283F5EF9">
      <w:pPr>
        <w:pStyle w:val="2"/>
        <w:rPr>
          <w:rFonts w:hint="eastAsia" w:ascii="仿宋" w:hAnsi="仿宋" w:eastAsia="仿宋" w:cs="仿宋"/>
          <w:b/>
          <w:sz w:val="24"/>
          <w:szCs w:val="24"/>
        </w:rPr>
      </w:pPr>
    </w:p>
    <w:p w14:paraId="267695C3">
      <w:pPr>
        <w:rPr>
          <w:rFonts w:hint="eastAsia" w:ascii="仿宋" w:hAnsi="仿宋" w:eastAsia="仿宋" w:cs="仿宋"/>
          <w:b/>
          <w:sz w:val="24"/>
          <w:szCs w:val="24"/>
        </w:rPr>
      </w:pPr>
    </w:p>
    <w:p w14:paraId="5900C2A2">
      <w:pPr>
        <w:pStyle w:val="2"/>
        <w:rPr>
          <w:rFonts w:hint="eastAsia" w:ascii="仿宋" w:hAnsi="仿宋" w:eastAsia="仿宋" w:cs="仿宋"/>
          <w:b/>
          <w:sz w:val="24"/>
          <w:szCs w:val="24"/>
        </w:rPr>
      </w:pPr>
    </w:p>
    <w:p w14:paraId="017F488F">
      <w:pPr>
        <w:rPr>
          <w:rFonts w:hint="eastAsia" w:ascii="仿宋" w:hAnsi="仿宋" w:eastAsia="仿宋" w:cs="仿宋"/>
          <w:b/>
          <w:sz w:val="24"/>
          <w:szCs w:val="24"/>
        </w:rPr>
      </w:pPr>
    </w:p>
    <w:p w14:paraId="4D9B85E1">
      <w:pPr>
        <w:pStyle w:val="2"/>
        <w:rPr>
          <w:rFonts w:hint="eastAsia" w:ascii="仿宋" w:hAnsi="仿宋" w:eastAsia="仿宋" w:cs="仿宋"/>
          <w:b/>
          <w:sz w:val="24"/>
          <w:szCs w:val="24"/>
        </w:rPr>
      </w:pPr>
    </w:p>
    <w:p w14:paraId="08CFF3E4">
      <w:pPr>
        <w:rPr>
          <w:rFonts w:hint="eastAsia" w:ascii="仿宋" w:hAnsi="仿宋" w:eastAsia="仿宋" w:cs="仿宋"/>
          <w:b/>
          <w:sz w:val="24"/>
          <w:szCs w:val="24"/>
        </w:rPr>
      </w:pPr>
    </w:p>
    <w:p w14:paraId="2B7F9F8E">
      <w:pPr>
        <w:pStyle w:val="2"/>
        <w:rPr>
          <w:rFonts w:hint="eastAsia" w:ascii="仿宋" w:hAnsi="仿宋" w:eastAsia="仿宋" w:cs="仿宋"/>
          <w:b/>
          <w:sz w:val="24"/>
          <w:szCs w:val="24"/>
        </w:rPr>
      </w:pPr>
    </w:p>
    <w:p w14:paraId="2610A925">
      <w:pPr>
        <w:rPr>
          <w:rFonts w:hint="eastAsia" w:ascii="仿宋" w:hAnsi="仿宋" w:eastAsia="仿宋" w:cs="仿宋"/>
          <w:b/>
          <w:sz w:val="24"/>
          <w:szCs w:val="24"/>
        </w:rPr>
      </w:pPr>
    </w:p>
    <w:p w14:paraId="77F195FC">
      <w:pPr>
        <w:pStyle w:val="2"/>
        <w:rPr>
          <w:rFonts w:hint="eastAsia"/>
        </w:rPr>
      </w:pPr>
    </w:p>
    <w:p w14:paraId="1D7EE004">
      <w:pPr>
        <w:keepNext w:val="0"/>
        <w:keepLines w:val="0"/>
        <w:numPr>
          <w:ilvl w:val="0"/>
          <w:numId w:val="0"/>
        </w:numPr>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r>
        <w:rPr>
          <w:rFonts w:ascii="仿宋" w:hAnsi="仿宋" w:eastAsia="仿宋"/>
          <w:sz w:val="30"/>
          <w:szCs w:val="30"/>
        </w:rPr>
        <w:t>拟签订的框架协议文本和采购合同文本</w:t>
      </w:r>
    </w:p>
    <w:p w14:paraId="5DA8364C">
      <w:pPr>
        <w:pStyle w:val="2"/>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24"/>
          <w:szCs w:val="24"/>
        </w:rPr>
      </w:pPr>
      <w:r>
        <w:rPr>
          <w:rFonts w:hint="eastAsia" w:ascii="仿宋" w:hAnsi="仿宋" w:eastAsia="仿宋"/>
          <w:sz w:val="24"/>
          <w:szCs w:val="24"/>
        </w:rPr>
        <w:t>一、拟签订的框架协议文本</w:t>
      </w:r>
    </w:p>
    <w:p w14:paraId="16BFB167">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r>
        <w:rPr>
          <w:rFonts w:hint="eastAsia" w:ascii="仿宋" w:hAnsi="仿宋" w:eastAsia="仿宋"/>
          <w:sz w:val="24"/>
          <w:lang w:val="en-US" w:eastAsia="zh-CN"/>
        </w:rPr>
        <w:t>2025-2027</w:t>
      </w:r>
      <w:r>
        <w:rPr>
          <w:rFonts w:hint="eastAsia" w:ascii="仿宋" w:hAnsi="仿宋" w:eastAsia="仿宋"/>
          <w:sz w:val="24"/>
          <w:lang w:eastAsia="zh-CN"/>
        </w:rPr>
        <w:t>年度</w:t>
      </w:r>
      <w:r>
        <w:rPr>
          <w:rFonts w:hint="eastAsia" w:ascii="仿宋" w:hAnsi="仿宋" w:eastAsia="仿宋"/>
          <w:sz w:val="24"/>
          <w:lang w:val="en-US" w:eastAsia="zh-CN"/>
        </w:rPr>
        <w:t>邳州</w:t>
      </w:r>
      <w:r>
        <w:rPr>
          <w:rFonts w:hint="eastAsia" w:ascii="仿宋" w:hAnsi="仿宋" w:eastAsia="仿宋"/>
          <w:sz w:val="24"/>
          <w:lang w:eastAsia="zh-CN"/>
        </w:rPr>
        <w:t>市</w:t>
      </w:r>
      <w:r>
        <w:rPr>
          <w:rFonts w:hint="eastAsia" w:ascii="仿宋" w:hAnsi="仿宋" w:eastAsia="仿宋"/>
          <w:sz w:val="24"/>
          <w:lang w:val="en-US" w:eastAsia="zh-CN"/>
        </w:rPr>
        <w:t>公务用车定点</w:t>
      </w:r>
      <w:r>
        <w:rPr>
          <w:rFonts w:hint="eastAsia" w:ascii="仿宋" w:hAnsi="仿宋" w:eastAsia="仿宋"/>
          <w:sz w:val="24"/>
          <w:lang w:eastAsia="zh-CN"/>
        </w:rPr>
        <w:t>维修和保养服务</w:t>
      </w:r>
      <w:r>
        <w:rPr>
          <w:rFonts w:hint="eastAsia" w:ascii="仿宋" w:hAnsi="仿宋" w:eastAsia="仿宋"/>
          <w:sz w:val="24"/>
        </w:rPr>
        <w:t>框架协议</w:t>
      </w:r>
    </w:p>
    <w:p w14:paraId="5D57AC97">
      <w:pPr>
        <w:keepNext w:val="0"/>
        <w:keepLines w:val="0"/>
        <w:kinsoku/>
        <w:wordWrap/>
        <w:overflowPunct/>
        <w:topLinePunct w:val="0"/>
        <w:autoSpaceDE/>
        <w:autoSpaceDN/>
        <w:bidi w:val="0"/>
        <w:adjustRightInd/>
        <w:snapToGrid/>
        <w:spacing w:line="360" w:lineRule="auto"/>
        <w:textAlignment w:val="auto"/>
        <w:rPr>
          <w:rFonts w:ascii="仿宋" w:hAnsi="仿宋" w:eastAsia="仿宋"/>
          <w:sz w:val="24"/>
        </w:rPr>
      </w:pPr>
    </w:p>
    <w:p w14:paraId="36D22C93">
      <w:pPr>
        <w:keepNext w:val="0"/>
        <w:keepLines w:val="0"/>
        <w:kinsoku/>
        <w:wordWrap/>
        <w:overflowPunct/>
        <w:topLinePunct w:val="0"/>
        <w:autoSpaceDE/>
        <w:autoSpaceDN/>
        <w:bidi w:val="0"/>
        <w:adjustRightInd/>
        <w:snapToGrid/>
        <w:spacing w:line="360" w:lineRule="auto"/>
        <w:ind w:left="3960" w:hanging="3960"/>
        <w:textAlignment w:val="auto"/>
        <w:rPr>
          <w:rFonts w:ascii="仿宋" w:hAnsi="仿宋" w:eastAsia="仿宋"/>
          <w:sz w:val="32"/>
          <w:szCs w:val="32"/>
          <w:highlight w:val="yellow"/>
        </w:rPr>
      </w:pPr>
      <w:r>
        <w:rPr>
          <w:rFonts w:hint="eastAsia" w:ascii="仿宋" w:hAnsi="仿宋" w:eastAsia="仿宋"/>
          <w:sz w:val="24"/>
        </w:rPr>
        <w:t>甲方：</w:t>
      </w:r>
      <w:r>
        <w:rPr>
          <w:rFonts w:hint="eastAsia" w:ascii="仿宋" w:hAnsi="仿宋" w:eastAsia="仿宋"/>
          <w:sz w:val="24"/>
          <w:lang w:eastAsia="zh-CN"/>
        </w:rPr>
        <w:t>邳州市公共资源交易中心</w:t>
      </w:r>
      <w:r>
        <w:rPr>
          <w:rFonts w:hint="eastAsia" w:ascii="仿宋" w:hAnsi="仿宋" w:eastAsia="仿宋"/>
          <w:sz w:val="24"/>
        </w:rPr>
        <w:t xml:space="preserve">         项目编号： </w:t>
      </w:r>
    </w:p>
    <w:p w14:paraId="2338D7BA">
      <w:pPr>
        <w:keepNext w:val="0"/>
        <w:keepLines w:val="0"/>
        <w:kinsoku/>
        <w:wordWrap/>
        <w:overflowPunct/>
        <w:topLinePunct w:val="0"/>
        <w:autoSpaceDE/>
        <w:autoSpaceDN/>
        <w:bidi w:val="0"/>
        <w:adjustRightInd/>
        <w:snapToGrid/>
        <w:spacing w:line="360" w:lineRule="auto"/>
        <w:ind w:left="4320" w:hanging="4320"/>
        <w:textAlignment w:val="auto"/>
        <w:rPr>
          <w:rFonts w:hint="eastAsia" w:ascii="仿宋" w:hAnsi="仿宋" w:eastAsia="仿宋"/>
          <w:sz w:val="24"/>
          <w:lang w:eastAsia="zh-CN"/>
        </w:rPr>
      </w:pPr>
      <w:r>
        <w:rPr>
          <w:rFonts w:hint="eastAsia" w:ascii="仿宋" w:hAnsi="仿宋" w:eastAsia="仿宋"/>
          <w:sz w:val="24"/>
        </w:rPr>
        <w:t>乙方（入围供应商）：                 签订地点：</w:t>
      </w:r>
      <w:r>
        <w:rPr>
          <w:rFonts w:hint="eastAsia" w:ascii="仿宋" w:hAnsi="仿宋" w:eastAsia="仿宋"/>
          <w:sz w:val="24"/>
          <w:lang w:eastAsia="zh-CN"/>
        </w:rPr>
        <w:t>邳州市公共资源交易中心</w:t>
      </w:r>
    </w:p>
    <w:p w14:paraId="2BF6204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根据</w:t>
      </w:r>
      <w:r>
        <w:rPr>
          <w:rFonts w:hint="eastAsia" w:ascii="仿宋" w:hAnsi="仿宋" w:eastAsia="仿宋"/>
          <w:sz w:val="24"/>
          <w:lang w:eastAsia="zh-CN"/>
        </w:rPr>
        <w:t>2025-2027年度邳州市公务用车定点维修和保养服务</w:t>
      </w:r>
      <w:r>
        <w:rPr>
          <w:rFonts w:hint="eastAsia" w:ascii="仿宋" w:hAnsi="仿宋" w:eastAsia="仿宋"/>
          <w:sz w:val="24"/>
        </w:rPr>
        <w:t>框架协议采购结果，甲、乙双方达成以下公务用车维修框架协议：</w:t>
      </w:r>
    </w:p>
    <w:p w14:paraId="0091BEF2">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一、维修服务范围</w:t>
      </w:r>
    </w:p>
    <w:p w14:paraId="2F53F9EE">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olor w:val="000000"/>
          <w:sz w:val="24"/>
        </w:rPr>
      </w:pPr>
      <w:r>
        <w:rPr>
          <w:rFonts w:hint="eastAsia" w:ascii="仿宋" w:hAnsi="仿宋" w:eastAsia="仿宋"/>
          <w:sz w:val="24"/>
        </w:rPr>
        <w:t xml:space="preserve"> </w:t>
      </w:r>
      <w:r>
        <w:rPr>
          <w:rFonts w:hint="eastAsia" w:ascii="仿宋" w:hAnsi="仿宋" w:eastAsia="仿宋"/>
          <w:color w:val="auto"/>
          <w:sz w:val="24"/>
        </w:rPr>
        <w:t>采购人（以下称“托修方”）是</w:t>
      </w:r>
      <w:r>
        <w:rPr>
          <w:rFonts w:hint="eastAsia" w:ascii="仿宋" w:hAnsi="仿宋" w:eastAsia="仿宋"/>
          <w:color w:val="auto"/>
          <w:sz w:val="24"/>
          <w:lang w:val="en-US" w:eastAsia="zh-CN"/>
        </w:rPr>
        <w:t>邳州</w:t>
      </w:r>
      <w:r>
        <w:rPr>
          <w:rFonts w:hint="eastAsia" w:ascii="仿宋" w:hAnsi="仿宋" w:eastAsia="仿宋"/>
          <w:color w:val="auto"/>
          <w:sz w:val="24"/>
          <w:lang w:eastAsia="zh-CN"/>
        </w:rPr>
        <w:t>市机关事务服务中心、</w:t>
      </w:r>
      <w:r>
        <w:rPr>
          <w:rFonts w:hint="eastAsia" w:ascii="仿宋" w:hAnsi="仿宋" w:eastAsia="仿宋"/>
          <w:color w:val="000000"/>
          <w:sz w:val="24"/>
          <w:lang w:val="en-US" w:eastAsia="zh-CN"/>
        </w:rPr>
        <w:t>邳州</w:t>
      </w:r>
      <w:r>
        <w:rPr>
          <w:rFonts w:hint="eastAsia" w:ascii="仿宋" w:hAnsi="仿宋" w:eastAsia="仿宋"/>
          <w:color w:val="000000"/>
          <w:sz w:val="24"/>
          <w:lang w:eastAsia="zh-CN"/>
        </w:rPr>
        <w:t>市（含镇、街道）党政机关、事业单位和团体组织，驻地在</w:t>
      </w:r>
      <w:r>
        <w:rPr>
          <w:rFonts w:hint="eastAsia" w:ascii="仿宋" w:hAnsi="仿宋" w:eastAsia="仿宋"/>
          <w:color w:val="000000"/>
          <w:sz w:val="24"/>
          <w:lang w:val="en-US" w:eastAsia="zh-CN"/>
        </w:rPr>
        <w:t>邳州</w:t>
      </w:r>
      <w:r>
        <w:rPr>
          <w:rFonts w:hint="eastAsia" w:ascii="仿宋" w:hAnsi="仿宋" w:eastAsia="仿宋"/>
          <w:color w:val="000000"/>
          <w:sz w:val="24"/>
          <w:lang w:eastAsia="zh-CN"/>
        </w:rPr>
        <w:t>市的中央、省直属单位及派驻机构</w:t>
      </w:r>
      <w:r>
        <w:rPr>
          <w:rFonts w:hint="eastAsia" w:ascii="仿宋" w:hAnsi="仿宋" w:eastAsia="仿宋"/>
          <w:color w:val="000000"/>
          <w:sz w:val="24"/>
        </w:rPr>
        <w:t>，使用财政性资金进行的公务用车（乘用车或小型车，不含摩托车）维修。</w:t>
      </w:r>
    </w:p>
    <w:p w14:paraId="10B6DD4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二、维修服务项目</w:t>
      </w:r>
    </w:p>
    <w:p w14:paraId="252F25E7">
      <w:pPr>
        <w:keepNext w:val="0"/>
        <w:keepLines w:val="0"/>
        <w:kinsoku/>
        <w:wordWrap/>
        <w:overflowPunct/>
        <w:topLinePunct w:val="0"/>
        <w:autoSpaceDE/>
        <w:autoSpaceDN/>
        <w:bidi w:val="0"/>
        <w:adjustRightInd/>
        <w:snapToGrid/>
        <w:spacing w:line="360" w:lineRule="auto"/>
        <w:ind w:firstLine="540"/>
        <w:textAlignment w:val="auto"/>
        <w:rPr>
          <w:rFonts w:hint="eastAsia" w:ascii="仿宋" w:hAnsi="仿宋" w:eastAsia="仿宋"/>
          <w:sz w:val="24"/>
          <w:highlight w:val="yellow"/>
          <w:lang w:eastAsia="zh-CN"/>
        </w:rPr>
      </w:pPr>
      <w:r>
        <w:rPr>
          <w:rFonts w:hint="eastAsia" w:ascii="仿宋" w:hAnsi="仿宋" w:eastAsia="仿宋"/>
          <w:sz w:val="24"/>
        </w:rPr>
        <w:t>《江苏省机动车维修结算工时定额与收费指南》（2014版）中规定的相关项目。</w:t>
      </w:r>
    </w:p>
    <w:p w14:paraId="22D63B57">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三、送修手续</w:t>
      </w:r>
    </w:p>
    <w:p w14:paraId="57A3E30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1.托修方根据各自车辆情况凭“政府采购公务用车维修委托单”（具有合同性质的凭单、订单）（以下称“维修委托单”，见附件五。内容和格式由甲方确定）与乙方联系维修事宜。</w:t>
      </w:r>
    </w:p>
    <w:p w14:paraId="57F5664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2.乙方接收维修车辆时，必须向托修方索取“维修委托单”（承修方留存联和发票附件联）。</w:t>
      </w:r>
    </w:p>
    <w:p w14:paraId="5BBC379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3.乙方应对送修车辆进行细致检查，详细填写“维修委托单”。托修方确认后方可进行维修。</w:t>
      </w:r>
    </w:p>
    <w:p w14:paraId="3556A50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4.对维修车辆乙方应以修复为主，能不更换的零部件尽量不予更换，确实不能修复或修复不经济的零部件，在征得托修方同意的情况下，方可进行更换。</w:t>
      </w:r>
    </w:p>
    <w:p w14:paraId="728D92E6">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5.托修方将确认后的“维修委托单”相关内容，在“苏采云”电子交易系统进行信息录入。</w:t>
      </w:r>
    </w:p>
    <w:p w14:paraId="17948CD3">
      <w:pPr>
        <w:pStyle w:val="10"/>
        <w:keepNext w:val="0"/>
        <w:keepLines w:val="0"/>
        <w:kinsoku/>
        <w:wordWrap/>
        <w:overflowPunct/>
        <w:topLinePunct w:val="0"/>
        <w:autoSpaceDE/>
        <w:autoSpaceDN/>
        <w:bidi w:val="0"/>
        <w:adjustRightInd/>
        <w:snapToGrid/>
        <w:spacing w:before="100" w:line="360" w:lineRule="auto"/>
        <w:ind w:firstLine="480"/>
        <w:jc w:val="left"/>
        <w:textAlignment w:val="auto"/>
        <w:rPr>
          <w:rFonts w:ascii="仿宋" w:hAnsi="仿宋" w:eastAsia="仿宋"/>
          <w:sz w:val="24"/>
        </w:rPr>
      </w:pPr>
      <w:r>
        <w:rPr>
          <w:rFonts w:hint="eastAsia" w:ascii="仿宋" w:hAnsi="仿宋" w:eastAsia="仿宋"/>
          <w:sz w:val="24"/>
        </w:rPr>
        <w:t>四、维修服务流程</w:t>
      </w:r>
    </w:p>
    <w:p w14:paraId="5278663B">
      <w:pPr>
        <w:pStyle w:val="10"/>
        <w:keepNext w:val="0"/>
        <w:keepLines w:val="0"/>
        <w:kinsoku/>
        <w:wordWrap/>
        <w:overflowPunct/>
        <w:topLinePunct w:val="0"/>
        <w:autoSpaceDE/>
        <w:autoSpaceDN/>
        <w:bidi w:val="0"/>
        <w:adjustRightInd/>
        <w:snapToGrid/>
        <w:spacing w:before="100" w:line="360" w:lineRule="auto"/>
        <w:ind w:firstLine="480"/>
        <w:jc w:val="left"/>
        <w:textAlignment w:val="auto"/>
        <w:rPr>
          <w:rFonts w:ascii="仿宋" w:hAnsi="仿宋" w:eastAsia="仿宋"/>
          <w:sz w:val="24"/>
        </w:rPr>
      </w:pPr>
      <w:r>
        <w:rPr>
          <w:rFonts w:hint="eastAsia" w:ascii="仿宋" w:hAnsi="仿宋" w:eastAsia="仿宋"/>
          <w:sz w:val="24"/>
        </w:rPr>
        <w:t>1.按照江苏省质量技术监督局发布的《机动车维修服务质量规范》（DB32/T1227—2008）中相关规定执行。</w:t>
      </w:r>
    </w:p>
    <w:p w14:paraId="316662E4">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2.</w:t>
      </w:r>
      <w:r>
        <w:rPr>
          <w:rFonts w:hint="eastAsia" w:ascii="仿宋" w:hAnsi="仿宋" w:eastAsia="仿宋" w:cs="仿宋_GB2312"/>
          <w:sz w:val="24"/>
        </w:rPr>
        <w:t>验收标准（验收要求、验收标准和程序）要求：</w:t>
      </w:r>
      <w:r>
        <w:rPr>
          <w:rFonts w:hint="eastAsia" w:ascii="仿宋" w:hAnsi="仿宋" w:eastAsia="仿宋"/>
          <w:sz w:val="24"/>
        </w:rPr>
        <w:t>见附件四。</w:t>
      </w:r>
    </w:p>
    <w:p w14:paraId="2FE08BE8">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五、维修费用</w:t>
      </w:r>
    </w:p>
    <w:p w14:paraId="63DB2410">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见附件一。 乙方同意按“附件一”中确定的价格为框架协议期限内的最高限价。允许乙方根据实际情况自行降低价格。</w:t>
      </w:r>
    </w:p>
    <w:p w14:paraId="4C1B6D7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六、服务质量标准（质量保证）</w:t>
      </w:r>
    </w:p>
    <w:p w14:paraId="0E83025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按照中华人民共和国交通运输部2023年第14号令《机动车维修管理规定》有关规定执行。</w:t>
      </w:r>
    </w:p>
    <w:p w14:paraId="6542D13D">
      <w:pPr>
        <w:keepNext w:val="0"/>
        <w:keepLines w:val="0"/>
        <w:widowControl/>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七、资金支付（结算）方式、时间和条件：</w:t>
      </w:r>
    </w:p>
    <w:p w14:paraId="6B90DF82">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1.托修方与乙方结算维修费用。具体结算方式:</w:t>
      </w:r>
    </w:p>
    <w:p w14:paraId="656CFA00">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 xml:space="preserve">（1）列入公务卡方式结算的托修方，须通过公务卡方式与乙方结算。 </w:t>
      </w:r>
    </w:p>
    <w:p w14:paraId="237997CB">
      <w:pPr>
        <w:keepNext w:val="0"/>
        <w:keepLines w:val="0"/>
        <w:kinsoku/>
        <w:wordWrap/>
        <w:overflowPunct/>
        <w:topLinePunct w:val="0"/>
        <w:autoSpaceDE/>
        <w:autoSpaceDN/>
        <w:bidi w:val="0"/>
        <w:adjustRightInd/>
        <w:snapToGrid/>
        <w:spacing w:line="360" w:lineRule="auto"/>
        <w:ind w:firstLine="480"/>
        <w:textAlignment w:val="auto"/>
        <w:rPr>
          <w:rFonts w:hint="eastAsia" w:ascii="仿宋" w:hAnsi="仿宋" w:eastAsia="仿宋"/>
          <w:color w:val="auto"/>
          <w:sz w:val="24"/>
        </w:rPr>
      </w:pPr>
      <w:r>
        <w:rPr>
          <w:rFonts w:hint="eastAsia" w:ascii="仿宋" w:hAnsi="仿宋" w:eastAsia="仿宋"/>
          <w:color w:val="auto"/>
          <w:sz w:val="24"/>
        </w:rPr>
        <w:t>（2）未列入公务卡方式结算的托修方，与乙方自行商定结算方式。</w:t>
      </w:r>
    </w:p>
    <w:p w14:paraId="5434615C">
      <w:pPr>
        <w:pStyle w:val="2"/>
        <w:keepNext w:val="0"/>
        <w:keepLines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olor w:val="auto"/>
          <w:sz w:val="24"/>
          <w:lang w:val="en-US" w:eastAsia="zh-CN"/>
        </w:rPr>
        <w:t>（3）主管单位另有规定的，从其要求。</w:t>
      </w:r>
    </w:p>
    <w:p w14:paraId="6D177B3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2.结算时乙方应当向托修方出具维修费用结算清单、维修记录、维修委托单和维修发票。乙方不出具的，托修方有权拒绝支付维修费用。</w:t>
      </w:r>
    </w:p>
    <w:p w14:paraId="5AC93AB0">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olor w:val="C00000"/>
          <w:sz w:val="24"/>
          <w:highlight w:val="none"/>
        </w:rPr>
      </w:pPr>
      <w:r>
        <w:rPr>
          <w:rFonts w:hint="eastAsia" w:ascii="仿宋" w:hAnsi="仿宋" w:eastAsia="仿宋"/>
          <w:sz w:val="24"/>
        </w:rPr>
        <w:t>3.结算原则上乙方与托修方协商确定。乙方与托修方应按照《</w:t>
      </w:r>
      <w:r>
        <w:rPr>
          <w:rFonts w:hint="eastAsia" w:ascii="仿宋" w:hAnsi="仿宋" w:eastAsia="仿宋"/>
          <w:sz w:val="24"/>
          <w:lang w:val="en-US" w:eastAsia="zh-CN"/>
        </w:rPr>
        <w:t>徐</w:t>
      </w:r>
      <w:r>
        <w:rPr>
          <w:rFonts w:hint="eastAsia" w:ascii="仿宋" w:hAnsi="仿宋" w:eastAsia="仿宋"/>
          <w:sz w:val="24"/>
          <w:lang w:eastAsia="zh-CN"/>
        </w:rPr>
        <w:t>州市</w:t>
      </w:r>
      <w:r>
        <w:rPr>
          <w:rFonts w:hint="eastAsia" w:ascii="仿宋" w:hAnsi="仿宋" w:eastAsia="仿宋"/>
          <w:sz w:val="24"/>
        </w:rPr>
        <w:t>财政局关于转发省财政厅做好政府采购支持企业发展有关事项的通知》（徐财购（2020）15号）及《关于进一步提高政府采购透明度和采购效率相关事项的通知》（财办库〔2023〕243号）有关要求，协商确定维修费用预付及支付事项。托修方应在满足协商确定的结算条件下，</w:t>
      </w:r>
      <w:r>
        <w:rPr>
          <w:rFonts w:hint="eastAsia" w:ascii="仿宋" w:hAnsi="仿宋" w:eastAsia="仿宋"/>
          <w:color w:val="auto"/>
          <w:sz w:val="24"/>
          <w:highlight w:val="none"/>
        </w:rPr>
        <w:t>自收到发票后1</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个工作日内，将维修费用支付到乙方账户。</w:t>
      </w:r>
    </w:p>
    <w:p w14:paraId="4DB55392">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4.乙方须执行江苏省质量技术监督局发布的《机动车维修费用结算规范》（DB 32/T 2665-2014）。</w:t>
      </w:r>
    </w:p>
    <w:p w14:paraId="09A202D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八、甲方和托修方的权利</w:t>
      </w:r>
    </w:p>
    <w:p w14:paraId="01C88DC7">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1.托修方有权获得优先服务。</w:t>
      </w:r>
    </w:p>
    <w:p w14:paraId="511B75B6">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2.对已完工车辆，如发现不合格或与“维修委托单”不符，有权要求乙方无偿返工，直至符合要求为止。</w:t>
      </w:r>
    </w:p>
    <w:p w14:paraId="577413F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3.有权向有关部门投诉乙方违约行为。</w:t>
      </w:r>
    </w:p>
    <w:p w14:paraId="28519AD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4.有权对乙方的财务、维修记录、维修设备等情况进行定期、不定期检查，包括但不限于：</w:t>
      </w:r>
    </w:p>
    <w:p w14:paraId="11C911E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（1）乙方财务资料；</w:t>
      </w:r>
    </w:p>
    <w:p w14:paraId="0995F24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（2）询问当事人或者有关人员，并可以要求其提供证明材料和与维修行为有关的其他资料；</w:t>
      </w:r>
    </w:p>
    <w:p w14:paraId="12F1156C">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（3）查询、复制与维修行为有关的台帐、单据、凭证、文件及其他资料，核对与维修行为有关的技术资料；</w:t>
      </w:r>
    </w:p>
    <w:p w14:paraId="7E100BE3">
      <w:pPr>
        <w:keepNext w:val="0"/>
        <w:keepLines w:val="0"/>
        <w:kinsoku/>
        <w:wordWrap/>
        <w:overflowPunct/>
        <w:topLinePunct w:val="0"/>
        <w:autoSpaceDE/>
        <w:autoSpaceDN/>
        <w:bidi w:val="0"/>
        <w:adjustRightInd/>
        <w:snapToGrid/>
        <w:spacing w:line="360" w:lineRule="auto"/>
        <w:ind w:firstLine="540"/>
        <w:textAlignment w:val="auto"/>
        <w:rPr>
          <w:rFonts w:hint="eastAsia" w:ascii="仿宋" w:hAnsi="仿宋" w:eastAsia="仿宋"/>
          <w:sz w:val="24"/>
          <w:lang w:eastAsia="zh-CN"/>
        </w:rPr>
      </w:pPr>
      <w:r>
        <w:rPr>
          <w:rFonts w:hint="eastAsia" w:ascii="仿宋" w:hAnsi="仿宋" w:eastAsia="仿宋"/>
          <w:sz w:val="24"/>
        </w:rPr>
        <w:t>（4）在证据可能灭失或者以后难以取得的情况下，可以先行登记保存，乙方不得转移、隐匿或者销毁证据</w:t>
      </w:r>
      <w:r>
        <w:rPr>
          <w:rFonts w:hint="eastAsia" w:ascii="仿宋" w:hAnsi="仿宋" w:eastAsia="仿宋"/>
          <w:color w:val="auto"/>
          <w:sz w:val="24"/>
          <w:lang w:eastAsia="zh-CN"/>
        </w:rPr>
        <w:t>。</w:t>
      </w:r>
    </w:p>
    <w:p w14:paraId="34E28FD0">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（5）委派第三方进行审计。</w:t>
      </w:r>
    </w:p>
    <w:p w14:paraId="580881B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5.要求查询乙方所售配件的质量检验证书、产地、生产厂家的，乙方应如实提供有关资料和凭证。</w:t>
      </w:r>
    </w:p>
    <w:p w14:paraId="2B017D8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6.甲方有权将本框架协议所有内容向托修方及社会予以公布，具体方式和方法由甲方确定。</w:t>
      </w:r>
    </w:p>
    <w:p w14:paraId="31FFD5FC">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7.甲方有权向托修方及社会公布乙方材料费、外加工费等相关的信息，内容包括不限于：材料进价、材料名称、材料规格型号、材料产地、材料生产厂家、适用车型等内容。</w:t>
      </w:r>
    </w:p>
    <w:p w14:paraId="38AD3CEE">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8.如乙方未能履行本协议规定的义务，甲方有权单方暂停或终止与乙方的框架协议。</w:t>
      </w:r>
    </w:p>
    <w:p w14:paraId="08BD8784">
      <w:pPr>
        <w:keepNext w:val="0"/>
        <w:keepLines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九、甲方的义务</w:t>
      </w:r>
    </w:p>
    <w:p w14:paraId="47584E9F">
      <w:pPr>
        <w:keepNext w:val="0"/>
        <w:keepLines w:val="0"/>
        <w:kinsoku/>
        <w:wordWrap/>
        <w:overflowPunct/>
        <w:topLinePunct w:val="0"/>
        <w:autoSpaceDE/>
        <w:autoSpaceDN/>
        <w:bidi w:val="0"/>
        <w:adjustRightInd/>
        <w:snapToGrid/>
        <w:spacing w:line="360" w:lineRule="auto"/>
        <w:ind w:firstLine="468"/>
        <w:textAlignment w:val="auto"/>
        <w:rPr>
          <w:rFonts w:ascii="仿宋" w:hAnsi="仿宋" w:eastAsia="仿宋"/>
          <w:sz w:val="24"/>
        </w:rPr>
      </w:pPr>
      <w:r>
        <w:rPr>
          <w:rFonts w:hint="eastAsia" w:ascii="仿宋" w:hAnsi="仿宋" w:eastAsia="仿宋"/>
          <w:sz w:val="24"/>
        </w:rPr>
        <w:t>1.为第二阶段合同授予提供工作便利。 </w:t>
      </w:r>
    </w:p>
    <w:p w14:paraId="3C2EB65C">
      <w:pPr>
        <w:keepNext w:val="0"/>
        <w:keepLines w:val="0"/>
        <w:kinsoku/>
        <w:wordWrap/>
        <w:overflowPunct/>
        <w:topLinePunct w:val="0"/>
        <w:autoSpaceDE/>
        <w:autoSpaceDN/>
        <w:bidi w:val="0"/>
        <w:adjustRightInd/>
        <w:snapToGrid/>
        <w:spacing w:line="360" w:lineRule="auto"/>
        <w:ind w:firstLine="468"/>
        <w:textAlignment w:val="auto"/>
        <w:rPr>
          <w:rFonts w:ascii="仿宋" w:hAnsi="仿宋" w:eastAsia="仿宋"/>
          <w:sz w:val="24"/>
        </w:rPr>
      </w:pPr>
      <w:r>
        <w:rPr>
          <w:rFonts w:hint="eastAsia" w:ascii="仿宋" w:hAnsi="仿宋" w:eastAsia="仿宋"/>
          <w:sz w:val="24"/>
        </w:rPr>
        <w:t>2.对第二阶段最高限价和需求标准执行情况进行管理。 </w:t>
      </w:r>
    </w:p>
    <w:p w14:paraId="265CA0B6">
      <w:pPr>
        <w:keepNext w:val="0"/>
        <w:keepLines w:val="0"/>
        <w:kinsoku/>
        <w:wordWrap/>
        <w:overflowPunct/>
        <w:topLinePunct w:val="0"/>
        <w:autoSpaceDE/>
        <w:autoSpaceDN/>
        <w:bidi w:val="0"/>
        <w:adjustRightInd/>
        <w:snapToGrid/>
        <w:spacing w:line="360" w:lineRule="auto"/>
        <w:ind w:firstLine="468"/>
        <w:textAlignment w:val="auto"/>
        <w:rPr>
          <w:rFonts w:ascii="仿宋" w:hAnsi="仿宋" w:eastAsia="仿宋"/>
          <w:sz w:val="24"/>
        </w:rPr>
      </w:pPr>
      <w:r>
        <w:rPr>
          <w:rFonts w:hint="eastAsia" w:ascii="仿宋" w:hAnsi="仿宋" w:eastAsia="仿宋"/>
          <w:sz w:val="24"/>
        </w:rPr>
        <w:t>3.对第二阶段确定成交供应商情况进行管理。 </w:t>
      </w:r>
    </w:p>
    <w:p w14:paraId="19E6B63A">
      <w:pPr>
        <w:keepNext w:val="0"/>
        <w:keepLines w:val="0"/>
        <w:kinsoku/>
        <w:wordWrap/>
        <w:overflowPunct/>
        <w:topLinePunct w:val="0"/>
        <w:autoSpaceDE/>
        <w:autoSpaceDN/>
        <w:bidi w:val="0"/>
        <w:adjustRightInd/>
        <w:snapToGrid/>
        <w:spacing w:line="360" w:lineRule="auto"/>
        <w:ind w:firstLine="468"/>
        <w:textAlignment w:val="auto"/>
        <w:rPr>
          <w:rFonts w:hint="eastAsia" w:ascii="仿宋" w:hAnsi="仿宋" w:eastAsia="仿宋" w:cs="Times New Roman"/>
          <w:color w:val="auto"/>
          <w:sz w:val="24"/>
        </w:rPr>
      </w:pPr>
      <w:r>
        <w:rPr>
          <w:rFonts w:hint="eastAsia" w:ascii="仿宋" w:hAnsi="仿宋" w:eastAsia="仿宋"/>
          <w:sz w:val="24"/>
        </w:rPr>
        <w:t>4.</w:t>
      </w:r>
      <w:r>
        <w:rPr>
          <w:rFonts w:hint="eastAsia" w:ascii="仿宋" w:hAnsi="仿宋" w:eastAsia="仿宋" w:cs="Times New Roman"/>
          <w:color w:val="auto"/>
          <w:sz w:val="24"/>
        </w:rPr>
        <w:t>采购人和服务对象</w:t>
      </w:r>
      <w:r>
        <w:rPr>
          <w:rFonts w:hint="eastAsia" w:ascii="仿宋" w:hAnsi="仿宋" w:eastAsia="仿宋" w:cs="Times New Roman"/>
          <w:color w:val="auto"/>
          <w:sz w:val="24"/>
          <w:lang w:eastAsia="zh-CN"/>
        </w:rPr>
        <w:t>向</w:t>
      </w:r>
      <w:r>
        <w:rPr>
          <w:rFonts w:hint="eastAsia" w:ascii="仿宋" w:hAnsi="仿宋" w:eastAsia="仿宋" w:cs="Times New Roman"/>
          <w:color w:val="auto"/>
          <w:sz w:val="24"/>
          <w:lang w:val="en-US" w:eastAsia="zh-CN"/>
        </w:rPr>
        <w:t>邳州市机关事务服务中心</w:t>
      </w:r>
      <w:r>
        <w:rPr>
          <w:rFonts w:hint="eastAsia" w:ascii="仿宋" w:hAnsi="仿宋" w:eastAsia="仿宋" w:cs="Times New Roman"/>
          <w:color w:val="auto"/>
          <w:sz w:val="24"/>
        </w:rPr>
        <w:t>对入围供应商履行框架协议和采购合同情况</w:t>
      </w:r>
      <w:r>
        <w:rPr>
          <w:rFonts w:hint="eastAsia" w:ascii="仿宋" w:hAnsi="仿宋" w:eastAsia="仿宋" w:cs="Times New Roman"/>
          <w:color w:val="auto"/>
          <w:sz w:val="24"/>
          <w:lang w:eastAsia="zh-CN"/>
        </w:rPr>
        <w:t>进行</w:t>
      </w:r>
      <w:r>
        <w:rPr>
          <w:rFonts w:hint="eastAsia" w:ascii="仿宋" w:hAnsi="仿宋" w:eastAsia="仿宋" w:cs="Times New Roman"/>
          <w:color w:val="auto"/>
          <w:sz w:val="24"/>
        </w:rPr>
        <w:t>反馈与评价，并</w:t>
      </w:r>
      <w:r>
        <w:rPr>
          <w:rFonts w:hint="eastAsia" w:ascii="仿宋" w:hAnsi="仿宋" w:eastAsia="仿宋" w:cs="Times New Roman"/>
          <w:color w:val="auto"/>
          <w:sz w:val="24"/>
          <w:lang w:eastAsia="zh-CN"/>
        </w:rPr>
        <w:t>由</w:t>
      </w:r>
      <w:r>
        <w:rPr>
          <w:rFonts w:hint="eastAsia" w:ascii="仿宋" w:hAnsi="仿宋" w:eastAsia="仿宋" w:cs="Times New Roman"/>
          <w:color w:val="auto"/>
          <w:sz w:val="24"/>
          <w:lang w:val="en-US" w:eastAsia="zh-CN"/>
        </w:rPr>
        <w:t>邳州市机关事务服务中心</w:t>
      </w:r>
      <w:r>
        <w:rPr>
          <w:rFonts w:hint="eastAsia" w:ascii="仿宋" w:hAnsi="仿宋" w:eastAsia="仿宋" w:cs="Times New Roman"/>
          <w:color w:val="auto"/>
          <w:sz w:val="24"/>
        </w:rPr>
        <w:t>将用户反馈和评价情况向采购人和服务对象公开，作为第二阶段直接选定成交供应商的参考。 </w:t>
      </w:r>
    </w:p>
    <w:p w14:paraId="7360C26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5.公开封闭式框架协议的第二阶段成交结果。 </w:t>
      </w:r>
    </w:p>
    <w:p w14:paraId="4E80F26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6.办理入围供应商清退和补充相关事宜。</w:t>
      </w:r>
    </w:p>
    <w:p w14:paraId="7944B68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十、乙方的权利：</w:t>
      </w:r>
    </w:p>
    <w:p w14:paraId="3CA8A1E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1.有权要求托修方送修车辆时出示“维修委托单”。</w:t>
      </w:r>
    </w:p>
    <w:p w14:paraId="09B5C16E">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2.有权要求甲方督促托修方按时结清车辆维修费用。</w:t>
      </w:r>
    </w:p>
    <w:p w14:paraId="7CAA5F9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3.有权拒绝甲方及托修方提出的除维修服务以外的要求。</w:t>
      </w:r>
    </w:p>
    <w:p w14:paraId="25E052FC">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4.有权向有关部门投诉甲方的违约行为。</w:t>
      </w:r>
    </w:p>
    <w:p w14:paraId="7E2D6D3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5.乙方对于拖欠维修费用的托修方可以拒绝维修，并及时反馈到甲方，甲方将及时通报有关情况。</w:t>
      </w:r>
    </w:p>
    <w:p w14:paraId="0D0942B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十一、乙方的义务</w:t>
      </w:r>
    </w:p>
    <w:p w14:paraId="2FAAA940">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1.设置一至二名联络员，建立联络员制度，如联络员、联系电话有变动，应在二个工作日内通知甲方（见附件三）。</w:t>
      </w:r>
    </w:p>
    <w:p w14:paraId="27B91C13">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2.向托修方公示收费项目、收费标准、服务承诺、甲方和政府采购监督管理机关的监督电话；采用甲方认可的方式向甲方和托修方公示零配件的价格，乙方不得在任何情况下加以拒绝，否则视为违约。</w:t>
      </w:r>
    </w:p>
    <w:p w14:paraId="21021C5A">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3.保证按“维修委托单”上的要求，按时、按质、按量完成维修工作。</w:t>
      </w:r>
    </w:p>
    <w:p w14:paraId="6246AD5E">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4.已竣工车辆，乙方应逐项填写“维修费用结算清单”，机动车维修费用由工时费用、材料费用、维修诊断费用、检测费用、外加工及其他费用组成，结算时应当分项计算。</w:t>
      </w:r>
    </w:p>
    <w:p w14:paraId="594ADA7D">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5.乙方应妥善保管托修方的送修车辆，不得出现丢失或损毁。</w:t>
      </w:r>
    </w:p>
    <w:p w14:paraId="61CB9DD7">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6.保存好所有的维修单据和资料，将留存的“维修委托单”、“维修费用结算清单”和维修记录的复印件（包括材料清单和工时清单）与维修档案一并装订成册。</w:t>
      </w:r>
    </w:p>
    <w:p w14:paraId="1108869C">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7.保证维修材料进价明细清单齐全，入库、出库单据账目清晰。</w:t>
      </w:r>
    </w:p>
    <w:p w14:paraId="5D1E5190">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8.不得向托修方或经办人员以任何形式提供好处。</w:t>
      </w:r>
    </w:p>
    <w:p w14:paraId="4A8DBBD0">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9.按服务承诺兑现各项服务措施。</w:t>
      </w:r>
    </w:p>
    <w:p w14:paraId="57D0DCDC">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10</w:t>
      </w:r>
      <w:r>
        <w:rPr>
          <w:rFonts w:hint="eastAsia" w:ascii="仿宋" w:hAnsi="仿宋" w:eastAsia="仿宋"/>
          <w:color w:val="auto"/>
          <w:sz w:val="24"/>
        </w:rPr>
        <w:t>.不得无故拒绝对响应文件中所报燃油车或新能源车的维修。燃油车或新能源车维修车型见附件二《承修车型一览表》。</w:t>
      </w:r>
      <w:r>
        <w:rPr>
          <w:rFonts w:hint="eastAsia" w:ascii="仿宋" w:hAnsi="仿宋" w:eastAsia="仿宋"/>
          <w:sz w:val="24"/>
        </w:rPr>
        <w:t>未经甲方同意，不得将送修车辆转厂维修。</w:t>
      </w:r>
    </w:p>
    <w:p w14:paraId="5D989148">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11.乙方不得给予本框架协议“一、维修服务范围”以外的任何单位低于本框架协议的优惠价格，即本框架协议价格是乙方的最优惠价格。</w:t>
      </w:r>
    </w:p>
    <w:p w14:paraId="5AB9C10A">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12.在经营场所的醒目位置悬挂本框架协议第十二条“乙方服务承诺”内容，尺寸不得小于60CM*90CM。</w:t>
      </w:r>
    </w:p>
    <w:p w14:paraId="30C5BDED">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13.公示承诺的机动车维修质量保证期。</w:t>
      </w:r>
    </w:p>
    <w:p w14:paraId="39646A9C">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14、在接待大厅，免费向甲方和托修方提供《江苏省机动车维修结算工时定额与收费指南》的电子查询服务，并有明确指示。</w:t>
      </w:r>
    </w:p>
    <w:p w14:paraId="24AA0F81">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15.乙方在框架协议期内免费为托修方举办一至二次关于汽车维修、维护、保养等方面知识讲座或培训活动。</w:t>
      </w:r>
    </w:p>
    <w:p w14:paraId="77B1325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16.乙方的工时单价、材料进销差价率和其他服务收费向维修行业主管部门备案后2个工作日内书面抄送给甲方。</w:t>
      </w:r>
    </w:p>
    <w:p w14:paraId="0D6E6CE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17.未经甲方同意，不使用任何政府采购相关文字、标识的（含语音）。</w:t>
      </w:r>
    </w:p>
    <w:p w14:paraId="5EC68E7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18.不得拒绝甲方、托修方</w:t>
      </w:r>
      <w:r>
        <w:rPr>
          <w:rFonts w:hint="eastAsia" w:ascii="仿宋" w:hAnsi="仿宋" w:eastAsia="仿宋"/>
          <w:sz w:val="24"/>
          <w:lang w:eastAsia="zh-CN"/>
        </w:rPr>
        <w:t>、</w:t>
      </w:r>
      <w:r>
        <w:rPr>
          <w:rFonts w:hint="eastAsia" w:ascii="仿宋" w:hAnsi="仿宋" w:eastAsia="仿宋" w:cs="Times New Roman"/>
          <w:color w:val="auto"/>
          <w:sz w:val="24"/>
          <w:lang w:eastAsia="zh-CN"/>
        </w:rPr>
        <w:t>公车主管部门</w:t>
      </w:r>
      <w:r>
        <w:rPr>
          <w:rFonts w:hint="eastAsia" w:ascii="仿宋" w:hAnsi="仿宋" w:eastAsia="仿宋"/>
          <w:color w:val="auto"/>
          <w:sz w:val="24"/>
        </w:rPr>
        <w:t>及</w:t>
      </w:r>
      <w:r>
        <w:rPr>
          <w:rFonts w:hint="eastAsia" w:ascii="仿宋" w:hAnsi="仿宋" w:eastAsia="仿宋"/>
          <w:bCs/>
          <w:color w:val="auto"/>
          <w:sz w:val="24"/>
          <w:lang w:eastAsia="zh-CN"/>
        </w:rPr>
        <w:t>邳</w:t>
      </w:r>
      <w:r>
        <w:rPr>
          <w:rFonts w:hint="eastAsia" w:ascii="仿宋" w:hAnsi="仿宋" w:eastAsia="仿宋"/>
          <w:bCs/>
          <w:sz w:val="24"/>
          <w:lang w:eastAsia="zh-CN"/>
        </w:rPr>
        <w:t>州市</w:t>
      </w:r>
      <w:r>
        <w:rPr>
          <w:rFonts w:hint="eastAsia" w:ascii="仿宋" w:hAnsi="仿宋" w:eastAsia="仿宋"/>
          <w:bCs/>
          <w:sz w:val="24"/>
          <w:lang w:val="en-US" w:eastAsia="zh-CN"/>
        </w:rPr>
        <w:t>财政局</w:t>
      </w:r>
      <w:r>
        <w:rPr>
          <w:rFonts w:hint="eastAsia" w:ascii="仿宋" w:hAnsi="仿宋" w:eastAsia="仿宋"/>
          <w:bCs/>
          <w:sz w:val="24"/>
        </w:rPr>
        <w:t>政府采购管理部门</w:t>
      </w:r>
      <w:r>
        <w:rPr>
          <w:rFonts w:hint="eastAsia" w:ascii="仿宋" w:hAnsi="仿宋" w:eastAsia="仿宋"/>
          <w:sz w:val="24"/>
        </w:rPr>
        <w:t>的监督检查。</w:t>
      </w:r>
    </w:p>
    <w:p w14:paraId="0AD91930">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19.将本框架协议价格、乙方服务承诺等内容印制成宣传单，在接车时免费向托修方提供，具体内容和格式由甲方确定。</w:t>
      </w:r>
    </w:p>
    <w:p w14:paraId="660A6B1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20.车辆维修方案：详见乙方响应文件。</w:t>
      </w:r>
    </w:p>
    <w:p w14:paraId="44CB685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十二、乙方服务承诺</w:t>
      </w:r>
    </w:p>
    <w:p w14:paraId="4169206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1.全年每天24小时维修服务，设立应急电话，实行24小时专人值班制度。</w:t>
      </w:r>
    </w:p>
    <w:p w14:paraId="7DA53D6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2.为托修方提供二十四小时服务，在接到托修方求援电话的最短时间内</w:t>
      </w:r>
      <w:r>
        <w:rPr>
          <w:rFonts w:hint="eastAsia" w:ascii="仿宋" w:hAnsi="仿宋" w:eastAsia="仿宋"/>
          <w:sz w:val="24"/>
          <w:highlight w:val="none"/>
        </w:rPr>
        <w:t>（</w:t>
      </w:r>
      <w:r>
        <w:rPr>
          <w:rFonts w:hint="eastAsia" w:ascii="仿宋" w:hAnsi="仿宋" w:eastAsia="仿宋"/>
          <w:sz w:val="24"/>
          <w:highlight w:val="none"/>
          <w:lang w:eastAsia="zh-CN"/>
        </w:rPr>
        <w:t>邳州市</w:t>
      </w:r>
      <w:r>
        <w:rPr>
          <w:rFonts w:hint="eastAsia" w:ascii="仿宋" w:hAnsi="仿宋" w:eastAsia="仿宋"/>
          <w:sz w:val="24"/>
          <w:highlight w:val="none"/>
        </w:rPr>
        <w:t>行政区域内，最长不超过</w:t>
      </w:r>
      <w:r>
        <w:rPr>
          <w:rFonts w:hint="eastAsia" w:ascii="仿宋" w:hAnsi="仿宋" w:eastAsia="仿宋"/>
          <w:sz w:val="24"/>
          <w:highlight w:val="none"/>
          <w:lang w:val="en-US" w:eastAsia="zh-CN"/>
        </w:rPr>
        <w:t>1.5</w:t>
      </w:r>
      <w:r>
        <w:rPr>
          <w:rFonts w:hint="eastAsia" w:ascii="仿宋" w:hAnsi="仿宋" w:eastAsia="仿宋"/>
          <w:sz w:val="24"/>
          <w:highlight w:val="none"/>
        </w:rPr>
        <w:t>小时）</w:t>
      </w:r>
      <w:r>
        <w:rPr>
          <w:rFonts w:hint="eastAsia" w:ascii="仿宋" w:hAnsi="仿宋" w:eastAsia="仿宋"/>
          <w:sz w:val="24"/>
        </w:rPr>
        <w:t>到托修方车辆抛锚地点，予以现场维修或拖至站内维修（车辆施救、停车费免收）。</w:t>
      </w:r>
    </w:p>
    <w:p w14:paraId="44C4A580">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3.对托修方所送车辆随到随修，急用急修，小修不过夜，大修不超过预定期限，保证托修方及时用车。</w:t>
      </w:r>
    </w:p>
    <w:p w14:paraId="4AA121B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4.免费提供技术咨询服务，定期到托修方走访征求意见和建议，不断改进服务质量，以热情、高效、方便、全面的服务满足用户需要。</w:t>
      </w:r>
    </w:p>
    <w:p w14:paraId="1C2E06B8">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.维修的车辆免费洗车。</w:t>
      </w:r>
    </w:p>
    <w:p w14:paraId="32B99B46">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.四轮定位、四轮换位、更换三滤、机油、防冻液免收工时费用。</w:t>
      </w:r>
    </w:p>
    <w:p w14:paraId="371318D8">
      <w:pPr>
        <w:pStyle w:val="8"/>
        <w:keepNext w:val="0"/>
        <w:keepLines w:val="0"/>
        <w:pageBreakBefore w:val="0"/>
        <w:widowControl w:val="0"/>
        <w:numPr>
          <w:ilvl w:val="3"/>
          <w:numId w:val="0"/>
        </w:numPr>
        <w:spacing w:line="400" w:lineRule="exact"/>
        <w:ind w:left="0" w:firstLine="480"/>
        <w:rPr>
          <w:rFonts w:hint="eastAsia" w:ascii="仿宋" w:hAnsi="仿宋" w:eastAsia="仿宋" w:cs="Times New Roman"/>
          <w:sz w:val="24"/>
          <w:szCs w:val="24"/>
          <w:highlight w:val="yellow"/>
          <w:lang w:val="en-US" w:eastAsia="zh-CN" w:bidi="ar-SA"/>
        </w:rPr>
      </w:pP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cs="Times New Roman"/>
          <w:color w:val="auto"/>
          <w:sz w:val="24"/>
          <w:szCs w:val="24"/>
          <w:highlight w:val="none"/>
          <w:lang w:val="en-US" w:eastAsia="zh-CN" w:bidi="ar-SA"/>
        </w:rPr>
        <w:t>入围供应商需在公务用车专用维修工位上方安装监控，要求能全面、清晰记录维修全过程，并保留不少于2个月的视频资料。</w:t>
      </w:r>
    </w:p>
    <w:p w14:paraId="35A6432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lang w:val="en-US" w:eastAsia="zh-CN"/>
        </w:rPr>
        <w:t>8.</w:t>
      </w:r>
      <w:r>
        <w:rPr>
          <w:rFonts w:hint="eastAsia" w:ascii="仿宋" w:hAnsi="仿宋" w:eastAsia="仿宋"/>
          <w:sz w:val="24"/>
        </w:rPr>
        <w:t>其他服务承诺: 详见乙方响应文件。</w:t>
      </w:r>
    </w:p>
    <w:p w14:paraId="5D983626">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十三、违约责任</w:t>
      </w:r>
    </w:p>
    <w:p w14:paraId="687A4EDC">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1.乙方应按“维修委托单”规定的期限完成维修工作，如逾期未能完成，则乙方应向托修方每日交付该车辆维修费的5%作为违约金。该费用从支付给乙方的维修费中扣减。</w:t>
      </w:r>
    </w:p>
    <w:p w14:paraId="75EDC223">
      <w:pPr>
        <w:keepNext w:val="0"/>
        <w:keepLines w:val="0"/>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 xml:space="preserve">    2.如托修方送修车辆在乙方维修期间出现丢失或损毁，乙方应承担赔偿责任。</w:t>
      </w:r>
    </w:p>
    <w:p w14:paraId="27D9EB46">
      <w:pPr>
        <w:keepNext w:val="0"/>
        <w:keepLines w:val="0"/>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 xml:space="preserve">    3.如因乙方维修质量问题造成托修方损失的，乙方应承担赔偿责任。</w:t>
      </w:r>
    </w:p>
    <w:p w14:paraId="552423B1">
      <w:pPr>
        <w:pStyle w:val="3"/>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color w:val="auto"/>
          <w:sz w:val="24"/>
        </w:rPr>
      </w:pPr>
      <w:r>
        <w:rPr>
          <w:rFonts w:ascii="仿宋" w:hAnsi="仿宋" w:eastAsia="仿宋" w:cs="仿宋"/>
          <w:sz w:val="24"/>
        </w:rPr>
        <w:t>4.乙方违反本协议中第二条、第三条、第四条、第七条、第十一条乙方的义务中1、2、3、4、6、7、9、12、13.14、15、16、17、19、20项及第十二条等规定，经调查属实的，第一次发生的</w:t>
      </w:r>
      <w:r>
        <w:rPr>
          <w:rFonts w:ascii="仿宋" w:hAnsi="仿宋" w:eastAsia="仿宋" w:cs="仿宋"/>
          <w:color w:val="auto"/>
          <w:sz w:val="24"/>
        </w:rPr>
        <w:t>，</w:t>
      </w:r>
      <w:r>
        <w:rPr>
          <w:rFonts w:hint="eastAsia" w:ascii="仿宋" w:hAnsi="仿宋" w:eastAsia="仿宋" w:cs="Times New Roman"/>
          <w:color w:val="auto"/>
          <w:sz w:val="24"/>
          <w:szCs w:val="24"/>
          <w:lang w:val="en-US" w:eastAsia="zh-CN" w:bidi="ar-SA"/>
        </w:rPr>
        <w:t>邳州市机关事务服务中心和</w:t>
      </w:r>
      <w:r>
        <w:rPr>
          <w:rFonts w:ascii="仿宋" w:hAnsi="仿宋" w:eastAsia="仿宋" w:cs="仿宋"/>
          <w:color w:val="auto"/>
          <w:sz w:val="24"/>
        </w:rPr>
        <w:t>甲方有权要求乙方限定时间完成整改，并视作差评，记录在案；第二次发生的，</w:t>
      </w:r>
      <w:r>
        <w:rPr>
          <w:rFonts w:hint="eastAsia" w:ascii="仿宋" w:hAnsi="仿宋" w:eastAsia="仿宋" w:cs="Times New Roman"/>
          <w:color w:val="auto"/>
          <w:sz w:val="24"/>
          <w:szCs w:val="24"/>
          <w:lang w:val="en-US" w:eastAsia="zh-CN" w:bidi="ar-SA"/>
        </w:rPr>
        <w:t>邳州市机关事务服务中心和</w:t>
      </w:r>
      <w:r>
        <w:rPr>
          <w:rFonts w:ascii="仿宋" w:hAnsi="仿宋" w:eastAsia="仿宋" w:cs="仿宋"/>
          <w:color w:val="auto"/>
          <w:sz w:val="24"/>
        </w:rPr>
        <w:t>甲方有权要求乙方限定时间完成整改，并暂停框架协议交易资格三个月，在框架协议系统公示；第三次发生的，</w:t>
      </w:r>
      <w:r>
        <w:rPr>
          <w:rFonts w:hint="eastAsia" w:ascii="仿宋" w:hAnsi="仿宋" w:eastAsia="仿宋" w:cs="Times New Roman"/>
          <w:color w:val="auto"/>
          <w:sz w:val="24"/>
          <w:szCs w:val="24"/>
          <w:lang w:val="en-US" w:eastAsia="zh-CN" w:bidi="ar-SA"/>
        </w:rPr>
        <w:t>邳州市机关事务服务中心和</w:t>
      </w:r>
      <w:r>
        <w:rPr>
          <w:rFonts w:ascii="仿宋" w:hAnsi="仿宋" w:eastAsia="仿宋" w:cs="仿宋"/>
          <w:color w:val="auto"/>
          <w:sz w:val="24"/>
        </w:rPr>
        <w:t>甲方有权单方终止与乙方的本框架协议，并在框架协议系统公示。</w:t>
      </w:r>
    </w:p>
    <w:p w14:paraId="7127FD08">
      <w:pPr>
        <w:pStyle w:val="3"/>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ascii="仿宋" w:hAnsi="仿宋" w:eastAsia="仿宋" w:cs="仿宋"/>
          <w:color w:val="auto"/>
          <w:sz w:val="24"/>
        </w:rPr>
        <w:t>5.乙方违反本框架协议中下述任一条款规定，一经发现，调查属实的，</w:t>
      </w:r>
      <w:r>
        <w:rPr>
          <w:rFonts w:hint="eastAsia" w:ascii="仿宋" w:hAnsi="仿宋" w:eastAsia="仿宋" w:cs="Times New Roman"/>
          <w:color w:val="auto"/>
          <w:sz w:val="24"/>
          <w:szCs w:val="24"/>
          <w:lang w:val="en-US" w:eastAsia="zh-CN" w:bidi="ar-SA"/>
        </w:rPr>
        <w:t>邳州市机关事务服务中心和</w:t>
      </w:r>
      <w:r>
        <w:rPr>
          <w:rFonts w:ascii="仿宋" w:hAnsi="仿宋" w:eastAsia="仿宋" w:cs="仿宋"/>
          <w:color w:val="auto"/>
          <w:sz w:val="24"/>
        </w:rPr>
        <w:t>甲方有权单方终止与乙方的本框架协议，并在框架协</w:t>
      </w:r>
      <w:r>
        <w:rPr>
          <w:rFonts w:ascii="仿宋" w:hAnsi="仿宋" w:eastAsia="仿宋" w:cs="仿宋"/>
          <w:sz w:val="24"/>
        </w:rPr>
        <w:t>议系统公示。</w:t>
      </w:r>
    </w:p>
    <w:p w14:paraId="7C7DECC1">
      <w:pPr>
        <w:pStyle w:val="3"/>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ascii="仿宋" w:hAnsi="仿宋" w:eastAsia="仿宋" w:cs="仿宋"/>
          <w:sz w:val="24"/>
        </w:rPr>
        <w:t xml:space="preserve">（1）第一条  维修服务范围； </w:t>
      </w:r>
    </w:p>
    <w:p w14:paraId="32339130">
      <w:pPr>
        <w:pStyle w:val="3"/>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ascii="仿宋" w:hAnsi="仿宋" w:eastAsia="仿宋" w:cs="仿宋"/>
          <w:sz w:val="24"/>
        </w:rPr>
        <w:t>（2）第五条  维修费用；</w:t>
      </w:r>
    </w:p>
    <w:p w14:paraId="1A1633AA">
      <w:pPr>
        <w:pStyle w:val="3"/>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ascii="仿宋" w:hAnsi="仿宋" w:eastAsia="仿宋" w:cs="仿宋"/>
          <w:sz w:val="24"/>
        </w:rPr>
        <w:t>（3）第六条  质量保证；</w:t>
      </w:r>
    </w:p>
    <w:p w14:paraId="50A160B9">
      <w:pPr>
        <w:pStyle w:val="3"/>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cs="仿宋"/>
          <w:sz w:val="24"/>
        </w:rPr>
      </w:pPr>
      <w:r>
        <w:rPr>
          <w:rFonts w:ascii="仿宋" w:hAnsi="仿宋" w:eastAsia="仿宋" w:cs="仿宋"/>
          <w:sz w:val="24"/>
        </w:rPr>
        <w:t>（4）第十一条  乙方的义务 第5、8、10、11、18项。</w:t>
      </w:r>
    </w:p>
    <w:p w14:paraId="169D98D3">
      <w:pPr>
        <w:keepNext w:val="0"/>
        <w:keepLines w:val="0"/>
        <w:kinsoku/>
        <w:wordWrap/>
        <w:overflowPunct/>
        <w:topLinePunct w:val="0"/>
        <w:autoSpaceDE/>
        <w:autoSpaceDN/>
        <w:bidi w:val="0"/>
        <w:adjustRightInd/>
        <w:snapToGrid/>
        <w:spacing w:line="360" w:lineRule="auto"/>
        <w:ind w:left="495" w:right="17"/>
        <w:textAlignment w:val="auto"/>
        <w:rPr>
          <w:rFonts w:ascii="仿宋" w:hAnsi="仿宋" w:eastAsia="仿宋"/>
          <w:sz w:val="24"/>
        </w:rPr>
      </w:pPr>
      <w:r>
        <w:rPr>
          <w:rFonts w:hint="eastAsia" w:ascii="仿宋" w:hAnsi="仿宋" w:eastAsia="仿宋"/>
          <w:sz w:val="24"/>
        </w:rPr>
        <w:t xml:space="preserve"> 十四、投诉</w:t>
      </w:r>
    </w:p>
    <w:p w14:paraId="367F6F1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为了保障双方的权益，本框架协议建立投诉监管制度。其具体方式为：</w:t>
      </w:r>
    </w:p>
    <w:p w14:paraId="66C4F458">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1.托修方和乙方可就维修质量、服务等问题向</w:t>
      </w:r>
      <w:r>
        <w:rPr>
          <w:rFonts w:hint="eastAsia" w:ascii="仿宋" w:hAnsi="仿宋" w:eastAsia="仿宋"/>
          <w:sz w:val="24"/>
          <w:lang w:eastAsia="zh-CN"/>
        </w:rPr>
        <w:t>邳州市</w:t>
      </w:r>
      <w:r>
        <w:rPr>
          <w:rFonts w:hint="eastAsia" w:ascii="仿宋" w:hAnsi="仿宋" w:eastAsia="仿宋"/>
          <w:sz w:val="24"/>
        </w:rPr>
        <w:t>政府采购监督管理部门、</w:t>
      </w:r>
      <w:r>
        <w:rPr>
          <w:rFonts w:hint="eastAsia" w:ascii="仿宋" w:hAnsi="仿宋" w:eastAsia="仿宋"/>
          <w:sz w:val="24"/>
          <w:lang w:eastAsia="zh-CN"/>
        </w:rPr>
        <w:t>邳州市</w:t>
      </w:r>
      <w:r>
        <w:rPr>
          <w:rFonts w:hint="eastAsia" w:ascii="仿宋" w:hAnsi="仿宋" w:eastAsia="仿宋"/>
          <w:sz w:val="24"/>
        </w:rPr>
        <w:t>行业主管部门</w:t>
      </w:r>
      <w:r>
        <w:rPr>
          <w:rFonts w:hint="eastAsia" w:ascii="仿宋" w:hAnsi="仿宋" w:eastAsia="仿宋"/>
          <w:color w:val="auto"/>
          <w:sz w:val="24"/>
          <w:lang w:eastAsia="zh-CN"/>
        </w:rPr>
        <w:t>、</w:t>
      </w:r>
      <w:r>
        <w:rPr>
          <w:rFonts w:hint="eastAsia" w:ascii="仿宋" w:hAnsi="仿宋" w:eastAsia="仿宋" w:cs="Times New Roman"/>
          <w:color w:val="auto"/>
          <w:sz w:val="24"/>
          <w:szCs w:val="24"/>
          <w:lang w:val="en-US" w:eastAsia="zh-CN" w:bidi="ar-SA"/>
        </w:rPr>
        <w:t>邳州市机关事务服务中心</w:t>
      </w:r>
      <w:r>
        <w:rPr>
          <w:rFonts w:hint="eastAsia" w:ascii="仿宋" w:hAnsi="仿宋" w:eastAsia="仿宋"/>
          <w:color w:val="auto"/>
          <w:sz w:val="24"/>
        </w:rPr>
        <w:t>或</w:t>
      </w:r>
      <w:r>
        <w:rPr>
          <w:rFonts w:hint="eastAsia" w:ascii="仿宋" w:hAnsi="仿宋" w:eastAsia="仿宋"/>
          <w:sz w:val="24"/>
        </w:rPr>
        <w:t>甲方投诉。</w:t>
      </w:r>
    </w:p>
    <w:p w14:paraId="72DFB952">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2.经核查，如情况属实则该投诉有效，乙方须按本框架协议约定承担违约责任，并作为年度考核的主要依据。</w:t>
      </w:r>
    </w:p>
    <w:p w14:paraId="01D75089">
      <w:pPr>
        <w:keepNext w:val="0"/>
        <w:keepLines w:val="0"/>
        <w:kinsoku/>
        <w:wordWrap/>
        <w:overflowPunct/>
        <w:topLinePunct w:val="0"/>
        <w:autoSpaceDE/>
        <w:autoSpaceDN/>
        <w:bidi w:val="0"/>
        <w:adjustRightInd/>
        <w:snapToGrid/>
        <w:spacing w:line="360" w:lineRule="auto"/>
        <w:textAlignment w:val="auto"/>
        <w:rPr>
          <w:rFonts w:ascii="仿宋" w:hAnsi="仿宋" w:eastAsia="仿宋"/>
          <w:sz w:val="24"/>
          <w:highlight w:val="yellow"/>
        </w:rPr>
      </w:pPr>
      <w:r>
        <w:rPr>
          <w:rFonts w:hint="eastAsia" w:ascii="仿宋" w:hAnsi="仿宋" w:eastAsia="仿宋"/>
          <w:sz w:val="24"/>
        </w:rPr>
        <w:t xml:space="preserve">    十五、框架协议期限：两年，</w:t>
      </w:r>
      <w:r>
        <w:rPr>
          <w:rFonts w:hint="eastAsia" w:ascii="仿宋" w:hAnsi="仿宋" w:eastAsia="仿宋"/>
          <w:sz w:val="24"/>
          <w:highlight w:val="none"/>
        </w:rPr>
        <w:t>自</w:t>
      </w:r>
      <w:r>
        <w:rPr>
          <w:rFonts w:hint="eastAsia" w:ascii="仿宋" w:hAnsi="仿宋" w:eastAsia="仿宋" w:cs="仿宋"/>
          <w:sz w:val="24"/>
          <w:highlight w:val="none"/>
        </w:rPr>
        <w:t>本框架协议签订之日</w:t>
      </w:r>
      <w:r>
        <w:rPr>
          <w:rFonts w:hint="eastAsia" w:ascii="仿宋" w:hAnsi="仿宋" w:eastAsia="仿宋"/>
          <w:sz w:val="24"/>
          <w:highlight w:val="none"/>
        </w:rPr>
        <w:t>起至   年  月  日止。</w:t>
      </w:r>
    </w:p>
    <w:p w14:paraId="3526C635">
      <w:pPr>
        <w:keepNext w:val="0"/>
        <w:keepLine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rPr>
          <w:rFonts w:ascii="仿宋" w:hAnsi="仿宋" w:eastAsia="仿宋"/>
          <w:bCs/>
          <w:sz w:val="24"/>
        </w:rPr>
      </w:pPr>
      <w:r>
        <w:rPr>
          <w:rFonts w:hint="eastAsia" w:ascii="仿宋" w:hAnsi="仿宋" w:eastAsia="仿宋"/>
          <w:sz w:val="24"/>
        </w:rPr>
        <w:t>十六、采购</w:t>
      </w:r>
      <w:r>
        <w:rPr>
          <w:rFonts w:ascii="仿宋" w:hAnsi="仿宋" w:eastAsia="仿宋" w:cs="黑体"/>
          <w:bCs/>
          <w:sz w:val="24"/>
        </w:rPr>
        <w:t>合同</w:t>
      </w:r>
      <w:r>
        <w:rPr>
          <w:rFonts w:hint="eastAsia" w:ascii="仿宋" w:hAnsi="仿宋" w:eastAsia="仿宋" w:cs="黑体"/>
          <w:bCs/>
          <w:sz w:val="24"/>
        </w:rPr>
        <w:t>（维修委托单）</w:t>
      </w:r>
      <w:r>
        <w:rPr>
          <w:rFonts w:ascii="仿宋" w:hAnsi="仿宋" w:eastAsia="仿宋" w:cs="黑体"/>
          <w:bCs/>
          <w:sz w:val="24"/>
        </w:rPr>
        <w:t>授予</w:t>
      </w:r>
    </w:p>
    <w:p w14:paraId="7A1861AC">
      <w:pPr>
        <w:keepNext w:val="0"/>
        <w:keepLine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rPr>
          <w:rFonts w:ascii="仿宋" w:hAnsi="仿宋" w:eastAsia="仿宋"/>
        </w:rPr>
      </w:pPr>
      <w:r>
        <w:rPr>
          <w:rFonts w:ascii="仿宋" w:hAnsi="仿宋" w:eastAsia="仿宋" w:cs="宋体"/>
          <w:sz w:val="24"/>
        </w:rPr>
        <w:t>确定第二阶段成交供应商由</w:t>
      </w:r>
      <w:r>
        <w:rPr>
          <w:rFonts w:hint="eastAsia" w:ascii="仿宋" w:hAnsi="仿宋" w:eastAsia="仿宋" w:cs="宋体"/>
          <w:sz w:val="24"/>
        </w:rPr>
        <w:t>托修方</w:t>
      </w:r>
      <w:r>
        <w:rPr>
          <w:rFonts w:ascii="仿宋" w:hAnsi="仿宋" w:eastAsia="仿宋" w:cs="宋体"/>
          <w:sz w:val="24"/>
        </w:rPr>
        <w:t>依据入围产品价格、质量以及服务便利性、用户评价等因素，从第一阶段入围供应商中直接选定。</w:t>
      </w:r>
    </w:p>
    <w:p w14:paraId="4AAA6163">
      <w:pPr>
        <w:pStyle w:val="5"/>
        <w:keepNext w:val="0"/>
        <w:keepLines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ascii="仿宋" w:hAnsi="仿宋" w:eastAsia="仿宋" w:cs="仿宋_GB2312"/>
        </w:rPr>
      </w:pPr>
      <w:r>
        <w:rPr>
          <w:rFonts w:hint="eastAsia" w:ascii="仿宋" w:hAnsi="仿宋" w:eastAsia="仿宋" w:cs="仿宋_GB2312"/>
          <w:bCs/>
        </w:rPr>
        <w:t>十七、入围供应商清退和补充规则</w:t>
      </w:r>
      <w:r>
        <w:rPr>
          <w:rFonts w:hint="eastAsia" w:ascii="仿宋" w:hAnsi="仿宋" w:eastAsia="仿宋" w:cs="仿宋_GB2312"/>
        </w:rPr>
        <w:t>：</w:t>
      </w:r>
    </w:p>
    <w:p w14:paraId="3531E065">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cs="仿宋_GB2312"/>
        </w:rPr>
        <w:t>1.</w:t>
      </w:r>
      <w:r>
        <w:rPr>
          <w:rFonts w:hint="eastAsia" w:ascii="仿宋" w:hAnsi="仿宋" w:eastAsia="仿宋" w:cs="仿宋_GB2312"/>
          <w:bCs/>
          <w:sz w:val="24"/>
        </w:rPr>
        <w:t>入围供应商清退规则：见本协</w:t>
      </w:r>
      <w:r>
        <w:rPr>
          <w:rFonts w:hint="eastAsia" w:ascii="仿宋" w:hAnsi="仿宋" w:eastAsia="仿宋" w:cs="仿宋_GB2312"/>
          <w:bCs/>
        </w:rPr>
        <w:t>议“</w:t>
      </w:r>
      <w:r>
        <w:rPr>
          <w:rFonts w:hint="eastAsia" w:ascii="仿宋" w:hAnsi="仿宋" w:eastAsia="仿宋"/>
          <w:sz w:val="24"/>
        </w:rPr>
        <w:t>十三、违约责任”第4条、第5条内容。</w:t>
      </w:r>
    </w:p>
    <w:p w14:paraId="0304D789">
      <w:pPr>
        <w:pStyle w:val="5"/>
        <w:keepNext w:val="0"/>
        <w:keepLines w:val="0"/>
        <w:kinsoku/>
        <w:wordWrap/>
        <w:overflowPunct/>
        <w:topLinePunct w:val="0"/>
        <w:autoSpaceDE/>
        <w:autoSpaceDN/>
        <w:bidi w:val="0"/>
        <w:adjustRightInd/>
        <w:snapToGrid/>
        <w:spacing w:before="0" w:beforeAutospacing="0" w:after="0" w:afterAutospacing="0" w:line="360" w:lineRule="auto"/>
        <w:ind w:firstLine="420"/>
        <w:jc w:val="both"/>
        <w:textAlignment w:val="auto"/>
      </w:pPr>
      <w:r>
        <w:rPr>
          <w:rFonts w:hint="eastAsia" w:ascii="仿宋" w:hAnsi="仿宋" w:eastAsia="仿宋" w:cs="仿宋_GB2312"/>
        </w:rPr>
        <w:t>2.</w:t>
      </w:r>
      <w:r>
        <w:rPr>
          <w:rFonts w:hint="eastAsia" w:ascii="仿宋" w:hAnsi="仿宋" w:eastAsia="仿宋" w:cs="仿宋_GB2312"/>
          <w:bCs/>
        </w:rPr>
        <w:t>入围供应商补充规则：</w:t>
      </w:r>
      <w:r>
        <w:rPr>
          <w:rFonts w:hint="eastAsia" w:ascii="仿宋" w:hAnsi="仿宋" w:eastAsia="仿宋" w:cs="仿宋"/>
        </w:rPr>
        <w:t>剩余入围供应商不足入围供应商总数70%且影响框架协议执行的情形时，甲方有权在框架协议有效期内补充征集服务供应商。</w:t>
      </w:r>
    </w:p>
    <w:p w14:paraId="2FB95A6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十八、争议及解决</w:t>
      </w:r>
    </w:p>
    <w:p w14:paraId="0DB6BF2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如双方在履行框架协议时发生纠纷，应尽量协商解决。协商不成，任何一方有权向甲方所在地人民法院提起诉讼。</w:t>
      </w:r>
    </w:p>
    <w:p w14:paraId="69F8DECD">
      <w:pPr>
        <w:keepNext w:val="0"/>
        <w:keepLines w:val="0"/>
        <w:kinsoku/>
        <w:wordWrap/>
        <w:overflowPunct/>
        <w:topLinePunct w:val="0"/>
        <w:autoSpaceDE/>
        <w:autoSpaceDN/>
        <w:bidi w:val="0"/>
        <w:adjustRightInd/>
        <w:snapToGrid/>
        <w:spacing w:line="360" w:lineRule="auto"/>
        <w:ind w:left="120" w:firstLine="420"/>
        <w:textAlignment w:val="auto"/>
        <w:rPr>
          <w:rFonts w:ascii="仿宋" w:hAnsi="仿宋" w:eastAsia="仿宋"/>
          <w:sz w:val="24"/>
        </w:rPr>
      </w:pPr>
      <w:r>
        <w:rPr>
          <w:rFonts w:hint="eastAsia" w:ascii="仿宋" w:hAnsi="仿宋" w:eastAsia="仿宋"/>
          <w:color w:val="auto"/>
          <w:sz w:val="24"/>
        </w:rPr>
        <w:t>十九、本框架协议一式</w:t>
      </w:r>
      <w:r>
        <w:rPr>
          <w:rFonts w:hint="eastAsia" w:ascii="仿宋" w:hAnsi="仿宋" w:eastAsia="仿宋"/>
          <w:color w:val="auto"/>
          <w:sz w:val="24"/>
          <w:lang w:val="en-US" w:eastAsia="zh-CN"/>
        </w:rPr>
        <w:t>四</w:t>
      </w:r>
      <w:r>
        <w:rPr>
          <w:rFonts w:hint="eastAsia" w:ascii="仿宋" w:hAnsi="仿宋" w:eastAsia="仿宋"/>
          <w:color w:val="auto"/>
          <w:sz w:val="24"/>
        </w:rPr>
        <w:t>份，具有同等法律效力，甲方一份，乙方一份，</w:t>
      </w:r>
      <w:r>
        <w:rPr>
          <w:rFonts w:hint="eastAsia" w:ascii="仿宋" w:hAnsi="仿宋" w:eastAsia="仿宋" w:cs="Times New Roman"/>
          <w:color w:val="auto"/>
          <w:sz w:val="24"/>
          <w:szCs w:val="24"/>
          <w:lang w:val="en-US" w:eastAsia="zh-CN" w:bidi="ar-SA"/>
        </w:rPr>
        <w:t>邳州市机关事务服务中心一份、</w:t>
      </w:r>
      <w:r>
        <w:rPr>
          <w:rFonts w:hint="eastAsia" w:ascii="仿宋" w:hAnsi="仿宋" w:eastAsia="仿宋"/>
          <w:color w:val="auto"/>
          <w:sz w:val="24"/>
        </w:rPr>
        <w:t>政府采购监督管理部门一份</w:t>
      </w:r>
      <w:r>
        <w:rPr>
          <w:rFonts w:hint="eastAsia" w:ascii="仿宋" w:hAnsi="仿宋" w:eastAsia="仿宋"/>
          <w:sz w:val="24"/>
        </w:rPr>
        <w:t>备案。</w:t>
      </w:r>
    </w:p>
    <w:p w14:paraId="61B40FC0">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二十、本框架协议经双方签字、盖章后立即生效。</w:t>
      </w:r>
    </w:p>
    <w:p w14:paraId="653E6FA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二十一、本框架协议执行的国家标准、行业规范或其他相关部门规定，如遇国家、省、市及相关行业进行更新的，按照更新后的要求执行。</w:t>
      </w:r>
    </w:p>
    <w:p w14:paraId="7E6939C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二十二、本框架协议其他未尽事宜及与征集文件有矛盾之处，以征集文件[</w:t>
      </w:r>
      <w:r>
        <w:rPr>
          <w:rFonts w:hint="eastAsia" w:ascii="仿宋" w:hAnsi="仿宋" w:eastAsia="仿宋"/>
          <w:sz w:val="24"/>
          <w:highlight w:val="none"/>
        </w:rPr>
        <w:t>项目编号：</w:t>
      </w:r>
      <w:r>
        <w:rPr>
          <w:rFonts w:hint="eastAsia" w:ascii="仿宋" w:hAnsi="仿宋" w:eastAsia="仿宋"/>
          <w:sz w:val="24"/>
          <w:highlight w:val="none"/>
          <w:lang w:val="en-US" w:eastAsia="zh-CN"/>
        </w:rPr>
        <w:t xml:space="preserve">                   </w:t>
      </w:r>
      <w:r>
        <w:rPr>
          <w:rFonts w:hint="eastAsia" w:ascii="仿宋" w:hAnsi="仿宋" w:eastAsia="仿宋"/>
          <w:sz w:val="24"/>
          <w:highlight w:val="none"/>
        </w:rPr>
        <w:t>]</w:t>
      </w:r>
      <w:r>
        <w:rPr>
          <w:rFonts w:hint="eastAsia" w:ascii="仿宋" w:hAnsi="仿宋" w:eastAsia="仿宋"/>
          <w:sz w:val="24"/>
        </w:rPr>
        <w:t>为准。</w:t>
      </w:r>
    </w:p>
    <w:p w14:paraId="267A4BE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 xml:space="preserve">甲方（单位盖章）：                   乙方（单位盖章）： </w:t>
      </w:r>
    </w:p>
    <w:p w14:paraId="547DA00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7F4B522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法定代表人（签字或盖章）：           法定代表人：（签字或盖章）</w:t>
      </w:r>
    </w:p>
    <w:p w14:paraId="2436F99B">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2E8D9722">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地址：                               地址：</w:t>
      </w:r>
    </w:p>
    <w:p w14:paraId="3780C783">
      <w:pPr>
        <w:pStyle w:val="2"/>
        <w:keepNext w:val="0"/>
        <w:keepLines w:val="0"/>
        <w:kinsoku/>
        <w:wordWrap/>
        <w:overflowPunct/>
        <w:topLinePunct w:val="0"/>
        <w:autoSpaceDE/>
        <w:autoSpaceDN/>
        <w:bidi w:val="0"/>
        <w:adjustRightInd/>
        <w:snapToGrid/>
        <w:spacing w:line="360" w:lineRule="auto"/>
        <w:textAlignment w:val="auto"/>
      </w:pPr>
    </w:p>
    <w:p w14:paraId="7C998B5D">
      <w:pPr>
        <w:pStyle w:val="2"/>
        <w:keepNext w:val="0"/>
        <w:keepLines w:val="0"/>
        <w:kinsoku/>
        <w:wordWrap/>
        <w:overflowPunct/>
        <w:topLinePunct w:val="0"/>
        <w:autoSpaceDE/>
        <w:autoSpaceDN/>
        <w:bidi w:val="0"/>
        <w:adjustRightInd/>
        <w:snapToGrid/>
        <w:spacing w:line="360" w:lineRule="auto"/>
        <w:textAlignment w:val="auto"/>
        <w:rPr>
          <w:rFonts w:ascii="仿宋" w:hAnsi="仿宋" w:eastAsia="仿宋"/>
          <w:sz w:val="24"/>
          <w:szCs w:val="24"/>
        </w:rPr>
      </w:pPr>
      <w:r>
        <w:rPr>
          <w:rFonts w:hint="eastAsia" w:ascii="仿宋" w:hAnsi="仿宋" w:eastAsia="仿宋"/>
          <w:sz w:val="24"/>
          <w:szCs w:val="24"/>
        </w:rPr>
        <w:t xml:space="preserve">     联系电话：                           联系电话：</w:t>
      </w:r>
    </w:p>
    <w:p w14:paraId="18D72255">
      <w:pPr>
        <w:keepNext w:val="0"/>
        <w:keepLines w:val="0"/>
        <w:kinsoku/>
        <w:wordWrap/>
        <w:overflowPunct/>
        <w:topLinePunct w:val="0"/>
        <w:autoSpaceDE/>
        <w:autoSpaceDN/>
        <w:bidi w:val="0"/>
        <w:adjustRightInd/>
        <w:snapToGrid/>
        <w:spacing w:line="360" w:lineRule="auto"/>
        <w:ind w:firstLine="1020"/>
        <w:textAlignment w:val="auto"/>
        <w:rPr>
          <w:rFonts w:ascii="仿宋" w:hAnsi="仿宋" w:eastAsia="仿宋"/>
        </w:rPr>
      </w:pPr>
      <w:r>
        <w:rPr>
          <w:rFonts w:hint="eastAsia" w:ascii="仿宋" w:hAnsi="仿宋" w:eastAsia="仿宋"/>
          <w:sz w:val="24"/>
        </w:rPr>
        <w:t>年    月   日                       年   月   日</w:t>
      </w:r>
    </w:p>
    <w:p w14:paraId="2E806BC8">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r>
        <w:rPr>
          <w:rFonts w:hint="eastAsia" w:ascii="仿宋" w:hAnsi="仿宋" w:eastAsia="仿宋" w:cs="宋体"/>
          <w:sz w:val="24"/>
        </w:rPr>
        <w:br w:type="page" w:clear="all"/>
      </w:r>
      <w:r>
        <w:rPr>
          <w:rFonts w:hint="eastAsia" w:ascii="仿宋" w:hAnsi="仿宋" w:eastAsia="仿宋" w:cs="宋体"/>
          <w:sz w:val="24"/>
        </w:rPr>
        <w:t xml:space="preserve">附件一： </w:t>
      </w:r>
    </w:p>
    <w:p w14:paraId="75A15A8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6"/>
          <w:szCs w:val="36"/>
        </w:rPr>
      </w:pPr>
      <w:r>
        <w:rPr>
          <w:rFonts w:hint="eastAsia" w:ascii="仿宋" w:hAnsi="仿宋" w:eastAsia="仿宋" w:cs="宋体"/>
          <w:sz w:val="36"/>
          <w:szCs w:val="36"/>
        </w:rPr>
        <w:t>公务用车维修费用执行价格一览表</w:t>
      </w:r>
    </w:p>
    <w:tbl>
      <w:tblPr>
        <w:tblStyle w:val="6"/>
        <w:tblW w:w="9680" w:type="dxa"/>
        <w:tblInd w:w="-300" w:type="dxa"/>
        <w:tblLayout w:type="fixed"/>
        <w:tblCellMar>
          <w:top w:w="0" w:type="dxa"/>
          <w:left w:w="0" w:type="dxa"/>
          <w:bottom w:w="0" w:type="dxa"/>
          <w:right w:w="0" w:type="dxa"/>
        </w:tblCellMar>
      </w:tblPr>
      <w:tblGrid>
        <w:gridCol w:w="640"/>
        <w:gridCol w:w="3551"/>
        <w:gridCol w:w="1754"/>
        <w:gridCol w:w="2296"/>
        <w:gridCol w:w="1439"/>
      </w:tblGrid>
      <w:tr w14:paraId="67005186">
        <w:tblPrEx>
          <w:tblCellMar>
            <w:top w:w="0" w:type="dxa"/>
            <w:left w:w="0" w:type="dxa"/>
            <w:bottom w:w="0" w:type="dxa"/>
            <w:right w:w="0" w:type="dxa"/>
          </w:tblCellMar>
        </w:tblPrEx>
        <w:trPr>
          <w:trHeight w:val="285" w:hRule="atLeast"/>
        </w:trPr>
        <w:tc>
          <w:tcPr>
            <w:tcW w:w="640"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690B7D67">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序号</w:t>
            </w:r>
          </w:p>
        </w:tc>
        <w:tc>
          <w:tcPr>
            <w:tcW w:w="3551"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06714F2E">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公务用车维修单位（承修方）</w:t>
            </w:r>
          </w:p>
        </w:tc>
        <w:tc>
          <w:tcPr>
            <w:tcW w:w="5489"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0839C04">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维修费用执行价格</w:t>
            </w:r>
          </w:p>
        </w:tc>
      </w:tr>
      <w:tr w14:paraId="6C7C6586">
        <w:tblPrEx>
          <w:tblCellMar>
            <w:top w:w="0" w:type="dxa"/>
            <w:left w:w="0" w:type="dxa"/>
            <w:bottom w:w="0" w:type="dxa"/>
            <w:right w:w="0" w:type="dxa"/>
          </w:tblCellMar>
        </w:tblPrEx>
        <w:trPr>
          <w:trHeight w:val="285" w:hRule="atLeast"/>
        </w:trPr>
        <w:tc>
          <w:tcPr>
            <w:tcW w:w="640" w:type="dxa"/>
            <w:vMerge w:val="continue"/>
            <w:tcBorders>
              <w:top w:val="single" w:color="auto" w:sz="4" w:space="0"/>
              <w:left w:val="single" w:color="auto" w:sz="4" w:space="0"/>
              <w:bottom w:val="single" w:color="000000" w:sz="4" w:space="0"/>
              <w:right w:val="single" w:color="auto" w:sz="4" w:space="0"/>
            </w:tcBorders>
            <w:noWrap w:val="0"/>
            <w:vAlign w:val="center"/>
          </w:tcPr>
          <w:p w14:paraId="32590475">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p>
        </w:tc>
        <w:tc>
          <w:tcPr>
            <w:tcW w:w="3551" w:type="dxa"/>
            <w:vMerge w:val="continue"/>
            <w:tcBorders>
              <w:top w:val="single" w:color="auto" w:sz="4" w:space="0"/>
              <w:left w:val="single" w:color="auto" w:sz="4" w:space="0"/>
              <w:bottom w:val="single" w:color="000000" w:sz="4" w:space="0"/>
              <w:right w:val="single" w:color="auto" w:sz="4" w:space="0"/>
            </w:tcBorders>
            <w:noWrap w:val="0"/>
            <w:vAlign w:val="center"/>
          </w:tcPr>
          <w:p w14:paraId="243FFA0A">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p>
        </w:tc>
        <w:tc>
          <w:tcPr>
            <w:tcW w:w="4050"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D5848F9">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工时费用</w:t>
            </w:r>
          </w:p>
        </w:tc>
        <w:tc>
          <w:tcPr>
            <w:tcW w:w="1439"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4EE19402">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材料进销差价率%</w:t>
            </w:r>
          </w:p>
        </w:tc>
      </w:tr>
      <w:tr w14:paraId="1676CDBD">
        <w:tblPrEx>
          <w:tblCellMar>
            <w:top w:w="0" w:type="dxa"/>
            <w:left w:w="0" w:type="dxa"/>
            <w:bottom w:w="0" w:type="dxa"/>
            <w:right w:w="0" w:type="dxa"/>
          </w:tblCellMar>
        </w:tblPrEx>
        <w:trPr>
          <w:trHeight w:val="705" w:hRule="atLeast"/>
        </w:trPr>
        <w:tc>
          <w:tcPr>
            <w:tcW w:w="640" w:type="dxa"/>
            <w:vMerge w:val="continue"/>
            <w:tcBorders>
              <w:top w:val="single" w:color="auto" w:sz="4" w:space="0"/>
              <w:left w:val="single" w:color="auto" w:sz="4" w:space="0"/>
              <w:bottom w:val="single" w:color="000000" w:sz="4" w:space="0"/>
              <w:right w:val="single" w:color="auto" w:sz="4" w:space="0"/>
            </w:tcBorders>
            <w:noWrap w:val="0"/>
            <w:vAlign w:val="center"/>
          </w:tcPr>
          <w:p w14:paraId="05DE6959">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p>
        </w:tc>
        <w:tc>
          <w:tcPr>
            <w:tcW w:w="3551" w:type="dxa"/>
            <w:vMerge w:val="continue"/>
            <w:tcBorders>
              <w:top w:val="single" w:color="auto" w:sz="4" w:space="0"/>
              <w:left w:val="single" w:color="auto" w:sz="4" w:space="0"/>
              <w:bottom w:val="single" w:color="000000" w:sz="4" w:space="0"/>
              <w:right w:val="single" w:color="auto" w:sz="4" w:space="0"/>
            </w:tcBorders>
            <w:noWrap w:val="0"/>
            <w:vAlign w:val="center"/>
          </w:tcPr>
          <w:p w14:paraId="5D29D92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tc>
        <w:tc>
          <w:tcPr>
            <w:tcW w:w="17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2E68A8">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工时单价(元/工时)</w:t>
            </w:r>
          </w:p>
        </w:tc>
        <w:tc>
          <w:tcPr>
            <w:tcW w:w="22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C55FB3">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sz w:val="24"/>
              </w:rPr>
              <w:t>工时</w:t>
            </w:r>
            <w:r>
              <w:rPr>
                <w:rFonts w:hint="eastAsia" w:ascii="仿宋" w:hAnsi="仿宋" w:eastAsia="仿宋" w:cs="宋体"/>
                <w:sz w:val="24"/>
              </w:rPr>
              <w:t>定额</w:t>
            </w:r>
          </w:p>
        </w:tc>
        <w:tc>
          <w:tcPr>
            <w:tcW w:w="1439" w:type="dxa"/>
            <w:vMerge w:val="continue"/>
            <w:tcBorders>
              <w:left w:val="single" w:color="auto" w:sz="4" w:space="0"/>
              <w:bottom w:val="single" w:color="000000" w:sz="4" w:space="0"/>
              <w:right w:val="single" w:color="auto" w:sz="4" w:space="0"/>
            </w:tcBorders>
            <w:noWrap w:val="0"/>
            <w:vAlign w:val="center"/>
          </w:tcPr>
          <w:p w14:paraId="3A2DEBD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tc>
      </w:tr>
      <w:tr w14:paraId="5D7D87A7">
        <w:tblPrEx>
          <w:tblCellMar>
            <w:top w:w="0" w:type="dxa"/>
            <w:left w:w="0" w:type="dxa"/>
            <w:bottom w:w="0" w:type="dxa"/>
            <w:right w:w="0" w:type="dxa"/>
          </w:tblCellMar>
        </w:tblPrEx>
        <w:trPr>
          <w:trHeight w:val="315" w:hRule="atLeast"/>
        </w:trPr>
        <w:tc>
          <w:tcPr>
            <w:tcW w:w="64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1053EC">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1</w:t>
            </w:r>
          </w:p>
        </w:tc>
        <w:tc>
          <w:tcPr>
            <w:tcW w:w="35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B1B9C8">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 w:val="24"/>
              </w:rPr>
            </w:pPr>
          </w:p>
        </w:tc>
        <w:tc>
          <w:tcPr>
            <w:tcW w:w="175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DB7FE5">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sz w:val="24"/>
              </w:rPr>
            </w:pPr>
          </w:p>
        </w:tc>
        <w:tc>
          <w:tcPr>
            <w:tcW w:w="2296" w:type="dxa"/>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568514CF">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按照</w:t>
            </w:r>
            <w:r>
              <w:rPr>
                <w:rFonts w:hint="eastAsia" w:ascii="仿宋" w:hAnsi="仿宋" w:eastAsia="仿宋"/>
                <w:sz w:val="24"/>
              </w:rPr>
              <w:t>《江苏省机动车维修结算工时定额与收费指南》（2014版）</w:t>
            </w:r>
            <w:r>
              <w:rPr>
                <w:rFonts w:hint="eastAsia" w:ascii="仿宋" w:hAnsi="仿宋" w:eastAsia="仿宋" w:cs="宋体"/>
                <w:sz w:val="24"/>
              </w:rPr>
              <w:t>下浮10%执行。</w:t>
            </w:r>
          </w:p>
        </w:tc>
        <w:tc>
          <w:tcPr>
            <w:tcW w:w="143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48B9DD">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sz w:val="24"/>
              </w:rPr>
            </w:pPr>
          </w:p>
        </w:tc>
      </w:tr>
    </w:tbl>
    <w:p w14:paraId="32892A5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0"/>
          <w:szCs w:val="20"/>
        </w:rPr>
      </w:pPr>
    </w:p>
    <w:p w14:paraId="576561F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说明：</w:t>
      </w:r>
    </w:p>
    <w:p w14:paraId="091AD653">
      <w:pPr>
        <w:keepNext w:val="0"/>
        <w:keepLines w:val="0"/>
        <w:widowControl/>
        <w:kinsoku/>
        <w:wordWrap/>
        <w:overflowPunct/>
        <w:topLinePunct w:val="0"/>
        <w:autoSpaceDE/>
        <w:autoSpaceDN/>
        <w:bidi w:val="0"/>
        <w:adjustRightInd/>
        <w:snapToGrid/>
        <w:spacing w:line="360" w:lineRule="auto"/>
        <w:ind w:firstLine="480"/>
        <w:jc w:val="left"/>
        <w:textAlignment w:val="auto"/>
        <w:rPr>
          <w:rFonts w:ascii="仿宋" w:hAnsi="仿宋" w:eastAsia="仿宋" w:cs="宋体"/>
          <w:sz w:val="24"/>
        </w:rPr>
      </w:pPr>
      <w:r>
        <w:rPr>
          <w:rFonts w:hint="eastAsia" w:ascii="仿宋" w:hAnsi="仿宋" w:eastAsia="仿宋" w:cs="宋体"/>
          <w:sz w:val="24"/>
        </w:rPr>
        <w:t>1、乙方执行《江苏省机动车维修结算工时定额与收费指南》（2014版）。</w:t>
      </w:r>
    </w:p>
    <w:p w14:paraId="34FF0329">
      <w:pPr>
        <w:keepNext w:val="0"/>
        <w:keepLines w:val="0"/>
        <w:widowControl/>
        <w:kinsoku/>
        <w:wordWrap/>
        <w:overflowPunct/>
        <w:topLinePunct w:val="0"/>
        <w:autoSpaceDE/>
        <w:autoSpaceDN/>
        <w:bidi w:val="0"/>
        <w:adjustRightInd/>
        <w:snapToGrid/>
        <w:spacing w:line="360" w:lineRule="auto"/>
        <w:ind w:firstLine="480"/>
        <w:jc w:val="left"/>
        <w:textAlignment w:val="auto"/>
        <w:rPr>
          <w:rFonts w:ascii="仿宋" w:hAnsi="仿宋" w:eastAsia="仿宋" w:cs="宋体"/>
          <w:sz w:val="24"/>
        </w:rPr>
      </w:pPr>
      <w:r>
        <w:rPr>
          <w:rFonts w:hint="eastAsia" w:ascii="仿宋" w:hAnsi="仿宋" w:eastAsia="仿宋" w:cs="宋体"/>
          <w:sz w:val="24"/>
        </w:rPr>
        <w:t>2、乙方同意按“附件一”中确定的价格为框架协议期限内的最高限价。允许乙方根据实际情况自行降低价格。</w:t>
      </w:r>
    </w:p>
    <w:p w14:paraId="7AFA8160">
      <w:pPr>
        <w:keepNext w:val="0"/>
        <w:keepLines w:val="0"/>
        <w:widowControl/>
        <w:kinsoku/>
        <w:wordWrap/>
        <w:overflowPunct/>
        <w:topLinePunct w:val="0"/>
        <w:autoSpaceDE/>
        <w:autoSpaceDN/>
        <w:bidi w:val="0"/>
        <w:adjustRightInd/>
        <w:snapToGrid/>
        <w:spacing w:line="360" w:lineRule="auto"/>
        <w:ind w:firstLine="480"/>
        <w:jc w:val="left"/>
        <w:textAlignment w:val="auto"/>
        <w:rPr>
          <w:rFonts w:ascii="仿宋" w:hAnsi="仿宋" w:eastAsia="仿宋" w:cs="宋体"/>
          <w:sz w:val="24"/>
        </w:rPr>
      </w:pPr>
      <w:r>
        <w:rPr>
          <w:rFonts w:hint="eastAsia" w:ascii="仿宋" w:hAnsi="仿宋" w:eastAsia="仿宋" w:cs="宋体"/>
          <w:sz w:val="24"/>
        </w:rPr>
        <w:t>3、维修结算总费用=工时费用（工时单价×工时定额×90%）＋材料费用[材料购进价格×（1＋材料进销差价率%）]＋外加工及其他费用。上述所有费用均为含税价。</w:t>
      </w:r>
    </w:p>
    <w:p w14:paraId="69775290">
      <w:pPr>
        <w:keepNext w:val="0"/>
        <w:keepLines w:val="0"/>
        <w:widowControl/>
        <w:kinsoku/>
        <w:wordWrap/>
        <w:overflowPunct/>
        <w:topLinePunct w:val="0"/>
        <w:autoSpaceDE/>
        <w:autoSpaceDN/>
        <w:bidi w:val="0"/>
        <w:adjustRightInd/>
        <w:snapToGrid/>
        <w:spacing w:line="360" w:lineRule="auto"/>
        <w:ind w:firstLine="480"/>
        <w:jc w:val="left"/>
        <w:textAlignment w:val="auto"/>
        <w:rPr>
          <w:rFonts w:ascii="仿宋" w:hAnsi="仿宋" w:eastAsia="仿宋" w:cs="宋体"/>
          <w:sz w:val="24"/>
        </w:rPr>
      </w:pPr>
      <w:r>
        <w:rPr>
          <w:rFonts w:hint="eastAsia" w:ascii="仿宋" w:hAnsi="仿宋" w:eastAsia="仿宋" w:cs="宋体"/>
          <w:sz w:val="24"/>
        </w:rPr>
        <w:t>4、维修诊断费用：免费</w:t>
      </w:r>
    </w:p>
    <w:p w14:paraId="2BCDA7AA">
      <w:pPr>
        <w:keepNext w:val="0"/>
        <w:keepLines w:val="0"/>
        <w:widowControl/>
        <w:kinsoku/>
        <w:wordWrap/>
        <w:overflowPunct/>
        <w:topLinePunct w:val="0"/>
        <w:autoSpaceDE/>
        <w:autoSpaceDN/>
        <w:bidi w:val="0"/>
        <w:adjustRightInd/>
        <w:snapToGrid/>
        <w:spacing w:line="360" w:lineRule="auto"/>
        <w:ind w:firstLine="480"/>
        <w:jc w:val="left"/>
        <w:textAlignment w:val="auto"/>
        <w:rPr>
          <w:rFonts w:ascii="仿宋" w:hAnsi="仿宋" w:eastAsia="仿宋" w:cs="宋体"/>
          <w:sz w:val="24"/>
        </w:rPr>
      </w:pPr>
      <w:r>
        <w:rPr>
          <w:rFonts w:hint="eastAsia" w:ascii="仿宋" w:hAnsi="仿宋" w:eastAsia="仿宋" w:cs="宋体"/>
          <w:sz w:val="24"/>
        </w:rPr>
        <w:t>5、检测费用：车辆维修竣工后委托机动车综合性能检测机构的检测费用由乙方承担。</w:t>
      </w:r>
    </w:p>
    <w:p w14:paraId="2427CB0E">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cs="宋体"/>
          <w:sz w:val="24"/>
        </w:rPr>
        <w:t>6、其他：详见框架协议第</w:t>
      </w:r>
      <w:r>
        <w:rPr>
          <w:rFonts w:hint="eastAsia" w:ascii="仿宋" w:hAnsi="仿宋" w:eastAsia="仿宋"/>
          <w:sz w:val="24"/>
        </w:rPr>
        <w:t>十二条 乙方服务承诺。</w:t>
      </w:r>
    </w:p>
    <w:p w14:paraId="34CD9DC6">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宋体"/>
          <w:sz w:val="24"/>
        </w:rPr>
      </w:pPr>
      <w:r>
        <w:rPr>
          <w:rFonts w:hint="eastAsia" w:ascii="仿宋" w:hAnsi="仿宋" w:eastAsia="仿宋" w:cs="宋体"/>
          <w:sz w:val="24"/>
        </w:rPr>
        <w:t>7、未尽事项见</w:t>
      </w:r>
      <w:r>
        <w:rPr>
          <w:rFonts w:hint="eastAsia" w:ascii="仿宋" w:hAnsi="仿宋" w:eastAsia="仿宋"/>
          <w:sz w:val="24"/>
        </w:rPr>
        <w:t>江苏省质量技术监督局发布的《机动车维修费用结算规范》（DB 32/T 2665-2014）。</w:t>
      </w:r>
    </w:p>
    <w:p w14:paraId="31DE0685">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p w14:paraId="7CB77261">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 xml:space="preserve">甲方（单位盖章）：                   乙方（单位盖章）： </w:t>
      </w:r>
    </w:p>
    <w:p w14:paraId="460B038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法定代表人（签字或盖章）：           法定代表人：（签字或盖章）</w:t>
      </w:r>
    </w:p>
    <w:p w14:paraId="298DC635">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47082D1A">
      <w:pPr>
        <w:keepNext w:val="0"/>
        <w:keepLines w:val="0"/>
        <w:kinsoku/>
        <w:wordWrap/>
        <w:overflowPunct/>
        <w:topLinePunct w:val="0"/>
        <w:autoSpaceDE/>
        <w:autoSpaceDN/>
        <w:bidi w:val="0"/>
        <w:adjustRightInd/>
        <w:snapToGrid/>
        <w:spacing w:line="360" w:lineRule="auto"/>
        <w:ind w:firstLine="900"/>
        <w:textAlignment w:val="auto"/>
        <w:rPr>
          <w:rFonts w:ascii="仿宋" w:hAnsi="仿宋" w:eastAsia="仿宋"/>
        </w:rPr>
      </w:pPr>
      <w:r>
        <w:rPr>
          <w:rFonts w:hint="eastAsia" w:ascii="仿宋" w:hAnsi="仿宋" w:eastAsia="仿宋"/>
          <w:sz w:val="24"/>
        </w:rPr>
        <w:t xml:space="preserve">年    月   日                     </w:t>
      </w:r>
      <w:r>
        <w:rPr>
          <w:rFonts w:hint="eastAsia" w:ascii="仿宋" w:hAnsi="仿宋" w:eastAsia="仿宋"/>
          <w:sz w:val="24"/>
          <w:lang w:val="en-US" w:eastAsia="zh-CN"/>
        </w:rPr>
        <w:t xml:space="preserve">     </w:t>
      </w:r>
      <w:r>
        <w:rPr>
          <w:rFonts w:hint="eastAsia" w:ascii="仿宋" w:hAnsi="仿宋" w:eastAsia="仿宋"/>
          <w:sz w:val="24"/>
        </w:rPr>
        <w:t xml:space="preserve"> 年   月   日</w:t>
      </w:r>
    </w:p>
    <w:p w14:paraId="68668A4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br w:type="page" w:clear="all"/>
      </w:r>
    </w:p>
    <w:p w14:paraId="16886B87">
      <w:pPr>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r>
        <w:rPr>
          <w:rFonts w:hint="eastAsia" w:ascii="仿宋" w:hAnsi="仿宋" w:eastAsia="仿宋" w:cs="宋体"/>
          <w:sz w:val="24"/>
        </w:rPr>
        <w:t>附件二：</w:t>
      </w:r>
    </w:p>
    <w:p w14:paraId="7CEA5DC8">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r>
        <w:rPr>
          <w:rFonts w:hint="eastAsia" w:ascii="仿宋" w:hAnsi="仿宋" w:eastAsia="仿宋" w:cs="宋体"/>
          <w:sz w:val="30"/>
          <w:szCs w:val="36"/>
        </w:rPr>
        <w:t>承修车型一览表</w:t>
      </w:r>
    </w:p>
    <w:p w14:paraId="2E79B507">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p>
    <w:tbl>
      <w:tblPr>
        <w:tblStyle w:val="6"/>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7"/>
        <w:gridCol w:w="2126"/>
        <w:gridCol w:w="1985"/>
      </w:tblGrid>
      <w:tr w14:paraId="547C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6" w:type="dxa"/>
            <w:vMerge w:val="restart"/>
            <w:tcBorders>
              <w:top w:val="single" w:color="auto" w:sz="4" w:space="0"/>
              <w:left w:val="single" w:color="auto" w:sz="4" w:space="0"/>
              <w:right w:val="single" w:color="auto" w:sz="4" w:space="0"/>
            </w:tcBorders>
            <w:noWrap w:val="0"/>
            <w:vAlign w:val="center"/>
          </w:tcPr>
          <w:p w14:paraId="77E561E3">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 w:val="24"/>
              </w:rPr>
            </w:pPr>
            <w:r>
              <w:rPr>
                <w:rFonts w:hint="eastAsia" w:ascii="仿宋" w:hAnsi="仿宋" w:eastAsia="仿宋" w:cs="宋体"/>
                <w:sz w:val="24"/>
              </w:rPr>
              <w:t>序号</w:t>
            </w:r>
          </w:p>
        </w:tc>
        <w:tc>
          <w:tcPr>
            <w:tcW w:w="3827" w:type="dxa"/>
            <w:vMerge w:val="restart"/>
            <w:tcBorders>
              <w:left w:val="single" w:color="auto" w:sz="4" w:space="0"/>
            </w:tcBorders>
            <w:noWrap w:val="0"/>
            <w:vAlign w:val="center"/>
          </w:tcPr>
          <w:p w14:paraId="5DAC6583">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2"/>
                <w:szCs w:val="22"/>
              </w:rPr>
              <w:t>公务用车维修单位（承修方）</w:t>
            </w:r>
          </w:p>
        </w:tc>
        <w:tc>
          <w:tcPr>
            <w:tcW w:w="4111" w:type="dxa"/>
            <w:gridSpan w:val="2"/>
            <w:noWrap w:val="0"/>
          </w:tcPr>
          <w:p w14:paraId="5D1C71F8">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rPr>
              <w:t>承修车型</w:t>
            </w:r>
          </w:p>
        </w:tc>
      </w:tr>
      <w:tr w14:paraId="604D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vMerge w:val="continue"/>
            <w:tcBorders>
              <w:left w:val="single" w:color="auto" w:sz="4" w:space="0"/>
              <w:bottom w:val="single" w:color="auto" w:sz="4" w:space="0"/>
              <w:right w:val="single" w:color="auto" w:sz="4" w:space="0"/>
            </w:tcBorders>
            <w:noWrap w:val="0"/>
            <w:vAlign w:val="center"/>
          </w:tcPr>
          <w:p w14:paraId="13BF2996">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p>
        </w:tc>
        <w:tc>
          <w:tcPr>
            <w:tcW w:w="3827" w:type="dxa"/>
            <w:vMerge w:val="continue"/>
            <w:tcBorders>
              <w:left w:val="single" w:color="auto" w:sz="4" w:space="0"/>
            </w:tcBorders>
            <w:noWrap w:val="0"/>
            <w:vAlign w:val="center"/>
          </w:tcPr>
          <w:p w14:paraId="4E841466">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2"/>
                <w:szCs w:val="22"/>
              </w:rPr>
            </w:pPr>
          </w:p>
        </w:tc>
        <w:tc>
          <w:tcPr>
            <w:tcW w:w="2126" w:type="dxa"/>
            <w:noWrap w:val="0"/>
            <w:vAlign w:val="center"/>
          </w:tcPr>
          <w:p w14:paraId="43660BE2">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0"/>
                <w:szCs w:val="20"/>
              </w:rPr>
            </w:pPr>
            <w:r>
              <w:rPr>
                <w:rFonts w:hint="eastAsia" w:ascii="仿宋" w:hAnsi="仿宋" w:eastAsia="仿宋" w:cs="宋体"/>
                <w:sz w:val="20"/>
                <w:szCs w:val="20"/>
              </w:rPr>
              <w:t>燃油车</w:t>
            </w:r>
          </w:p>
        </w:tc>
        <w:tc>
          <w:tcPr>
            <w:tcW w:w="1985" w:type="dxa"/>
            <w:noWrap w:val="0"/>
            <w:vAlign w:val="center"/>
          </w:tcPr>
          <w:p w14:paraId="0EDB0068">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0"/>
                <w:szCs w:val="20"/>
              </w:rPr>
            </w:pPr>
            <w:r>
              <w:rPr>
                <w:rFonts w:hint="eastAsia" w:ascii="仿宋" w:hAnsi="仿宋" w:eastAsia="仿宋" w:cs="宋体"/>
                <w:sz w:val="20"/>
                <w:szCs w:val="20"/>
              </w:rPr>
              <w:t>新能源车</w:t>
            </w:r>
          </w:p>
        </w:tc>
      </w:tr>
      <w:tr w14:paraId="1198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tcBorders>
              <w:top w:val="single" w:color="auto" w:sz="4" w:space="0"/>
            </w:tcBorders>
            <w:noWrap w:val="0"/>
            <w:vAlign w:val="center"/>
          </w:tcPr>
          <w:p w14:paraId="17D94FCD">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1</w:t>
            </w:r>
          </w:p>
        </w:tc>
        <w:tc>
          <w:tcPr>
            <w:tcW w:w="3827" w:type="dxa"/>
            <w:noWrap w:val="0"/>
            <w:vAlign w:val="center"/>
          </w:tcPr>
          <w:p w14:paraId="6B65C829">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2"/>
                <w:szCs w:val="22"/>
              </w:rPr>
            </w:pPr>
          </w:p>
        </w:tc>
        <w:tc>
          <w:tcPr>
            <w:tcW w:w="2126" w:type="dxa"/>
            <w:noWrap w:val="0"/>
          </w:tcPr>
          <w:p w14:paraId="0E8277EB">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 w:val="20"/>
                <w:szCs w:val="20"/>
              </w:rPr>
            </w:pPr>
          </w:p>
        </w:tc>
        <w:tc>
          <w:tcPr>
            <w:tcW w:w="1985" w:type="dxa"/>
            <w:noWrap w:val="0"/>
          </w:tcPr>
          <w:p w14:paraId="3999F5BE">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 w:val="20"/>
                <w:szCs w:val="20"/>
              </w:rPr>
            </w:pPr>
          </w:p>
        </w:tc>
      </w:tr>
      <w:tr w14:paraId="2F9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6" w:type="dxa"/>
            <w:noWrap w:val="0"/>
            <w:vAlign w:val="center"/>
          </w:tcPr>
          <w:p w14:paraId="615CFA96">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p>
        </w:tc>
        <w:tc>
          <w:tcPr>
            <w:tcW w:w="3827" w:type="dxa"/>
            <w:noWrap w:val="0"/>
            <w:vAlign w:val="center"/>
          </w:tcPr>
          <w:p w14:paraId="0EDBF0EF">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2"/>
                <w:szCs w:val="22"/>
              </w:rPr>
            </w:pPr>
          </w:p>
        </w:tc>
        <w:tc>
          <w:tcPr>
            <w:tcW w:w="2126" w:type="dxa"/>
            <w:noWrap w:val="0"/>
          </w:tcPr>
          <w:p w14:paraId="6510C3A3">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 w:val="20"/>
                <w:szCs w:val="20"/>
              </w:rPr>
            </w:pPr>
          </w:p>
        </w:tc>
        <w:tc>
          <w:tcPr>
            <w:tcW w:w="1985" w:type="dxa"/>
            <w:noWrap w:val="0"/>
          </w:tcPr>
          <w:p w14:paraId="5C17CF95">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 w:val="20"/>
                <w:szCs w:val="20"/>
              </w:rPr>
            </w:pPr>
          </w:p>
        </w:tc>
      </w:tr>
    </w:tbl>
    <w:p w14:paraId="7609D880">
      <w:pPr>
        <w:keepNext w:val="0"/>
        <w:keepLines w:val="0"/>
        <w:kinsoku/>
        <w:wordWrap/>
        <w:overflowPunct/>
        <w:topLinePunct w:val="0"/>
        <w:autoSpaceDE/>
        <w:autoSpaceDN/>
        <w:bidi w:val="0"/>
        <w:adjustRightInd/>
        <w:snapToGrid/>
        <w:spacing w:line="360" w:lineRule="auto"/>
        <w:textAlignment w:val="auto"/>
        <w:rPr>
          <w:rFonts w:ascii="仿宋" w:hAnsi="仿宋" w:eastAsia="仿宋"/>
        </w:rPr>
      </w:pPr>
    </w:p>
    <w:p w14:paraId="5DD7969D">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7C4AB154">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795798F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11A7BC3">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16EEC8B">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362BE3F5">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3A15785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3A67DB5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53F5EA0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2D053FC3">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 xml:space="preserve">甲方（单位盖章）：                   乙方（单位盖章）： </w:t>
      </w:r>
    </w:p>
    <w:p w14:paraId="141058A6">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4AAB6EDE">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法定代表人（签字或盖章）：           法定代表人：（签字或盖章）</w:t>
      </w:r>
    </w:p>
    <w:p w14:paraId="2CC6CD4C">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5886BDB9">
      <w:pPr>
        <w:keepNext w:val="0"/>
        <w:keepLines w:val="0"/>
        <w:kinsoku/>
        <w:wordWrap/>
        <w:overflowPunct/>
        <w:topLinePunct w:val="0"/>
        <w:autoSpaceDE/>
        <w:autoSpaceDN/>
        <w:bidi w:val="0"/>
        <w:adjustRightInd/>
        <w:snapToGrid/>
        <w:spacing w:line="360" w:lineRule="auto"/>
        <w:ind w:firstLine="900"/>
        <w:textAlignment w:val="auto"/>
        <w:rPr>
          <w:rFonts w:ascii="仿宋" w:hAnsi="仿宋" w:eastAsia="仿宋"/>
        </w:rPr>
      </w:pPr>
      <w:r>
        <w:rPr>
          <w:rFonts w:hint="eastAsia" w:ascii="仿宋" w:hAnsi="仿宋" w:eastAsia="仿宋"/>
          <w:sz w:val="24"/>
        </w:rPr>
        <w:t>年    月   日                      年   月   日</w:t>
      </w:r>
    </w:p>
    <w:p w14:paraId="4E53FB6A">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r>
        <w:rPr>
          <w:rFonts w:hint="eastAsia" w:ascii="仿宋" w:hAnsi="仿宋" w:eastAsia="仿宋"/>
        </w:rPr>
        <w:br w:type="page" w:clear="all"/>
      </w:r>
    </w:p>
    <w:p w14:paraId="0B97C247">
      <w:pPr>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r>
        <w:rPr>
          <w:rFonts w:hint="eastAsia" w:ascii="仿宋" w:hAnsi="仿宋" w:eastAsia="仿宋" w:cs="宋体"/>
          <w:sz w:val="24"/>
        </w:rPr>
        <w:t>附件三：</w:t>
      </w:r>
    </w:p>
    <w:p w14:paraId="4B1B0ACF">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r>
        <w:rPr>
          <w:rFonts w:hint="eastAsia" w:ascii="仿宋" w:hAnsi="仿宋" w:eastAsia="仿宋" w:cs="宋体"/>
          <w:sz w:val="30"/>
          <w:szCs w:val="36"/>
        </w:rPr>
        <w:t>公务用车维修单位（承修方）一览表</w:t>
      </w:r>
    </w:p>
    <w:p w14:paraId="5A46580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p>
    <w:tbl>
      <w:tblPr>
        <w:tblStyle w:val="6"/>
        <w:tblW w:w="9336" w:type="dxa"/>
        <w:tblInd w:w="0" w:type="dxa"/>
        <w:tblLayout w:type="fixed"/>
        <w:tblCellMar>
          <w:top w:w="0" w:type="dxa"/>
          <w:left w:w="0" w:type="dxa"/>
          <w:bottom w:w="0" w:type="dxa"/>
          <w:right w:w="0" w:type="dxa"/>
        </w:tblCellMar>
      </w:tblPr>
      <w:tblGrid>
        <w:gridCol w:w="460"/>
        <w:gridCol w:w="1901"/>
        <w:gridCol w:w="1200"/>
        <w:gridCol w:w="1395"/>
        <w:gridCol w:w="1185"/>
        <w:gridCol w:w="795"/>
        <w:gridCol w:w="720"/>
        <w:gridCol w:w="750"/>
        <w:gridCol w:w="930"/>
      </w:tblGrid>
      <w:tr w14:paraId="254E8960">
        <w:tblPrEx>
          <w:tblCellMar>
            <w:top w:w="0" w:type="dxa"/>
            <w:left w:w="0" w:type="dxa"/>
            <w:bottom w:w="0" w:type="dxa"/>
            <w:right w:w="0" w:type="dxa"/>
          </w:tblCellMar>
        </w:tblPrEx>
        <w:trPr>
          <w:trHeight w:val="300" w:hRule="atLeast"/>
        </w:trPr>
        <w:tc>
          <w:tcPr>
            <w:tcW w:w="460" w:type="dxa"/>
            <w:vMerge w:val="restart"/>
            <w:tcBorders>
              <w:top w:val="single" w:color="auto" w:sz="8" w:space="0"/>
              <w:left w:val="single" w:color="auto" w:sz="8" w:space="0"/>
              <w:bottom w:val="nil"/>
              <w:right w:val="single" w:color="auto" w:sz="8" w:space="0"/>
            </w:tcBorders>
            <w:noWrap w:val="0"/>
            <w:tcMar>
              <w:top w:w="15" w:type="dxa"/>
              <w:left w:w="15" w:type="dxa"/>
              <w:bottom w:w="0" w:type="dxa"/>
              <w:right w:w="15" w:type="dxa"/>
            </w:tcMar>
            <w:vAlign w:val="center"/>
          </w:tcPr>
          <w:p w14:paraId="2AC28553">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序号</w:t>
            </w:r>
          </w:p>
        </w:tc>
        <w:tc>
          <w:tcPr>
            <w:tcW w:w="1901" w:type="dxa"/>
            <w:vMerge w:val="restart"/>
            <w:tcBorders>
              <w:top w:val="single" w:color="auto" w:sz="8" w:space="0"/>
              <w:left w:val="single" w:color="auto" w:sz="8" w:space="0"/>
              <w:bottom w:val="nil"/>
              <w:right w:val="single" w:color="auto" w:sz="8" w:space="0"/>
            </w:tcBorders>
            <w:noWrap w:val="0"/>
            <w:tcMar>
              <w:top w:w="15" w:type="dxa"/>
              <w:left w:w="15" w:type="dxa"/>
              <w:bottom w:w="0" w:type="dxa"/>
              <w:right w:w="15" w:type="dxa"/>
            </w:tcMar>
            <w:vAlign w:val="center"/>
          </w:tcPr>
          <w:p w14:paraId="6162F480">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b/>
                <w:szCs w:val="21"/>
              </w:rPr>
            </w:pPr>
            <w:r>
              <w:rPr>
                <w:rFonts w:hint="eastAsia" w:ascii="仿宋" w:hAnsi="仿宋" w:eastAsia="仿宋" w:cs="宋体"/>
                <w:sz w:val="22"/>
                <w:szCs w:val="22"/>
              </w:rPr>
              <w:t>公务用车维修单位（承修方）</w:t>
            </w:r>
          </w:p>
        </w:tc>
        <w:tc>
          <w:tcPr>
            <w:tcW w:w="1200" w:type="dxa"/>
            <w:vMerge w:val="restart"/>
            <w:tcBorders>
              <w:top w:val="single" w:color="auto" w:sz="8" w:space="0"/>
              <w:left w:val="single" w:color="auto" w:sz="8" w:space="0"/>
              <w:bottom w:val="nil"/>
              <w:right w:val="single" w:color="auto" w:sz="8" w:space="0"/>
            </w:tcBorders>
            <w:noWrap w:val="0"/>
            <w:tcMar>
              <w:top w:w="15" w:type="dxa"/>
              <w:left w:w="15" w:type="dxa"/>
              <w:bottom w:w="0" w:type="dxa"/>
              <w:right w:w="15" w:type="dxa"/>
            </w:tcMar>
            <w:vAlign w:val="center"/>
          </w:tcPr>
          <w:p w14:paraId="110C48B7">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地址</w:t>
            </w:r>
          </w:p>
        </w:tc>
        <w:tc>
          <w:tcPr>
            <w:tcW w:w="2580" w:type="dxa"/>
            <w:gridSpan w:val="2"/>
            <w:tcBorders>
              <w:top w:val="single" w:color="auto" w:sz="8" w:space="0"/>
              <w:left w:val="nil"/>
              <w:bottom w:val="single" w:color="auto" w:sz="8" w:space="0"/>
              <w:right w:val="single" w:color="000000" w:sz="8" w:space="0"/>
            </w:tcBorders>
            <w:noWrap w:val="0"/>
            <w:tcMar>
              <w:top w:w="15" w:type="dxa"/>
              <w:left w:w="15" w:type="dxa"/>
              <w:bottom w:w="0" w:type="dxa"/>
              <w:right w:w="15" w:type="dxa"/>
            </w:tcMar>
            <w:vAlign w:val="center"/>
          </w:tcPr>
          <w:p w14:paraId="6A80DD2A">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负责人</w:t>
            </w:r>
          </w:p>
        </w:tc>
        <w:tc>
          <w:tcPr>
            <w:tcW w:w="1515" w:type="dxa"/>
            <w:gridSpan w:val="2"/>
            <w:tcBorders>
              <w:top w:val="single" w:color="auto" w:sz="8" w:space="0"/>
              <w:left w:val="nil"/>
              <w:bottom w:val="single" w:color="auto" w:sz="8" w:space="0"/>
              <w:right w:val="single" w:color="000000" w:sz="8" w:space="0"/>
            </w:tcBorders>
            <w:noWrap w:val="0"/>
            <w:tcMar>
              <w:top w:w="15" w:type="dxa"/>
              <w:left w:w="15" w:type="dxa"/>
              <w:bottom w:w="0" w:type="dxa"/>
              <w:right w:w="15" w:type="dxa"/>
            </w:tcMar>
            <w:vAlign w:val="center"/>
          </w:tcPr>
          <w:p w14:paraId="4F98F06E">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 xml:space="preserve"> 政府采购联络员 </w:t>
            </w:r>
          </w:p>
        </w:tc>
        <w:tc>
          <w:tcPr>
            <w:tcW w:w="1680" w:type="dxa"/>
            <w:gridSpan w:val="2"/>
            <w:tcBorders>
              <w:top w:val="single" w:color="auto" w:sz="8" w:space="0"/>
              <w:left w:val="nil"/>
              <w:bottom w:val="single" w:color="auto" w:sz="8" w:space="0"/>
              <w:right w:val="single" w:color="000000" w:sz="8" w:space="0"/>
            </w:tcBorders>
            <w:noWrap w:val="0"/>
            <w:tcMar>
              <w:top w:w="15" w:type="dxa"/>
              <w:left w:w="15" w:type="dxa"/>
              <w:bottom w:w="0" w:type="dxa"/>
              <w:right w:w="15" w:type="dxa"/>
            </w:tcMar>
            <w:vAlign w:val="center"/>
          </w:tcPr>
          <w:p w14:paraId="14D0987C">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报表联络员</w:t>
            </w:r>
          </w:p>
        </w:tc>
      </w:tr>
      <w:tr w14:paraId="638AB16C">
        <w:tblPrEx>
          <w:tblCellMar>
            <w:top w:w="0" w:type="dxa"/>
            <w:left w:w="0" w:type="dxa"/>
            <w:bottom w:w="0" w:type="dxa"/>
            <w:right w:w="0" w:type="dxa"/>
          </w:tblCellMar>
        </w:tblPrEx>
        <w:trPr>
          <w:trHeight w:val="285" w:hRule="atLeast"/>
        </w:trPr>
        <w:tc>
          <w:tcPr>
            <w:tcW w:w="460" w:type="dxa"/>
            <w:vMerge w:val="continue"/>
            <w:tcBorders>
              <w:top w:val="single" w:color="auto" w:sz="8" w:space="0"/>
              <w:left w:val="single" w:color="auto" w:sz="8" w:space="0"/>
              <w:bottom w:val="nil"/>
              <w:right w:val="single" w:color="auto" w:sz="8" w:space="0"/>
            </w:tcBorders>
            <w:noWrap w:val="0"/>
            <w:vAlign w:val="center"/>
          </w:tcPr>
          <w:p w14:paraId="7B50F3F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tc>
        <w:tc>
          <w:tcPr>
            <w:tcW w:w="1901" w:type="dxa"/>
            <w:vMerge w:val="continue"/>
            <w:tcBorders>
              <w:top w:val="single" w:color="auto" w:sz="8" w:space="0"/>
              <w:left w:val="single" w:color="auto" w:sz="8" w:space="0"/>
              <w:bottom w:val="nil"/>
              <w:right w:val="single" w:color="auto" w:sz="8" w:space="0"/>
            </w:tcBorders>
            <w:noWrap w:val="0"/>
            <w:vAlign w:val="center"/>
          </w:tcPr>
          <w:p w14:paraId="036DAC2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tc>
        <w:tc>
          <w:tcPr>
            <w:tcW w:w="1200" w:type="dxa"/>
            <w:vMerge w:val="continue"/>
            <w:tcBorders>
              <w:top w:val="single" w:color="auto" w:sz="8" w:space="0"/>
              <w:left w:val="single" w:color="auto" w:sz="8" w:space="0"/>
              <w:bottom w:val="nil"/>
              <w:right w:val="single" w:color="auto" w:sz="8" w:space="0"/>
            </w:tcBorders>
            <w:noWrap w:val="0"/>
            <w:vAlign w:val="center"/>
          </w:tcPr>
          <w:p w14:paraId="4931C93F">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tc>
        <w:tc>
          <w:tcPr>
            <w:tcW w:w="1395" w:type="dxa"/>
            <w:tcBorders>
              <w:top w:val="nil"/>
              <w:left w:val="nil"/>
              <w:bottom w:val="nil"/>
              <w:right w:val="single" w:color="auto" w:sz="8" w:space="0"/>
            </w:tcBorders>
            <w:noWrap w:val="0"/>
            <w:tcMar>
              <w:top w:w="15" w:type="dxa"/>
              <w:left w:w="15" w:type="dxa"/>
              <w:bottom w:w="0" w:type="dxa"/>
              <w:right w:w="15" w:type="dxa"/>
            </w:tcMar>
            <w:vAlign w:val="center"/>
          </w:tcPr>
          <w:p w14:paraId="7614D8A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姓名</w:t>
            </w:r>
          </w:p>
        </w:tc>
        <w:tc>
          <w:tcPr>
            <w:tcW w:w="1185" w:type="dxa"/>
            <w:tcBorders>
              <w:top w:val="nil"/>
              <w:left w:val="nil"/>
              <w:bottom w:val="nil"/>
              <w:right w:val="single" w:color="auto" w:sz="8" w:space="0"/>
            </w:tcBorders>
            <w:noWrap w:val="0"/>
            <w:tcMar>
              <w:top w:w="15" w:type="dxa"/>
              <w:left w:w="15" w:type="dxa"/>
              <w:bottom w:w="0" w:type="dxa"/>
              <w:right w:w="15" w:type="dxa"/>
            </w:tcMar>
            <w:vAlign w:val="center"/>
          </w:tcPr>
          <w:p w14:paraId="7F923629">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电话</w:t>
            </w:r>
          </w:p>
        </w:tc>
        <w:tc>
          <w:tcPr>
            <w:tcW w:w="795" w:type="dxa"/>
            <w:tcBorders>
              <w:top w:val="nil"/>
              <w:left w:val="nil"/>
              <w:bottom w:val="nil"/>
              <w:right w:val="single" w:color="auto" w:sz="8" w:space="0"/>
            </w:tcBorders>
            <w:noWrap w:val="0"/>
            <w:tcMar>
              <w:top w:w="15" w:type="dxa"/>
              <w:left w:w="15" w:type="dxa"/>
              <w:bottom w:w="0" w:type="dxa"/>
              <w:right w:w="15" w:type="dxa"/>
            </w:tcMar>
            <w:vAlign w:val="center"/>
          </w:tcPr>
          <w:p w14:paraId="21E905FC">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姓名</w:t>
            </w:r>
          </w:p>
        </w:tc>
        <w:tc>
          <w:tcPr>
            <w:tcW w:w="720" w:type="dxa"/>
            <w:tcBorders>
              <w:top w:val="nil"/>
              <w:left w:val="nil"/>
              <w:bottom w:val="nil"/>
              <w:right w:val="single" w:color="auto" w:sz="8" w:space="0"/>
            </w:tcBorders>
            <w:noWrap w:val="0"/>
            <w:tcMar>
              <w:top w:w="15" w:type="dxa"/>
              <w:left w:w="15" w:type="dxa"/>
              <w:bottom w:w="0" w:type="dxa"/>
              <w:right w:w="15" w:type="dxa"/>
            </w:tcMar>
            <w:vAlign w:val="center"/>
          </w:tcPr>
          <w:p w14:paraId="5FB1810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电话</w:t>
            </w:r>
          </w:p>
        </w:tc>
        <w:tc>
          <w:tcPr>
            <w:tcW w:w="750" w:type="dxa"/>
            <w:tcBorders>
              <w:top w:val="nil"/>
              <w:left w:val="nil"/>
              <w:bottom w:val="nil"/>
              <w:right w:val="single" w:color="auto" w:sz="8" w:space="0"/>
            </w:tcBorders>
            <w:noWrap w:val="0"/>
            <w:tcMar>
              <w:top w:w="15" w:type="dxa"/>
              <w:left w:w="15" w:type="dxa"/>
              <w:bottom w:w="0" w:type="dxa"/>
              <w:right w:w="15" w:type="dxa"/>
            </w:tcMar>
            <w:vAlign w:val="center"/>
          </w:tcPr>
          <w:p w14:paraId="785126C2">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 w:val="24"/>
              </w:rPr>
            </w:pPr>
            <w:r>
              <w:rPr>
                <w:rFonts w:hint="eastAsia" w:ascii="仿宋" w:hAnsi="仿宋" w:eastAsia="仿宋" w:cs="宋体"/>
                <w:sz w:val="24"/>
              </w:rPr>
              <w:t>姓名</w:t>
            </w:r>
          </w:p>
        </w:tc>
        <w:tc>
          <w:tcPr>
            <w:tcW w:w="930" w:type="dxa"/>
            <w:tcBorders>
              <w:top w:val="nil"/>
              <w:left w:val="nil"/>
              <w:bottom w:val="nil"/>
              <w:right w:val="single" w:color="auto" w:sz="8" w:space="0"/>
            </w:tcBorders>
            <w:noWrap w:val="0"/>
            <w:tcMar>
              <w:top w:w="15" w:type="dxa"/>
              <w:left w:w="15" w:type="dxa"/>
              <w:bottom w:w="0" w:type="dxa"/>
              <w:right w:w="15" w:type="dxa"/>
            </w:tcMar>
            <w:vAlign w:val="center"/>
          </w:tcPr>
          <w:p w14:paraId="1B59CD64">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r>
              <w:rPr>
                <w:rFonts w:hint="eastAsia" w:ascii="仿宋" w:hAnsi="仿宋" w:eastAsia="仿宋" w:cs="宋体"/>
                <w:sz w:val="24"/>
              </w:rPr>
              <w:t>电话</w:t>
            </w:r>
          </w:p>
        </w:tc>
      </w:tr>
      <w:tr w14:paraId="200B34BC">
        <w:tblPrEx>
          <w:tblCellMar>
            <w:top w:w="0" w:type="dxa"/>
            <w:left w:w="0" w:type="dxa"/>
            <w:bottom w:w="0" w:type="dxa"/>
            <w:right w:w="0" w:type="dxa"/>
          </w:tblCellMar>
        </w:tblPrEx>
        <w:trPr>
          <w:trHeight w:val="782" w:hRule="atLeast"/>
        </w:trPr>
        <w:tc>
          <w:tcPr>
            <w:tcW w:w="4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22DA74">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 w:val="24"/>
              </w:rPr>
            </w:pPr>
          </w:p>
        </w:tc>
        <w:tc>
          <w:tcPr>
            <w:tcW w:w="19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21F998">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宋体"/>
                <w:szCs w:val="21"/>
              </w:rPr>
            </w:pPr>
          </w:p>
        </w:tc>
        <w:tc>
          <w:tcPr>
            <w:tcW w:w="12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03E775">
            <w:pPr>
              <w:keepNext w:val="0"/>
              <w:keepLines w:val="0"/>
              <w:widowControl/>
              <w:kinsoku/>
              <w:wordWrap/>
              <w:overflowPunct/>
              <w:topLinePunct w:val="0"/>
              <w:autoSpaceDE/>
              <w:autoSpaceDN/>
              <w:bidi w:val="0"/>
              <w:adjustRightInd/>
              <w:snapToGrid/>
              <w:spacing w:line="360" w:lineRule="auto"/>
              <w:textAlignment w:val="auto"/>
              <w:rPr>
                <w:rFonts w:ascii="仿宋" w:hAnsi="仿宋" w:eastAsia="仿宋" w:cs="宋体"/>
                <w:szCs w:val="21"/>
              </w:rPr>
            </w:pPr>
          </w:p>
        </w:tc>
        <w:tc>
          <w:tcPr>
            <w:tcW w:w="13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022BE3">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cs="宋体"/>
                <w:szCs w:val="21"/>
              </w:rPr>
            </w:pPr>
          </w:p>
        </w:tc>
        <w:tc>
          <w:tcPr>
            <w:tcW w:w="11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62CB5F">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szCs w:val="21"/>
              </w:rPr>
            </w:pPr>
          </w:p>
        </w:tc>
        <w:tc>
          <w:tcPr>
            <w:tcW w:w="7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8C08786">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Cs w:val="21"/>
              </w:rPr>
            </w:pPr>
          </w:p>
        </w:tc>
        <w:tc>
          <w:tcPr>
            <w:tcW w:w="7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12C5BC">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szCs w:val="21"/>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8522C3">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宋体"/>
                <w:szCs w:val="21"/>
              </w:rPr>
            </w:pPr>
          </w:p>
        </w:tc>
        <w:tc>
          <w:tcPr>
            <w:tcW w:w="93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E8B164">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szCs w:val="21"/>
              </w:rPr>
            </w:pPr>
          </w:p>
        </w:tc>
      </w:tr>
    </w:tbl>
    <w:p w14:paraId="023A4105">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rPr>
      </w:pPr>
    </w:p>
    <w:p w14:paraId="7C63DF5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955F32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0CCF741E">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0E63ECEB">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71CA282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3EC0F8C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5930EAC8">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1578C1F">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18E2C0E9">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6AB31C71">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5B951333">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p>
    <w:p w14:paraId="79DEEA5A">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 xml:space="preserve">甲方（单位盖章）：                   乙方（单位盖章）： </w:t>
      </w:r>
    </w:p>
    <w:p w14:paraId="38C1014D">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076B0639">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法定代表人（签字或盖章）：           法定代表人：（签字或盖章）</w:t>
      </w:r>
    </w:p>
    <w:p w14:paraId="64F33F8A">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5E4CA767">
      <w:pPr>
        <w:keepNext w:val="0"/>
        <w:keepLines w:val="0"/>
        <w:kinsoku/>
        <w:wordWrap/>
        <w:overflowPunct/>
        <w:topLinePunct w:val="0"/>
        <w:autoSpaceDE/>
        <w:autoSpaceDN/>
        <w:bidi w:val="0"/>
        <w:adjustRightInd/>
        <w:snapToGrid/>
        <w:spacing w:line="360" w:lineRule="auto"/>
        <w:ind w:firstLine="1020"/>
        <w:textAlignment w:val="auto"/>
        <w:rPr>
          <w:rFonts w:ascii="仿宋" w:hAnsi="仿宋" w:eastAsia="仿宋"/>
        </w:rPr>
      </w:pPr>
      <w:r>
        <w:rPr>
          <w:rFonts w:hint="eastAsia" w:ascii="仿宋" w:hAnsi="仿宋" w:eastAsia="仿宋"/>
          <w:sz w:val="24"/>
        </w:rPr>
        <w:t>年    月   日                      年   月   日</w:t>
      </w:r>
    </w:p>
    <w:p w14:paraId="61CC78E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rPr>
      </w:pPr>
      <w:r>
        <w:rPr>
          <w:rFonts w:hint="eastAsia" w:ascii="仿宋" w:hAnsi="仿宋" w:eastAsia="仿宋"/>
        </w:rPr>
        <w:br w:type="page" w:clear="all"/>
      </w:r>
    </w:p>
    <w:p w14:paraId="332BDD4E">
      <w:pPr>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r>
        <w:rPr>
          <w:rFonts w:hint="eastAsia" w:ascii="仿宋" w:hAnsi="仿宋" w:eastAsia="仿宋" w:cs="宋体"/>
          <w:sz w:val="24"/>
        </w:rPr>
        <w:t>附件四：</w:t>
      </w:r>
    </w:p>
    <w:p w14:paraId="05A27AD2">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p>
    <w:p w14:paraId="65EC629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2"/>
          <w:szCs w:val="32"/>
        </w:rPr>
      </w:pPr>
      <w:r>
        <w:rPr>
          <w:rFonts w:hint="eastAsia" w:ascii="仿宋" w:hAnsi="仿宋" w:eastAsia="仿宋" w:cs="仿宋_GB2312"/>
          <w:sz w:val="32"/>
          <w:szCs w:val="32"/>
        </w:rPr>
        <w:t>验收标准（验收要求、验收标准和程序）要求</w:t>
      </w:r>
    </w:p>
    <w:p w14:paraId="0769E022">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p>
    <w:p w14:paraId="0853409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宋体"/>
          <w:sz w:val="30"/>
          <w:szCs w:val="36"/>
        </w:rPr>
      </w:pPr>
    </w:p>
    <w:p w14:paraId="201B6D3D">
      <w:pPr>
        <w:keepNext w:val="0"/>
        <w:keepLines w:val="0"/>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cs="仿宋_GB2312"/>
          <w:sz w:val="24"/>
        </w:rPr>
        <w:t>一、验收程序：</w:t>
      </w:r>
      <w:r>
        <w:rPr>
          <w:rFonts w:hint="eastAsia" w:ascii="仿宋" w:hAnsi="仿宋" w:eastAsia="仿宋"/>
          <w:sz w:val="24"/>
        </w:rPr>
        <w:t>已完工车辆，乙方在1个工作日内通知托修方，托修方在接到通知后7个工作</w:t>
      </w:r>
      <w:r>
        <w:rPr>
          <w:rFonts w:hint="eastAsia" w:ascii="仿宋" w:hAnsi="仿宋" w:eastAsia="仿宋" w:cs="仿宋_GB2312"/>
          <w:sz w:val="24"/>
        </w:rPr>
        <w:t>日内进行验收。</w:t>
      </w:r>
    </w:p>
    <w:p w14:paraId="2D2690CF">
      <w:pPr>
        <w:keepNext w:val="0"/>
        <w:keepLines w:val="0"/>
        <w:kinsoku/>
        <w:wordWrap/>
        <w:overflowPunct/>
        <w:topLinePunct w:val="0"/>
        <w:autoSpaceDE/>
        <w:autoSpaceDN/>
        <w:bidi w:val="0"/>
        <w:adjustRightInd/>
        <w:snapToGrid/>
        <w:spacing w:line="360" w:lineRule="auto"/>
        <w:ind w:right="6" w:firstLine="480"/>
        <w:textAlignment w:val="auto"/>
        <w:rPr>
          <w:rFonts w:ascii="仿宋" w:hAnsi="仿宋" w:eastAsia="仿宋"/>
          <w:sz w:val="24"/>
        </w:rPr>
      </w:pPr>
      <w:r>
        <w:rPr>
          <w:rFonts w:hint="eastAsia" w:ascii="仿宋" w:hAnsi="仿宋" w:eastAsia="仿宋" w:cs="仿宋_GB2312"/>
          <w:sz w:val="24"/>
        </w:rPr>
        <w:t>二、验收标准：以响应文件和供应商的澄清、说明或者更正为验收标准；供应商的响应文件和供应商的澄清、说明或者更正不明确的，以《征集文件》相关要求为验收标准；供应商的响应文件和供应商的澄清、说明或者更正和《征集文件》相关要求都不明确的，按国家相关标准。</w:t>
      </w:r>
    </w:p>
    <w:p w14:paraId="4B900FE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cs="仿宋_GB2312"/>
          <w:sz w:val="24"/>
        </w:rPr>
      </w:pPr>
    </w:p>
    <w:p w14:paraId="739ED4A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1805AD25">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p>
    <w:p w14:paraId="522118EC">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p>
    <w:p w14:paraId="64B06147">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p>
    <w:p w14:paraId="6D4EC43A">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p>
    <w:p w14:paraId="06FC023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 xml:space="preserve">甲方（单位盖章）：                   乙方（单位盖章）： </w:t>
      </w:r>
    </w:p>
    <w:p w14:paraId="34C13092">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1432002F">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r>
        <w:rPr>
          <w:rFonts w:hint="eastAsia" w:ascii="仿宋" w:hAnsi="仿宋" w:eastAsia="仿宋"/>
          <w:sz w:val="24"/>
        </w:rPr>
        <w:t>法定代表人（签字或盖章）：           法定代表人：（签字或盖章）</w:t>
      </w:r>
    </w:p>
    <w:p w14:paraId="741DF1A4">
      <w:pPr>
        <w:keepNext w:val="0"/>
        <w:keepLines w:val="0"/>
        <w:kinsoku/>
        <w:wordWrap/>
        <w:overflowPunct/>
        <w:topLinePunct w:val="0"/>
        <w:autoSpaceDE/>
        <w:autoSpaceDN/>
        <w:bidi w:val="0"/>
        <w:adjustRightInd/>
        <w:snapToGrid/>
        <w:spacing w:line="360" w:lineRule="auto"/>
        <w:ind w:firstLine="540"/>
        <w:textAlignment w:val="auto"/>
        <w:rPr>
          <w:rFonts w:ascii="仿宋" w:hAnsi="仿宋" w:eastAsia="仿宋"/>
          <w:sz w:val="24"/>
        </w:rPr>
      </w:pPr>
    </w:p>
    <w:p w14:paraId="1BDEA9E3">
      <w:pPr>
        <w:keepNext w:val="0"/>
        <w:keepLines w:val="0"/>
        <w:kinsoku/>
        <w:wordWrap/>
        <w:overflowPunct/>
        <w:topLinePunct w:val="0"/>
        <w:autoSpaceDE/>
        <w:autoSpaceDN/>
        <w:bidi w:val="0"/>
        <w:adjustRightInd/>
        <w:snapToGrid/>
        <w:spacing w:line="360" w:lineRule="auto"/>
        <w:ind w:firstLine="900"/>
        <w:textAlignment w:val="auto"/>
        <w:rPr>
          <w:rFonts w:ascii="仿宋" w:hAnsi="仿宋" w:eastAsia="仿宋"/>
        </w:rPr>
      </w:pPr>
      <w:r>
        <w:rPr>
          <w:rFonts w:hint="eastAsia" w:ascii="仿宋" w:hAnsi="仿宋" w:eastAsia="仿宋"/>
          <w:sz w:val="24"/>
        </w:rPr>
        <w:t>年    月   日                       年   月   日</w:t>
      </w:r>
    </w:p>
    <w:p w14:paraId="5954E792">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sz w:val="30"/>
          <w:szCs w:val="30"/>
        </w:rPr>
      </w:pPr>
    </w:p>
    <w:p w14:paraId="3CB2308F">
      <w:pPr>
        <w:keepNext w:val="0"/>
        <w:keepLines w:val="0"/>
        <w:kinsoku/>
        <w:wordWrap/>
        <w:overflowPunct/>
        <w:topLinePunct w:val="0"/>
        <w:autoSpaceDE/>
        <w:autoSpaceDN/>
        <w:bidi w:val="0"/>
        <w:adjustRightInd/>
        <w:snapToGrid/>
        <w:spacing w:line="360" w:lineRule="auto"/>
        <w:textAlignment w:val="auto"/>
      </w:pPr>
    </w:p>
    <w:p w14:paraId="0E24E215">
      <w:pPr>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p>
    <w:p w14:paraId="19872AB1">
      <w:pPr>
        <w:pStyle w:val="2"/>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p>
    <w:p w14:paraId="48445C00">
      <w:pPr>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p>
    <w:p w14:paraId="554E502C">
      <w:pPr>
        <w:pStyle w:val="2"/>
        <w:keepNext w:val="0"/>
        <w:keepLines w:val="0"/>
        <w:kinsoku/>
        <w:wordWrap/>
        <w:overflowPunct/>
        <w:topLinePunct w:val="0"/>
        <w:autoSpaceDE/>
        <w:autoSpaceDN/>
        <w:bidi w:val="0"/>
        <w:adjustRightInd/>
        <w:snapToGrid/>
        <w:spacing w:line="360" w:lineRule="auto"/>
        <w:textAlignment w:val="auto"/>
        <w:rPr>
          <w:rFonts w:ascii="仿宋" w:hAnsi="仿宋" w:eastAsia="仿宋" w:cs="宋体"/>
          <w:sz w:val="24"/>
        </w:rPr>
      </w:pPr>
    </w:p>
    <w:p w14:paraId="68B154A5">
      <w:pPr>
        <w:pStyle w:val="2"/>
        <w:keepNext w:val="0"/>
        <w:keepLines w:val="0"/>
        <w:kinsoku/>
        <w:wordWrap/>
        <w:overflowPunct/>
        <w:topLinePunct w:val="0"/>
        <w:autoSpaceDE/>
        <w:autoSpaceDN/>
        <w:bidi w:val="0"/>
        <w:adjustRightInd/>
        <w:snapToGrid/>
        <w:spacing w:line="360" w:lineRule="auto"/>
        <w:textAlignment w:val="auto"/>
        <w:sectPr>
          <w:headerReference r:id="rId3" w:type="default"/>
          <w:pgSz w:w="11906" w:h="16838"/>
          <w:pgMar w:top="1440" w:right="1800" w:bottom="1276" w:left="1800" w:header="851" w:footer="992" w:gutter="0"/>
          <w:pgNumType w:start="1"/>
          <w:cols w:space="720" w:num="1"/>
          <w:docGrid w:linePitch="360" w:charSpace="0"/>
        </w:sectPr>
      </w:pPr>
    </w:p>
    <w:tbl>
      <w:tblPr>
        <w:tblStyle w:val="6"/>
        <w:tblpPr w:leftFromText="180" w:rightFromText="180" w:vertAnchor="text" w:horzAnchor="page" w:tblpX="1386" w:tblpY="32"/>
        <w:tblW w:w="14247" w:type="dxa"/>
        <w:tblInd w:w="0" w:type="dxa"/>
        <w:tblLayout w:type="autofit"/>
        <w:tblCellMar>
          <w:top w:w="0" w:type="dxa"/>
          <w:left w:w="108" w:type="dxa"/>
          <w:bottom w:w="0" w:type="dxa"/>
          <w:right w:w="108" w:type="dxa"/>
        </w:tblCellMar>
      </w:tblPr>
      <w:tblGrid>
        <w:gridCol w:w="1772"/>
        <w:gridCol w:w="1816"/>
        <w:gridCol w:w="239"/>
        <w:gridCol w:w="1189"/>
        <w:gridCol w:w="1553"/>
        <w:gridCol w:w="1773"/>
        <w:gridCol w:w="940"/>
        <w:gridCol w:w="222"/>
        <w:gridCol w:w="1773"/>
        <w:gridCol w:w="1773"/>
        <w:gridCol w:w="1197"/>
      </w:tblGrid>
      <w:tr w14:paraId="6715C8FD">
        <w:tblPrEx>
          <w:tblCellMar>
            <w:top w:w="0" w:type="dxa"/>
            <w:left w:w="108" w:type="dxa"/>
            <w:bottom w:w="0" w:type="dxa"/>
            <w:right w:w="108" w:type="dxa"/>
          </w:tblCellMar>
        </w:tblPrEx>
        <w:trPr>
          <w:trHeight w:val="708" w:hRule="atLeast"/>
        </w:trPr>
        <w:tc>
          <w:tcPr>
            <w:tcW w:w="3588" w:type="dxa"/>
            <w:gridSpan w:val="2"/>
            <w:tcBorders>
              <w:top w:val="nil"/>
              <w:left w:val="nil"/>
              <w:bottom w:val="nil"/>
              <w:right w:val="nil"/>
            </w:tcBorders>
            <w:noWrap/>
            <w:vAlign w:val="bottom"/>
          </w:tcPr>
          <w:p w14:paraId="3A8A0731">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r>
              <w:rPr>
                <w:rFonts w:hint="eastAsia" w:ascii="仿宋" w:hAnsi="仿宋" w:eastAsia="仿宋" w:cs="仿宋"/>
                <w:b/>
                <w:bCs/>
                <w:sz w:val="24"/>
              </w:rPr>
              <w:t>附件五：维修委托单</w:t>
            </w:r>
          </w:p>
        </w:tc>
        <w:tc>
          <w:tcPr>
            <w:tcW w:w="239" w:type="dxa"/>
            <w:tcBorders>
              <w:top w:val="nil"/>
              <w:left w:val="nil"/>
              <w:bottom w:val="nil"/>
              <w:right w:val="nil"/>
            </w:tcBorders>
            <w:noWrap/>
            <w:vAlign w:val="bottom"/>
          </w:tcPr>
          <w:p w14:paraId="31FC9EF0">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nil"/>
              <w:left w:val="nil"/>
              <w:bottom w:val="nil"/>
              <w:right w:val="nil"/>
            </w:tcBorders>
            <w:noWrap/>
            <w:vAlign w:val="bottom"/>
          </w:tcPr>
          <w:p w14:paraId="103AE04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553" w:type="dxa"/>
            <w:tcBorders>
              <w:top w:val="nil"/>
              <w:left w:val="nil"/>
              <w:bottom w:val="nil"/>
              <w:right w:val="nil"/>
            </w:tcBorders>
            <w:noWrap/>
            <w:vAlign w:val="bottom"/>
          </w:tcPr>
          <w:p w14:paraId="5940C675">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nil"/>
              <w:right w:val="nil"/>
            </w:tcBorders>
            <w:noWrap/>
            <w:vAlign w:val="bottom"/>
          </w:tcPr>
          <w:p w14:paraId="46D2C73A">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940" w:type="dxa"/>
            <w:tcBorders>
              <w:top w:val="nil"/>
              <w:left w:val="nil"/>
              <w:bottom w:val="nil"/>
              <w:right w:val="nil"/>
            </w:tcBorders>
            <w:noWrap/>
            <w:vAlign w:val="bottom"/>
          </w:tcPr>
          <w:p w14:paraId="25F8B9C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42BD1A71">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nil"/>
              <w:right w:val="nil"/>
            </w:tcBorders>
            <w:noWrap/>
            <w:vAlign w:val="bottom"/>
          </w:tcPr>
          <w:p w14:paraId="4B58F65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nil"/>
              <w:right w:val="nil"/>
            </w:tcBorders>
            <w:noWrap/>
            <w:vAlign w:val="bottom"/>
          </w:tcPr>
          <w:p w14:paraId="04E4FAA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97" w:type="dxa"/>
            <w:tcBorders>
              <w:top w:val="nil"/>
              <w:left w:val="nil"/>
              <w:bottom w:val="nil"/>
              <w:right w:val="nil"/>
            </w:tcBorders>
            <w:noWrap/>
            <w:vAlign w:val="bottom"/>
          </w:tcPr>
          <w:p w14:paraId="4D50E914">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r>
      <w:tr w14:paraId="394CE66A">
        <w:tblPrEx>
          <w:tblCellMar>
            <w:top w:w="0" w:type="dxa"/>
            <w:left w:w="108" w:type="dxa"/>
            <w:bottom w:w="0" w:type="dxa"/>
            <w:right w:w="108" w:type="dxa"/>
          </w:tblCellMar>
        </w:tblPrEx>
        <w:trPr>
          <w:trHeight w:val="285" w:hRule="atLeast"/>
        </w:trPr>
        <w:tc>
          <w:tcPr>
            <w:tcW w:w="3588" w:type="dxa"/>
            <w:gridSpan w:val="2"/>
            <w:tcBorders>
              <w:top w:val="nil"/>
              <w:left w:val="nil"/>
              <w:bottom w:val="nil"/>
              <w:right w:val="nil"/>
            </w:tcBorders>
            <w:noWrap/>
            <w:vAlign w:val="bottom"/>
          </w:tcPr>
          <w:p w14:paraId="5660DD69">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b/>
                <w:bCs/>
                <w:sz w:val="24"/>
              </w:rPr>
            </w:pPr>
            <w:r>
              <w:rPr>
                <w:rFonts w:hint="eastAsia" w:ascii="仿宋" w:hAnsi="仿宋" w:eastAsia="仿宋" w:cs="仿宋"/>
                <w:b/>
                <w:bCs/>
                <w:sz w:val="24"/>
              </w:rPr>
              <w:t>政府采购公务用车维修委托单</w:t>
            </w:r>
          </w:p>
        </w:tc>
        <w:tc>
          <w:tcPr>
            <w:tcW w:w="239" w:type="dxa"/>
            <w:tcBorders>
              <w:top w:val="nil"/>
              <w:left w:val="nil"/>
              <w:bottom w:val="nil"/>
              <w:right w:val="nil"/>
            </w:tcBorders>
            <w:noWrap/>
            <w:vAlign w:val="bottom"/>
          </w:tcPr>
          <w:p w14:paraId="0C049250">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b/>
                <w:bCs/>
                <w:sz w:val="24"/>
              </w:rPr>
            </w:pPr>
          </w:p>
        </w:tc>
        <w:tc>
          <w:tcPr>
            <w:tcW w:w="5455" w:type="dxa"/>
            <w:gridSpan w:val="4"/>
            <w:tcBorders>
              <w:top w:val="nil"/>
              <w:left w:val="nil"/>
              <w:bottom w:val="nil"/>
              <w:right w:val="nil"/>
            </w:tcBorders>
            <w:noWrap/>
            <w:vAlign w:val="bottom"/>
          </w:tcPr>
          <w:p w14:paraId="7310C776">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b/>
                <w:bCs/>
                <w:sz w:val="24"/>
              </w:rPr>
            </w:pPr>
            <w:r>
              <w:rPr>
                <w:rFonts w:hint="eastAsia" w:ascii="仿宋" w:hAnsi="仿宋" w:eastAsia="仿宋" w:cs="仿宋"/>
                <w:b/>
                <w:bCs/>
                <w:sz w:val="24"/>
              </w:rPr>
              <w:t>政府采购公务用车维修委托单</w:t>
            </w:r>
          </w:p>
        </w:tc>
        <w:tc>
          <w:tcPr>
            <w:tcW w:w="222" w:type="dxa"/>
            <w:tcBorders>
              <w:top w:val="nil"/>
              <w:left w:val="nil"/>
              <w:bottom w:val="nil"/>
              <w:right w:val="nil"/>
            </w:tcBorders>
            <w:noWrap/>
            <w:vAlign w:val="bottom"/>
          </w:tcPr>
          <w:p w14:paraId="7B6302A2">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b/>
                <w:bCs/>
                <w:sz w:val="24"/>
              </w:rPr>
            </w:pPr>
          </w:p>
        </w:tc>
        <w:tc>
          <w:tcPr>
            <w:tcW w:w="4743" w:type="dxa"/>
            <w:gridSpan w:val="3"/>
            <w:tcBorders>
              <w:top w:val="nil"/>
              <w:left w:val="nil"/>
              <w:bottom w:val="nil"/>
              <w:right w:val="nil"/>
            </w:tcBorders>
            <w:noWrap/>
            <w:vAlign w:val="bottom"/>
          </w:tcPr>
          <w:p w14:paraId="616F9809">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b/>
                <w:bCs/>
                <w:sz w:val="24"/>
              </w:rPr>
            </w:pPr>
            <w:r>
              <w:rPr>
                <w:rFonts w:hint="eastAsia" w:ascii="仿宋" w:hAnsi="仿宋" w:eastAsia="仿宋" w:cs="仿宋"/>
                <w:b/>
                <w:bCs/>
                <w:sz w:val="24"/>
              </w:rPr>
              <w:t>政府采购公务用车维修委托单</w:t>
            </w:r>
          </w:p>
        </w:tc>
      </w:tr>
      <w:tr w14:paraId="01FD8D99">
        <w:tblPrEx>
          <w:tblCellMar>
            <w:top w:w="0" w:type="dxa"/>
            <w:left w:w="108" w:type="dxa"/>
            <w:bottom w:w="0" w:type="dxa"/>
            <w:right w:w="108" w:type="dxa"/>
          </w:tblCellMar>
        </w:tblPrEx>
        <w:trPr>
          <w:trHeight w:val="285" w:hRule="atLeast"/>
        </w:trPr>
        <w:tc>
          <w:tcPr>
            <w:tcW w:w="3588" w:type="dxa"/>
            <w:gridSpan w:val="2"/>
            <w:tcBorders>
              <w:top w:val="nil"/>
              <w:left w:val="nil"/>
              <w:bottom w:val="nil"/>
              <w:right w:val="nil"/>
            </w:tcBorders>
            <w:noWrap/>
            <w:vAlign w:val="bottom"/>
          </w:tcPr>
          <w:p w14:paraId="193633AD">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(托修方留存联)   编号：</w:t>
            </w:r>
          </w:p>
        </w:tc>
        <w:tc>
          <w:tcPr>
            <w:tcW w:w="239" w:type="dxa"/>
            <w:tcBorders>
              <w:top w:val="nil"/>
              <w:left w:val="nil"/>
              <w:bottom w:val="nil"/>
              <w:right w:val="nil"/>
            </w:tcBorders>
            <w:noWrap/>
            <w:vAlign w:val="bottom"/>
          </w:tcPr>
          <w:p w14:paraId="4746157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tcBorders>
              <w:top w:val="nil"/>
              <w:left w:val="nil"/>
              <w:bottom w:val="nil"/>
              <w:right w:val="nil"/>
            </w:tcBorders>
            <w:noWrap/>
            <w:vAlign w:val="bottom"/>
          </w:tcPr>
          <w:p w14:paraId="3AFD218E">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(承修方留存联)    编号：</w:t>
            </w:r>
          </w:p>
        </w:tc>
        <w:tc>
          <w:tcPr>
            <w:tcW w:w="222" w:type="dxa"/>
            <w:tcBorders>
              <w:top w:val="nil"/>
              <w:left w:val="nil"/>
              <w:bottom w:val="nil"/>
              <w:right w:val="nil"/>
            </w:tcBorders>
            <w:noWrap/>
            <w:vAlign w:val="bottom"/>
          </w:tcPr>
          <w:p w14:paraId="507A2C20">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4743" w:type="dxa"/>
            <w:gridSpan w:val="3"/>
            <w:tcBorders>
              <w:top w:val="nil"/>
              <w:left w:val="nil"/>
              <w:bottom w:val="nil"/>
              <w:right w:val="nil"/>
            </w:tcBorders>
            <w:noWrap/>
            <w:vAlign w:val="bottom"/>
          </w:tcPr>
          <w:p w14:paraId="7688BD8C">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(发票附件联)    编号：</w:t>
            </w:r>
          </w:p>
        </w:tc>
      </w:tr>
      <w:tr w14:paraId="7EFD18E4">
        <w:tblPrEx>
          <w:tblCellMar>
            <w:top w:w="0" w:type="dxa"/>
            <w:left w:w="108" w:type="dxa"/>
            <w:bottom w:w="0" w:type="dxa"/>
            <w:right w:w="108" w:type="dxa"/>
          </w:tblCellMar>
        </w:tblPrEx>
        <w:trPr>
          <w:trHeight w:val="240" w:hRule="atLeast"/>
        </w:trPr>
        <w:tc>
          <w:tcPr>
            <w:tcW w:w="3588" w:type="dxa"/>
            <w:gridSpan w:val="2"/>
            <w:tcBorders>
              <w:top w:val="nil"/>
              <w:left w:val="nil"/>
              <w:bottom w:val="nil"/>
              <w:right w:val="nil"/>
            </w:tcBorders>
            <w:noWrap/>
            <w:vAlign w:val="bottom"/>
          </w:tcPr>
          <w:p w14:paraId="21FB5FBD">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1298E534">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tcBorders>
              <w:top w:val="nil"/>
              <w:left w:val="nil"/>
              <w:bottom w:val="nil"/>
              <w:right w:val="nil"/>
            </w:tcBorders>
            <w:noWrap/>
            <w:vAlign w:val="bottom"/>
          </w:tcPr>
          <w:p w14:paraId="38040C6D">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第一部分：由托修方填写</w:t>
            </w:r>
          </w:p>
        </w:tc>
        <w:tc>
          <w:tcPr>
            <w:tcW w:w="222" w:type="dxa"/>
            <w:tcBorders>
              <w:top w:val="nil"/>
              <w:left w:val="nil"/>
              <w:bottom w:val="nil"/>
              <w:right w:val="nil"/>
            </w:tcBorders>
            <w:noWrap/>
            <w:vAlign w:val="bottom"/>
          </w:tcPr>
          <w:p w14:paraId="21F8A712">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nil"/>
              <w:right w:val="nil"/>
            </w:tcBorders>
            <w:noWrap/>
            <w:vAlign w:val="bottom"/>
          </w:tcPr>
          <w:p w14:paraId="5B04B87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nil"/>
              <w:right w:val="nil"/>
            </w:tcBorders>
            <w:noWrap/>
            <w:vAlign w:val="bottom"/>
          </w:tcPr>
          <w:p w14:paraId="6F1FB862">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97" w:type="dxa"/>
            <w:tcBorders>
              <w:top w:val="nil"/>
              <w:left w:val="nil"/>
              <w:bottom w:val="nil"/>
              <w:right w:val="nil"/>
            </w:tcBorders>
            <w:noWrap/>
            <w:vAlign w:val="bottom"/>
          </w:tcPr>
          <w:p w14:paraId="36F47FF5">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r>
      <w:tr w14:paraId="7ED5BAA5">
        <w:tblPrEx>
          <w:tblCellMar>
            <w:top w:w="0" w:type="dxa"/>
            <w:left w:w="108" w:type="dxa"/>
            <w:bottom w:w="0" w:type="dxa"/>
            <w:right w:w="108" w:type="dxa"/>
          </w:tblCellMar>
        </w:tblPrEx>
        <w:trPr>
          <w:trHeight w:val="420" w:hRule="atLeast"/>
        </w:trPr>
        <w:tc>
          <w:tcPr>
            <w:tcW w:w="1772" w:type="dxa"/>
            <w:vMerge w:val="restart"/>
            <w:tcBorders>
              <w:top w:val="single" w:color="000000" w:sz="4" w:space="0"/>
              <w:left w:val="single" w:color="000000" w:sz="4" w:space="0"/>
              <w:bottom w:val="single" w:color="000000" w:sz="4" w:space="0"/>
              <w:right w:val="nil"/>
            </w:tcBorders>
            <w:noWrap/>
            <w:vAlign w:val="center"/>
          </w:tcPr>
          <w:p w14:paraId="094DAFE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承修方</w:t>
            </w:r>
          </w:p>
        </w:tc>
        <w:tc>
          <w:tcPr>
            <w:tcW w:w="1816" w:type="dxa"/>
            <w:vMerge w:val="restart"/>
            <w:tcBorders>
              <w:top w:val="single" w:color="000000" w:sz="4" w:space="0"/>
              <w:left w:val="single" w:color="000000" w:sz="4" w:space="0"/>
              <w:bottom w:val="single" w:color="000000" w:sz="4" w:space="0"/>
              <w:right w:val="single" w:color="000000" w:sz="4" w:space="0"/>
            </w:tcBorders>
            <w:noWrap/>
            <w:vAlign w:val="bottom"/>
          </w:tcPr>
          <w:p w14:paraId="44FEF705">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245FB316">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6352387C">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承修方：</w:t>
            </w:r>
          </w:p>
        </w:tc>
        <w:tc>
          <w:tcPr>
            <w:tcW w:w="222" w:type="dxa"/>
            <w:tcBorders>
              <w:top w:val="nil"/>
              <w:left w:val="nil"/>
              <w:bottom w:val="nil"/>
              <w:right w:val="nil"/>
            </w:tcBorders>
            <w:noWrap/>
            <w:vAlign w:val="bottom"/>
          </w:tcPr>
          <w:p w14:paraId="2855CBDD">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48EA95D4">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托修方</w:t>
            </w:r>
          </w:p>
        </w:tc>
        <w:tc>
          <w:tcPr>
            <w:tcW w:w="2970" w:type="dxa"/>
            <w:gridSpan w:val="2"/>
            <w:tcBorders>
              <w:top w:val="single" w:color="000000" w:sz="4" w:space="0"/>
              <w:left w:val="single" w:color="000000" w:sz="4" w:space="0"/>
              <w:bottom w:val="single" w:color="000000" w:sz="4" w:space="0"/>
              <w:right w:val="single" w:color="000000" w:sz="4" w:space="0"/>
            </w:tcBorders>
            <w:noWrap/>
            <w:vAlign w:val="bottom"/>
          </w:tcPr>
          <w:p w14:paraId="3EA172C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236D1F35">
        <w:tblPrEx>
          <w:tblCellMar>
            <w:top w:w="0" w:type="dxa"/>
            <w:left w:w="108" w:type="dxa"/>
            <w:bottom w:w="0" w:type="dxa"/>
            <w:right w:w="108" w:type="dxa"/>
          </w:tblCellMar>
        </w:tblPrEx>
        <w:trPr>
          <w:trHeight w:val="405" w:hRule="atLeast"/>
        </w:trPr>
        <w:tc>
          <w:tcPr>
            <w:tcW w:w="1772" w:type="dxa"/>
            <w:vMerge w:val="continue"/>
            <w:tcBorders>
              <w:top w:val="single" w:color="000000" w:sz="4" w:space="0"/>
              <w:left w:val="single" w:color="000000" w:sz="4" w:space="0"/>
              <w:bottom w:val="single" w:color="000000" w:sz="4" w:space="0"/>
              <w:right w:val="nil"/>
            </w:tcBorders>
            <w:noWrap/>
            <w:vAlign w:val="center"/>
          </w:tcPr>
          <w:p w14:paraId="409D35EC">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1816" w:type="dxa"/>
            <w:vMerge w:val="continue"/>
            <w:tcBorders>
              <w:top w:val="single" w:color="000000" w:sz="4" w:space="0"/>
              <w:left w:val="single" w:color="000000" w:sz="4" w:space="0"/>
              <w:bottom w:val="single" w:color="000000" w:sz="4" w:space="0"/>
              <w:right w:val="single" w:color="000000" w:sz="4" w:space="0"/>
            </w:tcBorders>
            <w:noWrap/>
            <w:vAlign w:val="bottom"/>
          </w:tcPr>
          <w:p w14:paraId="72285EE7">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33B4581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7F754D66">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37AD5C5D">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381876C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车辆型号</w:t>
            </w:r>
          </w:p>
        </w:tc>
        <w:tc>
          <w:tcPr>
            <w:tcW w:w="2970" w:type="dxa"/>
            <w:gridSpan w:val="2"/>
            <w:tcBorders>
              <w:top w:val="single" w:color="000000" w:sz="4" w:space="0"/>
              <w:left w:val="single" w:color="000000" w:sz="4" w:space="0"/>
              <w:bottom w:val="single" w:color="000000" w:sz="4" w:space="0"/>
              <w:right w:val="single" w:color="000000" w:sz="4" w:space="0"/>
            </w:tcBorders>
            <w:noWrap/>
            <w:vAlign w:val="bottom"/>
          </w:tcPr>
          <w:p w14:paraId="56C304BA">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06265CB1">
        <w:tblPrEx>
          <w:tblCellMar>
            <w:top w:w="0" w:type="dxa"/>
            <w:left w:w="108" w:type="dxa"/>
            <w:bottom w:w="0" w:type="dxa"/>
            <w:right w:w="108" w:type="dxa"/>
          </w:tblCellMar>
        </w:tblPrEx>
        <w:trPr>
          <w:trHeight w:val="480" w:hRule="atLeast"/>
        </w:trPr>
        <w:tc>
          <w:tcPr>
            <w:tcW w:w="1772" w:type="dxa"/>
            <w:tcBorders>
              <w:top w:val="single" w:color="000000" w:sz="4" w:space="0"/>
              <w:left w:val="single" w:color="000000" w:sz="4" w:space="0"/>
              <w:bottom w:val="single" w:color="000000" w:sz="4" w:space="0"/>
              <w:right w:val="single" w:color="000000" w:sz="4" w:space="0"/>
            </w:tcBorders>
            <w:noWrap/>
            <w:vAlign w:val="bottom"/>
          </w:tcPr>
          <w:p w14:paraId="343E2F3E">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车牌号码</w:t>
            </w:r>
          </w:p>
        </w:tc>
        <w:tc>
          <w:tcPr>
            <w:tcW w:w="1816" w:type="dxa"/>
            <w:tcBorders>
              <w:top w:val="single" w:color="000000" w:sz="4" w:space="0"/>
              <w:left w:val="single" w:color="000000" w:sz="4" w:space="0"/>
              <w:bottom w:val="single" w:color="000000" w:sz="4" w:space="0"/>
              <w:right w:val="single" w:color="000000" w:sz="4" w:space="0"/>
            </w:tcBorders>
            <w:noWrap/>
            <w:vAlign w:val="bottom"/>
          </w:tcPr>
          <w:p w14:paraId="682B2E4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3FC98BB1">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14:paraId="4D0F167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车牌号码</w:t>
            </w:r>
          </w:p>
        </w:tc>
        <w:tc>
          <w:tcPr>
            <w:tcW w:w="1553" w:type="dxa"/>
            <w:tcBorders>
              <w:top w:val="single" w:color="000000" w:sz="4" w:space="0"/>
              <w:left w:val="single" w:color="000000" w:sz="4" w:space="0"/>
              <w:bottom w:val="single" w:color="000000" w:sz="4" w:space="0"/>
              <w:right w:val="single" w:color="000000" w:sz="4" w:space="0"/>
            </w:tcBorders>
            <w:noWrap/>
            <w:vAlign w:val="bottom"/>
          </w:tcPr>
          <w:p w14:paraId="6EB31DE2">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7503411B">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车辆型号</w:t>
            </w:r>
          </w:p>
        </w:tc>
        <w:tc>
          <w:tcPr>
            <w:tcW w:w="940" w:type="dxa"/>
            <w:tcBorders>
              <w:top w:val="single" w:color="000000" w:sz="4" w:space="0"/>
              <w:left w:val="single" w:color="000000" w:sz="4" w:space="0"/>
              <w:bottom w:val="single" w:color="000000" w:sz="4" w:space="0"/>
              <w:right w:val="single" w:color="000000" w:sz="4" w:space="0"/>
            </w:tcBorders>
            <w:noWrap/>
            <w:vAlign w:val="bottom"/>
          </w:tcPr>
          <w:p w14:paraId="14ED06F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68DB93BE">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3303D0C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车牌号码</w:t>
            </w:r>
          </w:p>
        </w:tc>
        <w:tc>
          <w:tcPr>
            <w:tcW w:w="2970" w:type="dxa"/>
            <w:gridSpan w:val="2"/>
            <w:tcBorders>
              <w:top w:val="single" w:color="000000" w:sz="4" w:space="0"/>
              <w:left w:val="single" w:color="000000" w:sz="4" w:space="0"/>
              <w:bottom w:val="single" w:color="000000" w:sz="4" w:space="0"/>
              <w:right w:val="single" w:color="000000" w:sz="4" w:space="0"/>
            </w:tcBorders>
            <w:noWrap/>
            <w:vAlign w:val="bottom"/>
          </w:tcPr>
          <w:p w14:paraId="355B4667">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74EB1D84">
        <w:tblPrEx>
          <w:tblCellMar>
            <w:top w:w="0" w:type="dxa"/>
            <w:left w:w="108" w:type="dxa"/>
            <w:bottom w:w="0" w:type="dxa"/>
            <w:right w:w="108" w:type="dxa"/>
          </w:tblCellMar>
        </w:tblPrEx>
        <w:trPr>
          <w:trHeight w:val="540" w:hRule="atLeast"/>
        </w:trPr>
        <w:tc>
          <w:tcPr>
            <w:tcW w:w="1772" w:type="dxa"/>
            <w:tcBorders>
              <w:top w:val="single" w:color="000000" w:sz="4" w:space="0"/>
              <w:left w:val="single" w:color="000000" w:sz="4" w:space="0"/>
              <w:bottom w:val="single" w:color="000000" w:sz="4" w:space="0"/>
              <w:right w:val="single" w:color="000000" w:sz="4" w:space="0"/>
            </w:tcBorders>
            <w:noWrap/>
            <w:vAlign w:val="bottom"/>
          </w:tcPr>
          <w:p w14:paraId="51AAFB7D">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车辆型号</w:t>
            </w:r>
          </w:p>
        </w:tc>
        <w:tc>
          <w:tcPr>
            <w:tcW w:w="1816" w:type="dxa"/>
            <w:tcBorders>
              <w:top w:val="single" w:color="000000" w:sz="4" w:space="0"/>
              <w:left w:val="single" w:color="000000" w:sz="4" w:space="0"/>
              <w:bottom w:val="single" w:color="000000" w:sz="4" w:space="0"/>
              <w:right w:val="single" w:color="000000" w:sz="4" w:space="0"/>
            </w:tcBorders>
            <w:noWrap/>
            <w:vAlign w:val="bottom"/>
          </w:tcPr>
          <w:p w14:paraId="58C1B3D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7CF639F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vMerge w:val="restart"/>
            <w:tcBorders>
              <w:top w:val="single" w:color="000000" w:sz="4" w:space="0"/>
              <w:left w:val="single" w:color="000000" w:sz="4" w:space="0"/>
              <w:bottom w:val="single" w:color="000000" w:sz="4" w:space="0"/>
              <w:right w:val="single" w:color="000000" w:sz="4" w:space="0"/>
            </w:tcBorders>
            <w:noWrap/>
          </w:tcPr>
          <w:p w14:paraId="0230A17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托修项目（或故障表述）：</w:t>
            </w:r>
          </w:p>
        </w:tc>
        <w:tc>
          <w:tcPr>
            <w:tcW w:w="222" w:type="dxa"/>
            <w:tcBorders>
              <w:top w:val="nil"/>
              <w:left w:val="nil"/>
              <w:bottom w:val="nil"/>
              <w:right w:val="nil"/>
            </w:tcBorders>
            <w:noWrap/>
            <w:vAlign w:val="bottom"/>
          </w:tcPr>
          <w:p w14:paraId="7449F46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6FF76583">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维修金额明细</w:t>
            </w: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5279E418">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应收</w:t>
            </w:r>
          </w:p>
        </w:tc>
        <w:tc>
          <w:tcPr>
            <w:tcW w:w="1197" w:type="dxa"/>
            <w:tcBorders>
              <w:top w:val="single" w:color="000000" w:sz="4" w:space="0"/>
              <w:left w:val="single" w:color="000000" w:sz="4" w:space="0"/>
              <w:bottom w:val="single" w:color="000000" w:sz="4" w:space="0"/>
              <w:right w:val="single" w:color="000000" w:sz="4" w:space="0"/>
            </w:tcBorders>
            <w:noWrap/>
            <w:vAlign w:val="bottom"/>
          </w:tcPr>
          <w:p w14:paraId="6A5FFB65">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实收</w:t>
            </w:r>
          </w:p>
        </w:tc>
      </w:tr>
      <w:tr w14:paraId="23008361">
        <w:tblPrEx>
          <w:tblCellMar>
            <w:top w:w="0" w:type="dxa"/>
            <w:left w:w="108" w:type="dxa"/>
            <w:bottom w:w="0" w:type="dxa"/>
            <w:right w:w="108" w:type="dxa"/>
          </w:tblCellMar>
        </w:tblPrEx>
        <w:trPr>
          <w:trHeight w:val="1980" w:hRule="atLeast"/>
        </w:trPr>
        <w:tc>
          <w:tcPr>
            <w:tcW w:w="3588" w:type="dxa"/>
            <w:gridSpan w:val="2"/>
            <w:vMerge w:val="restart"/>
            <w:tcBorders>
              <w:top w:val="single" w:color="000000" w:sz="4" w:space="0"/>
              <w:left w:val="single" w:color="000000" w:sz="4" w:space="0"/>
              <w:bottom w:val="single" w:color="000000" w:sz="4" w:space="0"/>
              <w:right w:val="single" w:color="000000" w:sz="4" w:space="0"/>
            </w:tcBorders>
            <w:noWrap/>
          </w:tcPr>
          <w:p w14:paraId="6BBEAE9B">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托修项目（或故障表述）：</w:t>
            </w:r>
          </w:p>
        </w:tc>
        <w:tc>
          <w:tcPr>
            <w:tcW w:w="239" w:type="dxa"/>
            <w:tcBorders>
              <w:top w:val="nil"/>
              <w:left w:val="nil"/>
              <w:bottom w:val="nil"/>
              <w:right w:val="nil"/>
            </w:tcBorders>
            <w:noWrap/>
            <w:vAlign w:val="bottom"/>
          </w:tcPr>
          <w:p w14:paraId="7FC162F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vMerge w:val="continue"/>
            <w:tcBorders>
              <w:top w:val="single" w:color="000000" w:sz="4" w:space="0"/>
              <w:left w:val="single" w:color="000000" w:sz="4" w:space="0"/>
              <w:bottom w:val="single" w:color="000000" w:sz="4" w:space="0"/>
              <w:right w:val="single" w:color="000000" w:sz="4" w:space="0"/>
            </w:tcBorders>
            <w:noWrap/>
          </w:tcPr>
          <w:p w14:paraId="51BFD568">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217BB733">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A191E1A">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工时费</w:t>
            </w: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77024D60">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97" w:type="dxa"/>
            <w:tcBorders>
              <w:top w:val="single" w:color="000000" w:sz="4" w:space="0"/>
              <w:left w:val="single" w:color="000000" w:sz="4" w:space="0"/>
              <w:bottom w:val="single" w:color="000000" w:sz="4" w:space="0"/>
              <w:right w:val="single" w:color="000000" w:sz="4" w:space="0"/>
            </w:tcBorders>
            <w:noWrap/>
            <w:vAlign w:val="bottom"/>
          </w:tcPr>
          <w:p w14:paraId="2709161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r>
      <w:tr w14:paraId="443877A2">
        <w:tblPrEx>
          <w:tblCellMar>
            <w:top w:w="0" w:type="dxa"/>
            <w:left w:w="108" w:type="dxa"/>
            <w:bottom w:w="0" w:type="dxa"/>
            <w:right w:w="108" w:type="dxa"/>
          </w:tblCellMar>
        </w:tblPrEx>
        <w:trPr>
          <w:trHeight w:val="315" w:hRule="atLeast"/>
        </w:trPr>
        <w:tc>
          <w:tcPr>
            <w:tcW w:w="3588" w:type="dxa"/>
            <w:gridSpan w:val="2"/>
            <w:vMerge w:val="continue"/>
            <w:tcBorders>
              <w:top w:val="single" w:color="000000" w:sz="4" w:space="0"/>
              <w:left w:val="single" w:color="000000" w:sz="4" w:space="0"/>
              <w:bottom w:val="single" w:color="000000" w:sz="4" w:space="0"/>
              <w:right w:val="single" w:color="000000" w:sz="4" w:space="0"/>
            </w:tcBorders>
            <w:noWrap/>
          </w:tcPr>
          <w:p w14:paraId="3DF897ED">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7734E725">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742" w:type="dxa"/>
            <w:gridSpan w:val="2"/>
            <w:tcBorders>
              <w:top w:val="single" w:color="000000" w:sz="4" w:space="0"/>
              <w:left w:val="single" w:color="000000" w:sz="4" w:space="0"/>
              <w:bottom w:val="single" w:color="000000" w:sz="4" w:space="0"/>
              <w:right w:val="single" w:color="000000" w:sz="4" w:space="0"/>
            </w:tcBorders>
            <w:noWrap/>
            <w:vAlign w:val="bottom"/>
          </w:tcPr>
          <w:p w14:paraId="40F31F14">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托修方：</w:t>
            </w: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3CC3F457">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车辆管理负责人：</w:t>
            </w:r>
          </w:p>
        </w:tc>
        <w:tc>
          <w:tcPr>
            <w:tcW w:w="940" w:type="dxa"/>
            <w:tcBorders>
              <w:top w:val="single" w:color="000000" w:sz="4" w:space="0"/>
              <w:left w:val="single" w:color="000000" w:sz="4" w:space="0"/>
              <w:bottom w:val="single" w:color="000000" w:sz="4" w:space="0"/>
              <w:right w:val="single" w:color="000000" w:sz="4" w:space="0"/>
            </w:tcBorders>
            <w:noWrap/>
            <w:vAlign w:val="bottom"/>
          </w:tcPr>
          <w:p w14:paraId="7E55F863">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69792A36">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restart"/>
            <w:tcBorders>
              <w:top w:val="single" w:color="000000" w:sz="4" w:space="0"/>
              <w:left w:val="single" w:color="000000" w:sz="4" w:space="0"/>
              <w:bottom w:val="single" w:color="000000" w:sz="4" w:space="0"/>
              <w:right w:val="single" w:color="000000" w:sz="4" w:space="0"/>
            </w:tcBorders>
            <w:noWrap/>
            <w:vAlign w:val="center"/>
          </w:tcPr>
          <w:p w14:paraId="78F3B1F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材料费</w:t>
            </w:r>
          </w:p>
        </w:tc>
        <w:tc>
          <w:tcPr>
            <w:tcW w:w="1773" w:type="dxa"/>
            <w:vMerge w:val="restart"/>
            <w:tcBorders>
              <w:top w:val="single" w:color="000000" w:sz="4" w:space="0"/>
              <w:left w:val="single" w:color="000000" w:sz="4" w:space="0"/>
              <w:bottom w:val="single" w:color="000000" w:sz="4" w:space="0"/>
              <w:right w:val="single" w:color="000000" w:sz="4" w:space="0"/>
            </w:tcBorders>
            <w:noWrap/>
            <w:vAlign w:val="bottom"/>
          </w:tcPr>
          <w:p w14:paraId="57646490">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1197" w:type="dxa"/>
            <w:vMerge w:val="restart"/>
            <w:tcBorders>
              <w:top w:val="single" w:color="000000" w:sz="4" w:space="0"/>
              <w:left w:val="single" w:color="000000" w:sz="4" w:space="0"/>
              <w:bottom w:val="single" w:color="000000" w:sz="4" w:space="0"/>
              <w:right w:val="single" w:color="000000" w:sz="4" w:space="0"/>
            </w:tcBorders>
            <w:noWrap/>
            <w:vAlign w:val="bottom"/>
          </w:tcPr>
          <w:p w14:paraId="32A27E64">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37F846ED">
        <w:tblPrEx>
          <w:tblCellMar>
            <w:top w:w="0" w:type="dxa"/>
            <w:left w:w="108" w:type="dxa"/>
            <w:bottom w:w="0" w:type="dxa"/>
            <w:right w:w="108" w:type="dxa"/>
          </w:tblCellMar>
        </w:tblPrEx>
        <w:trPr>
          <w:trHeight w:val="600" w:hRule="atLeast"/>
        </w:trPr>
        <w:tc>
          <w:tcPr>
            <w:tcW w:w="3588" w:type="dxa"/>
            <w:gridSpan w:val="2"/>
            <w:vMerge w:val="continue"/>
            <w:tcBorders>
              <w:top w:val="single" w:color="000000" w:sz="4" w:space="0"/>
              <w:left w:val="single" w:color="000000" w:sz="4" w:space="0"/>
              <w:bottom w:val="single" w:color="000000" w:sz="4" w:space="0"/>
              <w:right w:val="single" w:color="000000" w:sz="4" w:space="0"/>
            </w:tcBorders>
            <w:noWrap/>
          </w:tcPr>
          <w:p w14:paraId="2CF9804B">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0985626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tcBorders>
              <w:top w:val="single" w:color="000000" w:sz="4" w:space="0"/>
              <w:left w:val="single" w:color="000000" w:sz="4" w:space="0"/>
              <w:bottom w:val="single" w:color="000000" w:sz="4" w:space="0"/>
              <w:right w:val="single" w:color="000000" w:sz="4" w:space="0"/>
            </w:tcBorders>
            <w:noWrap/>
            <w:vAlign w:val="bottom"/>
          </w:tcPr>
          <w:p w14:paraId="3A3FB2AD">
            <w:pPr>
              <w:keepNext w:val="0"/>
              <w:keepLines w:val="0"/>
              <w:widowControl/>
              <w:kinsoku/>
              <w:wordWrap/>
              <w:overflowPunct/>
              <w:topLinePunct w:val="0"/>
              <w:autoSpaceDE/>
              <w:autoSpaceDN/>
              <w:bidi w:val="0"/>
              <w:adjustRightInd/>
              <w:snapToGrid/>
              <w:spacing w:line="360" w:lineRule="auto"/>
              <w:jc w:val="right"/>
              <w:textAlignment w:val="auto"/>
              <w:rPr>
                <w:rFonts w:ascii="仿宋" w:hAnsi="仿宋" w:eastAsia="仿宋" w:cs="仿宋"/>
                <w:sz w:val="20"/>
                <w:szCs w:val="20"/>
              </w:rPr>
            </w:pPr>
            <w:r>
              <w:rPr>
                <w:rFonts w:hint="eastAsia" w:ascii="仿宋" w:hAnsi="仿宋" w:eastAsia="仿宋" w:cs="仿宋"/>
                <w:sz w:val="20"/>
                <w:szCs w:val="20"/>
              </w:rPr>
              <w:t>托修方（盖章）：        年  月  日</w:t>
            </w:r>
          </w:p>
        </w:tc>
        <w:tc>
          <w:tcPr>
            <w:tcW w:w="222" w:type="dxa"/>
            <w:tcBorders>
              <w:top w:val="nil"/>
              <w:left w:val="nil"/>
              <w:bottom w:val="nil"/>
              <w:right w:val="nil"/>
            </w:tcBorders>
            <w:noWrap/>
            <w:vAlign w:val="bottom"/>
          </w:tcPr>
          <w:p w14:paraId="3B4BB0DD">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center"/>
          </w:tcPr>
          <w:p w14:paraId="5B306F23">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bottom"/>
          </w:tcPr>
          <w:p w14:paraId="69DAD27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1197" w:type="dxa"/>
            <w:vMerge w:val="continue"/>
            <w:tcBorders>
              <w:top w:val="single" w:color="000000" w:sz="4" w:space="0"/>
              <w:left w:val="single" w:color="000000" w:sz="4" w:space="0"/>
              <w:bottom w:val="single" w:color="000000" w:sz="4" w:space="0"/>
              <w:right w:val="single" w:color="000000" w:sz="4" w:space="0"/>
            </w:tcBorders>
            <w:noWrap/>
            <w:vAlign w:val="bottom"/>
          </w:tcPr>
          <w:p w14:paraId="3BE82339">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1CC838CF">
        <w:tblPrEx>
          <w:tblCellMar>
            <w:top w:w="0" w:type="dxa"/>
            <w:left w:w="108" w:type="dxa"/>
            <w:bottom w:w="0" w:type="dxa"/>
            <w:right w:w="108" w:type="dxa"/>
          </w:tblCellMar>
        </w:tblPrEx>
        <w:trPr>
          <w:trHeight w:val="315" w:hRule="atLeast"/>
        </w:trPr>
        <w:tc>
          <w:tcPr>
            <w:tcW w:w="3588" w:type="dxa"/>
            <w:gridSpan w:val="2"/>
            <w:vMerge w:val="continue"/>
            <w:tcBorders>
              <w:top w:val="single" w:color="000000" w:sz="4" w:space="0"/>
              <w:left w:val="single" w:color="000000" w:sz="4" w:space="0"/>
              <w:bottom w:val="single" w:color="000000" w:sz="4" w:space="0"/>
              <w:right w:val="single" w:color="000000" w:sz="4" w:space="0"/>
            </w:tcBorders>
            <w:noWrap/>
          </w:tcPr>
          <w:p w14:paraId="0A128E1B">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78CA27B1">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tcBorders>
              <w:top w:val="nil"/>
              <w:left w:val="nil"/>
              <w:bottom w:val="nil"/>
              <w:right w:val="nil"/>
            </w:tcBorders>
            <w:noWrap/>
            <w:vAlign w:val="bottom"/>
          </w:tcPr>
          <w:p w14:paraId="3824DA53">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第二部分：由承修方填写</w:t>
            </w:r>
          </w:p>
        </w:tc>
        <w:tc>
          <w:tcPr>
            <w:tcW w:w="222" w:type="dxa"/>
            <w:tcBorders>
              <w:top w:val="nil"/>
              <w:left w:val="nil"/>
              <w:bottom w:val="nil"/>
              <w:right w:val="nil"/>
            </w:tcBorders>
            <w:noWrap/>
            <w:vAlign w:val="bottom"/>
          </w:tcPr>
          <w:p w14:paraId="638411E4">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restart"/>
            <w:tcBorders>
              <w:top w:val="single" w:color="000000" w:sz="4" w:space="0"/>
              <w:left w:val="single" w:color="000000" w:sz="4" w:space="0"/>
              <w:bottom w:val="single" w:color="000000" w:sz="4" w:space="0"/>
              <w:right w:val="single" w:color="000000" w:sz="4" w:space="0"/>
            </w:tcBorders>
            <w:noWrap/>
            <w:vAlign w:val="center"/>
          </w:tcPr>
          <w:p w14:paraId="1776B09B">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外加工费</w:t>
            </w:r>
          </w:p>
        </w:tc>
        <w:tc>
          <w:tcPr>
            <w:tcW w:w="1773" w:type="dxa"/>
            <w:vMerge w:val="restart"/>
            <w:tcBorders>
              <w:top w:val="single" w:color="000000" w:sz="4" w:space="0"/>
              <w:left w:val="single" w:color="000000" w:sz="4" w:space="0"/>
              <w:bottom w:val="single" w:color="000000" w:sz="4" w:space="0"/>
              <w:right w:val="single" w:color="000000" w:sz="4" w:space="0"/>
            </w:tcBorders>
            <w:noWrap/>
            <w:vAlign w:val="bottom"/>
          </w:tcPr>
          <w:p w14:paraId="1C2F9F9A">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1197" w:type="dxa"/>
            <w:vMerge w:val="restart"/>
            <w:tcBorders>
              <w:top w:val="single" w:color="000000" w:sz="4" w:space="0"/>
              <w:left w:val="single" w:color="000000" w:sz="4" w:space="0"/>
              <w:bottom w:val="single" w:color="000000" w:sz="4" w:space="0"/>
              <w:right w:val="single" w:color="000000" w:sz="4" w:space="0"/>
            </w:tcBorders>
            <w:noWrap/>
            <w:vAlign w:val="bottom"/>
          </w:tcPr>
          <w:p w14:paraId="002F2A78">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49A85222">
        <w:tblPrEx>
          <w:tblCellMar>
            <w:top w:w="0" w:type="dxa"/>
            <w:left w:w="108" w:type="dxa"/>
            <w:bottom w:w="0" w:type="dxa"/>
            <w:right w:w="108" w:type="dxa"/>
          </w:tblCellMar>
        </w:tblPrEx>
        <w:trPr>
          <w:trHeight w:val="615" w:hRule="atLeast"/>
        </w:trPr>
        <w:tc>
          <w:tcPr>
            <w:tcW w:w="3588" w:type="dxa"/>
            <w:gridSpan w:val="2"/>
            <w:vMerge w:val="continue"/>
            <w:tcBorders>
              <w:top w:val="single" w:color="000000" w:sz="4" w:space="0"/>
              <w:left w:val="single" w:color="000000" w:sz="4" w:space="0"/>
              <w:bottom w:val="single" w:color="000000" w:sz="4" w:space="0"/>
              <w:right w:val="single" w:color="000000" w:sz="4" w:space="0"/>
            </w:tcBorders>
            <w:noWrap/>
          </w:tcPr>
          <w:p w14:paraId="1FA8D445">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02F0CA8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vMerge w:val="restart"/>
            <w:tcBorders>
              <w:top w:val="single" w:color="000000" w:sz="4" w:space="0"/>
              <w:left w:val="single" w:color="000000" w:sz="4" w:space="0"/>
              <w:bottom w:val="single" w:color="000000" w:sz="4" w:space="0"/>
              <w:right w:val="single" w:color="000000" w:sz="4" w:space="0"/>
            </w:tcBorders>
            <w:noWrap/>
          </w:tcPr>
          <w:p w14:paraId="70752961">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故障诊断、维修项目、作业内容：</w:t>
            </w:r>
          </w:p>
        </w:tc>
        <w:tc>
          <w:tcPr>
            <w:tcW w:w="222" w:type="dxa"/>
            <w:tcBorders>
              <w:top w:val="nil"/>
              <w:left w:val="nil"/>
              <w:bottom w:val="nil"/>
              <w:right w:val="nil"/>
            </w:tcBorders>
            <w:noWrap/>
            <w:vAlign w:val="bottom"/>
          </w:tcPr>
          <w:p w14:paraId="4819CAE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center"/>
          </w:tcPr>
          <w:p w14:paraId="6776C81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bottom"/>
          </w:tcPr>
          <w:p w14:paraId="322F0E41">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1197" w:type="dxa"/>
            <w:vMerge w:val="continue"/>
            <w:tcBorders>
              <w:top w:val="single" w:color="000000" w:sz="4" w:space="0"/>
              <w:left w:val="single" w:color="000000" w:sz="4" w:space="0"/>
              <w:bottom w:val="single" w:color="000000" w:sz="4" w:space="0"/>
              <w:right w:val="single" w:color="000000" w:sz="4" w:space="0"/>
            </w:tcBorders>
            <w:noWrap/>
            <w:vAlign w:val="bottom"/>
          </w:tcPr>
          <w:p w14:paraId="2B4E83E3">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209892B3">
        <w:tblPrEx>
          <w:tblCellMar>
            <w:top w:w="0" w:type="dxa"/>
            <w:left w:w="108" w:type="dxa"/>
            <w:bottom w:w="0" w:type="dxa"/>
            <w:right w:w="108" w:type="dxa"/>
          </w:tblCellMar>
        </w:tblPrEx>
        <w:trPr>
          <w:trHeight w:val="1380" w:hRule="atLeast"/>
        </w:trPr>
        <w:tc>
          <w:tcPr>
            <w:tcW w:w="3588" w:type="dxa"/>
            <w:gridSpan w:val="2"/>
            <w:vMerge w:val="continue"/>
            <w:tcBorders>
              <w:top w:val="single" w:color="000000" w:sz="4" w:space="0"/>
              <w:left w:val="single" w:color="000000" w:sz="4" w:space="0"/>
              <w:bottom w:val="single" w:color="000000" w:sz="4" w:space="0"/>
              <w:right w:val="single" w:color="000000" w:sz="4" w:space="0"/>
            </w:tcBorders>
            <w:noWrap/>
          </w:tcPr>
          <w:p w14:paraId="02E361E8">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06A14E04">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vMerge w:val="continue"/>
            <w:tcBorders>
              <w:top w:val="single" w:color="000000" w:sz="4" w:space="0"/>
              <w:left w:val="single" w:color="000000" w:sz="4" w:space="0"/>
              <w:bottom w:val="single" w:color="000000" w:sz="4" w:space="0"/>
              <w:right w:val="single" w:color="000000" w:sz="4" w:space="0"/>
            </w:tcBorders>
            <w:noWrap/>
          </w:tcPr>
          <w:p w14:paraId="50AD79AD">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57EFD643">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1AC028C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合计</w:t>
            </w:r>
          </w:p>
        </w:tc>
        <w:tc>
          <w:tcPr>
            <w:tcW w:w="1773" w:type="dxa"/>
            <w:tcBorders>
              <w:top w:val="single" w:color="000000" w:sz="4" w:space="0"/>
              <w:left w:val="single" w:color="000000" w:sz="4" w:space="0"/>
              <w:bottom w:val="single" w:color="000000" w:sz="4" w:space="0"/>
              <w:right w:val="single" w:color="000000" w:sz="4" w:space="0"/>
            </w:tcBorders>
            <w:noWrap/>
            <w:vAlign w:val="bottom"/>
          </w:tcPr>
          <w:p w14:paraId="6775DA5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97" w:type="dxa"/>
            <w:tcBorders>
              <w:top w:val="single" w:color="000000" w:sz="4" w:space="0"/>
              <w:left w:val="single" w:color="000000" w:sz="4" w:space="0"/>
              <w:bottom w:val="single" w:color="000000" w:sz="4" w:space="0"/>
              <w:right w:val="single" w:color="000000" w:sz="4" w:space="0"/>
            </w:tcBorders>
            <w:noWrap/>
            <w:vAlign w:val="bottom"/>
          </w:tcPr>
          <w:p w14:paraId="4C47EB32">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r>
      <w:tr w14:paraId="3260723F">
        <w:tblPrEx>
          <w:tblCellMar>
            <w:top w:w="0" w:type="dxa"/>
            <w:left w:w="108" w:type="dxa"/>
            <w:bottom w:w="0" w:type="dxa"/>
            <w:right w:w="108" w:type="dxa"/>
          </w:tblCellMar>
        </w:tblPrEx>
        <w:trPr>
          <w:trHeight w:val="240" w:hRule="atLeast"/>
        </w:trPr>
        <w:tc>
          <w:tcPr>
            <w:tcW w:w="1772" w:type="dxa"/>
            <w:tcBorders>
              <w:top w:val="single" w:color="000000" w:sz="4" w:space="0"/>
              <w:left w:val="single" w:color="000000" w:sz="4" w:space="0"/>
              <w:bottom w:val="nil"/>
              <w:right w:val="nil"/>
            </w:tcBorders>
            <w:noWrap/>
            <w:vAlign w:val="bottom"/>
          </w:tcPr>
          <w:p w14:paraId="69EFF2D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816" w:type="dxa"/>
            <w:tcBorders>
              <w:top w:val="single" w:color="000000" w:sz="4" w:space="0"/>
              <w:left w:val="nil"/>
              <w:bottom w:val="nil"/>
              <w:right w:val="single" w:color="000000" w:sz="4" w:space="0"/>
            </w:tcBorders>
            <w:noWrap/>
            <w:vAlign w:val="bottom"/>
          </w:tcPr>
          <w:p w14:paraId="4DE5E54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22F078DA">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14:paraId="01EEA8F4">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维修金额：</w:t>
            </w:r>
          </w:p>
        </w:tc>
        <w:tc>
          <w:tcPr>
            <w:tcW w:w="1553" w:type="dxa"/>
            <w:tcBorders>
              <w:top w:val="single" w:color="000000" w:sz="4" w:space="0"/>
              <w:left w:val="single" w:color="000000" w:sz="4" w:space="0"/>
              <w:bottom w:val="single" w:color="000000" w:sz="4" w:space="0"/>
              <w:right w:val="single" w:color="000000" w:sz="4" w:space="0"/>
            </w:tcBorders>
            <w:noWrap/>
            <w:vAlign w:val="bottom"/>
          </w:tcPr>
          <w:p w14:paraId="0CC3D9E7">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应收</w:t>
            </w:r>
          </w:p>
        </w:tc>
        <w:tc>
          <w:tcPr>
            <w:tcW w:w="2713" w:type="dxa"/>
            <w:gridSpan w:val="2"/>
            <w:tcBorders>
              <w:top w:val="single" w:color="000000" w:sz="4" w:space="0"/>
              <w:left w:val="single" w:color="000000" w:sz="4" w:space="0"/>
              <w:bottom w:val="single" w:color="000000" w:sz="4" w:space="0"/>
              <w:right w:val="single" w:color="000000" w:sz="4" w:space="0"/>
            </w:tcBorders>
            <w:noWrap/>
            <w:vAlign w:val="bottom"/>
          </w:tcPr>
          <w:p w14:paraId="05EFE68D">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实收</w:t>
            </w:r>
          </w:p>
        </w:tc>
        <w:tc>
          <w:tcPr>
            <w:tcW w:w="222" w:type="dxa"/>
            <w:tcBorders>
              <w:top w:val="nil"/>
              <w:left w:val="nil"/>
              <w:bottom w:val="nil"/>
              <w:right w:val="nil"/>
            </w:tcBorders>
            <w:noWrap/>
            <w:vAlign w:val="bottom"/>
          </w:tcPr>
          <w:p w14:paraId="542BBB62">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4743" w:type="dxa"/>
            <w:gridSpan w:val="3"/>
            <w:tcBorders>
              <w:top w:val="single" w:color="000000" w:sz="4" w:space="0"/>
              <w:left w:val="nil"/>
              <w:bottom w:val="single" w:color="000000" w:sz="4" w:space="0"/>
              <w:right w:val="single" w:color="000000" w:sz="4" w:space="0"/>
            </w:tcBorders>
            <w:noWrap/>
            <w:vAlign w:val="bottom"/>
          </w:tcPr>
          <w:p w14:paraId="27FA1F5B">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0410903A">
        <w:tblPrEx>
          <w:tblCellMar>
            <w:top w:w="0" w:type="dxa"/>
            <w:left w:w="108" w:type="dxa"/>
            <w:bottom w:w="0" w:type="dxa"/>
            <w:right w:w="108" w:type="dxa"/>
          </w:tblCellMar>
        </w:tblPrEx>
        <w:trPr>
          <w:trHeight w:val="240" w:hRule="atLeast"/>
        </w:trPr>
        <w:tc>
          <w:tcPr>
            <w:tcW w:w="1772" w:type="dxa"/>
            <w:tcBorders>
              <w:top w:val="nil"/>
              <w:left w:val="single" w:color="000000" w:sz="4" w:space="0"/>
              <w:bottom w:val="nil"/>
              <w:right w:val="nil"/>
            </w:tcBorders>
            <w:noWrap/>
            <w:vAlign w:val="bottom"/>
          </w:tcPr>
          <w:p w14:paraId="47B0CCAD">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托修方：</w:t>
            </w:r>
          </w:p>
        </w:tc>
        <w:tc>
          <w:tcPr>
            <w:tcW w:w="1816" w:type="dxa"/>
            <w:tcBorders>
              <w:top w:val="nil"/>
              <w:left w:val="nil"/>
              <w:bottom w:val="nil"/>
              <w:right w:val="single" w:color="000000" w:sz="4" w:space="0"/>
            </w:tcBorders>
            <w:noWrap/>
            <w:vAlign w:val="bottom"/>
          </w:tcPr>
          <w:p w14:paraId="68D39CC4">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736EEBA0">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14:paraId="0AEF7830">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工时数：</w:t>
            </w:r>
          </w:p>
        </w:tc>
        <w:tc>
          <w:tcPr>
            <w:tcW w:w="1553" w:type="dxa"/>
            <w:tcBorders>
              <w:top w:val="single" w:color="000000" w:sz="4" w:space="0"/>
              <w:left w:val="single" w:color="000000" w:sz="4" w:space="0"/>
              <w:bottom w:val="single" w:color="000000" w:sz="4" w:space="0"/>
              <w:right w:val="single" w:color="000000" w:sz="4" w:space="0"/>
            </w:tcBorders>
            <w:noWrap/>
            <w:vAlign w:val="bottom"/>
          </w:tcPr>
          <w:p w14:paraId="04998FEC">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713" w:type="dxa"/>
            <w:gridSpan w:val="2"/>
            <w:tcBorders>
              <w:top w:val="single" w:color="000000" w:sz="4" w:space="0"/>
              <w:left w:val="single" w:color="000000" w:sz="4" w:space="0"/>
              <w:bottom w:val="single" w:color="000000" w:sz="4" w:space="0"/>
              <w:right w:val="single" w:color="000000" w:sz="4" w:space="0"/>
            </w:tcBorders>
            <w:noWrap/>
            <w:vAlign w:val="bottom"/>
          </w:tcPr>
          <w:p w14:paraId="23DC051E">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4BBBC29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restart"/>
            <w:tcBorders>
              <w:top w:val="single" w:color="000000" w:sz="4" w:space="0"/>
              <w:left w:val="single" w:color="000000" w:sz="4" w:space="0"/>
              <w:bottom w:val="single" w:color="000000" w:sz="4" w:space="0"/>
              <w:right w:val="single" w:color="000000" w:sz="4" w:space="0"/>
            </w:tcBorders>
            <w:noWrap/>
            <w:vAlign w:val="bottom"/>
          </w:tcPr>
          <w:p w14:paraId="5A94CBB5">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直接计费收费</w:t>
            </w:r>
          </w:p>
        </w:tc>
        <w:tc>
          <w:tcPr>
            <w:tcW w:w="1773" w:type="dxa"/>
            <w:vMerge w:val="restart"/>
            <w:tcBorders>
              <w:top w:val="single" w:color="000000" w:sz="4" w:space="0"/>
              <w:left w:val="single" w:color="000000" w:sz="4" w:space="0"/>
              <w:bottom w:val="single" w:color="000000" w:sz="4" w:space="0"/>
              <w:right w:val="single" w:color="000000" w:sz="4" w:space="0"/>
            </w:tcBorders>
            <w:noWrap/>
            <w:vAlign w:val="bottom"/>
          </w:tcPr>
          <w:p w14:paraId="3B38446C">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1197" w:type="dxa"/>
            <w:vMerge w:val="restart"/>
            <w:tcBorders>
              <w:top w:val="single" w:color="000000" w:sz="4" w:space="0"/>
              <w:left w:val="single" w:color="000000" w:sz="4" w:space="0"/>
              <w:bottom w:val="single" w:color="000000" w:sz="4" w:space="0"/>
              <w:right w:val="single" w:color="000000" w:sz="4" w:space="0"/>
            </w:tcBorders>
            <w:noWrap/>
            <w:vAlign w:val="bottom"/>
          </w:tcPr>
          <w:p w14:paraId="2976862A">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0CADEEBB">
        <w:tblPrEx>
          <w:tblCellMar>
            <w:top w:w="0" w:type="dxa"/>
            <w:left w:w="108" w:type="dxa"/>
            <w:bottom w:w="0" w:type="dxa"/>
            <w:right w:w="108" w:type="dxa"/>
          </w:tblCellMar>
        </w:tblPrEx>
        <w:trPr>
          <w:trHeight w:val="240" w:hRule="atLeast"/>
        </w:trPr>
        <w:tc>
          <w:tcPr>
            <w:tcW w:w="1772" w:type="dxa"/>
            <w:tcBorders>
              <w:top w:val="nil"/>
              <w:left w:val="single" w:color="000000" w:sz="4" w:space="0"/>
              <w:bottom w:val="nil"/>
              <w:right w:val="nil"/>
            </w:tcBorders>
            <w:noWrap/>
            <w:vAlign w:val="bottom"/>
          </w:tcPr>
          <w:p w14:paraId="5BFFFE3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816" w:type="dxa"/>
            <w:tcBorders>
              <w:top w:val="nil"/>
              <w:left w:val="nil"/>
              <w:bottom w:val="nil"/>
              <w:right w:val="single" w:color="000000" w:sz="4" w:space="0"/>
            </w:tcBorders>
            <w:noWrap/>
            <w:vAlign w:val="bottom"/>
          </w:tcPr>
          <w:p w14:paraId="07FA60D6">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4C612BE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14:paraId="3FD8FACF">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工时费：</w:t>
            </w:r>
          </w:p>
        </w:tc>
        <w:tc>
          <w:tcPr>
            <w:tcW w:w="1553" w:type="dxa"/>
            <w:tcBorders>
              <w:top w:val="single" w:color="000000" w:sz="4" w:space="0"/>
              <w:left w:val="single" w:color="000000" w:sz="4" w:space="0"/>
              <w:bottom w:val="single" w:color="000000" w:sz="4" w:space="0"/>
              <w:right w:val="single" w:color="000000" w:sz="4" w:space="0"/>
            </w:tcBorders>
            <w:noWrap/>
            <w:vAlign w:val="bottom"/>
          </w:tcPr>
          <w:p w14:paraId="7AFE11E2">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713" w:type="dxa"/>
            <w:gridSpan w:val="2"/>
            <w:tcBorders>
              <w:top w:val="single" w:color="000000" w:sz="4" w:space="0"/>
              <w:left w:val="single" w:color="000000" w:sz="4" w:space="0"/>
              <w:bottom w:val="single" w:color="000000" w:sz="4" w:space="0"/>
              <w:right w:val="single" w:color="000000" w:sz="4" w:space="0"/>
            </w:tcBorders>
            <w:noWrap/>
            <w:vAlign w:val="bottom"/>
          </w:tcPr>
          <w:p w14:paraId="1C570FEF">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2FD5ADB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bottom"/>
          </w:tcPr>
          <w:p w14:paraId="5949596F">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bottom"/>
          </w:tcPr>
          <w:p w14:paraId="57A232C8">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1197" w:type="dxa"/>
            <w:vMerge w:val="continue"/>
            <w:tcBorders>
              <w:top w:val="single" w:color="000000" w:sz="4" w:space="0"/>
              <w:left w:val="single" w:color="000000" w:sz="4" w:space="0"/>
              <w:bottom w:val="single" w:color="000000" w:sz="4" w:space="0"/>
              <w:right w:val="single" w:color="000000" w:sz="4" w:space="0"/>
            </w:tcBorders>
            <w:noWrap/>
            <w:vAlign w:val="bottom"/>
          </w:tcPr>
          <w:p w14:paraId="7A7890C3">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1076BDC7">
        <w:tblPrEx>
          <w:tblCellMar>
            <w:top w:w="0" w:type="dxa"/>
            <w:left w:w="108" w:type="dxa"/>
            <w:bottom w:w="0" w:type="dxa"/>
            <w:right w:w="108" w:type="dxa"/>
          </w:tblCellMar>
        </w:tblPrEx>
        <w:trPr>
          <w:trHeight w:val="285" w:hRule="atLeast"/>
        </w:trPr>
        <w:tc>
          <w:tcPr>
            <w:tcW w:w="1772" w:type="dxa"/>
            <w:tcBorders>
              <w:top w:val="nil"/>
              <w:left w:val="single" w:color="000000" w:sz="4" w:space="0"/>
              <w:bottom w:val="nil"/>
              <w:right w:val="nil"/>
            </w:tcBorders>
            <w:noWrap/>
            <w:vAlign w:val="bottom"/>
          </w:tcPr>
          <w:p w14:paraId="20EA8D11">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816" w:type="dxa"/>
            <w:tcBorders>
              <w:top w:val="nil"/>
              <w:left w:val="nil"/>
              <w:bottom w:val="nil"/>
              <w:right w:val="single" w:color="000000" w:sz="4" w:space="0"/>
            </w:tcBorders>
            <w:noWrap/>
            <w:vAlign w:val="bottom"/>
          </w:tcPr>
          <w:p w14:paraId="7088CC35">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4C194451">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14:paraId="68702C05">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材料费：</w:t>
            </w:r>
          </w:p>
        </w:tc>
        <w:tc>
          <w:tcPr>
            <w:tcW w:w="1553" w:type="dxa"/>
            <w:tcBorders>
              <w:top w:val="single" w:color="000000" w:sz="4" w:space="0"/>
              <w:left w:val="single" w:color="000000" w:sz="4" w:space="0"/>
              <w:bottom w:val="single" w:color="000000" w:sz="4" w:space="0"/>
              <w:right w:val="single" w:color="000000" w:sz="4" w:space="0"/>
            </w:tcBorders>
            <w:noWrap/>
            <w:vAlign w:val="bottom"/>
          </w:tcPr>
          <w:p w14:paraId="754CBC0A">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713" w:type="dxa"/>
            <w:gridSpan w:val="2"/>
            <w:tcBorders>
              <w:top w:val="single" w:color="000000" w:sz="4" w:space="0"/>
              <w:left w:val="single" w:color="000000" w:sz="4" w:space="0"/>
              <w:bottom w:val="single" w:color="000000" w:sz="4" w:space="0"/>
              <w:right w:val="single" w:color="000000" w:sz="4" w:space="0"/>
            </w:tcBorders>
            <w:noWrap/>
            <w:vAlign w:val="bottom"/>
          </w:tcPr>
          <w:p w14:paraId="009C75FC">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0D15CA2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restart"/>
            <w:tcBorders>
              <w:top w:val="single" w:color="000000" w:sz="4" w:space="0"/>
              <w:left w:val="single" w:color="000000" w:sz="4" w:space="0"/>
              <w:bottom w:val="single" w:color="000000" w:sz="4" w:space="0"/>
              <w:right w:val="single" w:color="000000" w:sz="4" w:space="0"/>
            </w:tcBorders>
            <w:noWrap/>
            <w:vAlign w:val="bottom"/>
          </w:tcPr>
          <w:p w14:paraId="090D3423">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维修工期：</w:t>
            </w:r>
          </w:p>
        </w:tc>
        <w:tc>
          <w:tcPr>
            <w:tcW w:w="2970" w:type="dxa"/>
            <w:gridSpan w:val="2"/>
            <w:vMerge w:val="restart"/>
            <w:tcBorders>
              <w:top w:val="single" w:color="000000" w:sz="4" w:space="0"/>
              <w:left w:val="single" w:color="000000" w:sz="4" w:space="0"/>
              <w:bottom w:val="single" w:color="000000" w:sz="4" w:space="0"/>
              <w:right w:val="single" w:color="000000" w:sz="4" w:space="0"/>
            </w:tcBorders>
            <w:noWrap/>
            <w:vAlign w:val="bottom"/>
          </w:tcPr>
          <w:p w14:paraId="3061A3AF">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天</w:t>
            </w:r>
          </w:p>
        </w:tc>
      </w:tr>
      <w:tr w14:paraId="14DAFCC2">
        <w:tblPrEx>
          <w:tblCellMar>
            <w:top w:w="0" w:type="dxa"/>
            <w:left w:w="108" w:type="dxa"/>
            <w:bottom w:w="0" w:type="dxa"/>
            <w:right w:w="108" w:type="dxa"/>
          </w:tblCellMar>
        </w:tblPrEx>
        <w:trPr>
          <w:trHeight w:val="240" w:hRule="atLeast"/>
        </w:trPr>
        <w:tc>
          <w:tcPr>
            <w:tcW w:w="1772" w:type="dxa"/>
            <w:tcBorders>
              <w:top w:val="nil"/>
              <w:left w:val="single" w:color="000000" w:sz="4" w:space="0"/>
              <w:bottom w:val="nil"/>
              <w:right w:val="nil"/>
            </w:tcBorders>
            <w:noWrap/>
            <w:vAlign w:val="bottom"/>
          </w:tcPr>
          <w:p w14:paraId="129F7780">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车辆管理负责人：</w:t>
            </w:r>
          </w:p>
        </w:tc>
        <w:tc>
          <w:tcPr>
            <w:tcW w:w="1816" w:type="dxa"/>
            <w:tcBorders>
              <w:top w:val="nil"/>
              <w:left w:val="nil"/>
              <w:bottom w:val="nil"/>
              <w:right w:val="single" w:color="000000" w:sz="4" w:space="0"/>
            </w:tcBorders>
            <w:noWrap/>
            <w:vAlign w:val="bottom"/>
          </w:tcPr>
          <w:p w14:paraId="1402833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61F2253A">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000000" w:sz="4" w:space="0"/>
              <w:left w:val="single" w:color="000000" w:sz="4" w:space="0"/>
              <w:bottom w:val="single" w:color="auto" w:sz="4" w:space="0"/>
              <w:right w:val="single" w:color="000000" w:sz="4" w:space="0"/>
            </w:tcBorders>
            <w:noWrap/>
            <w:vAlign w:val="bottom"/>
          </w:tcPr>
          <w:p w14:paraId="579D6AAD">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外加工费：</w:t>
            </w:r>
          </w:p>
        </w:tc>
        <w:tc>
          <w:tcPr>
            <w:tcW w:w="1553" w:type="dxa"/>
            <w:tcBorders>
              <w:top w:val="single" w:color="000000" w:sz="4" w:space="0"/>
              <w:left w:val="single" w:color="000000" w:sz="4" w:space="0"/>
              <w:bottom w:val="single" w:color="auto" w:sz="4" w:space="0"/>
              <w:right w:val="single" w:color="000000" w:sz="4" w:space="0"/>
            </w:tcBorders>
            <w:noWrap/>
            <w:vAlign w:val="bottom"/>
          </w:tcPr>
          <w:p w14:paraId="24F86A60">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713" w:type="dxa"/>
            <w:gridSpan w:val="2"/>
            <w:tcBorders>
              <w:top w:val="single" w:color="000000" w:sz="4" w:space="0"/>
              <w:left w:val="single" w:color="000000" w:sz="4" w:space="0"/>
              <w:bottom w:val="single" w:color="auto" w:sz="4" w:space="0"/>
              <w:right w:val="single" w:color="000000" w:sz="4" w:space="0"/>
            </w:tcBorders>
            <w:noWrap/>
            <w:vAlign w:val="bottom"/>
          </w:tcPr>
          <w:p w14:paraId="4BF15F2E">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nil"/>
              <w:bottom w:val="nil"/>
              <w:right w:val="nil"/>
            </w:tcBorders>
            <w:noWrap/>
            <w:vAlign w:val="bottom"/>
          </w:tcPr>
          <w:p w14:paraId="15E6A12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vMerge w:val="continue"/>
            <w:tcBorders>
              <w:top w:val="single" w:color="000000" w:sz="4" w:space="0"/>
              <w:left w:val="single" w:color="000000" w:sz="4" w:space="0"/>
              <w:bottom w:val="single" w:color="000000" w:sz="4" w:space="0"/>
              <w:right w:val="single" w:color="000000" w:sz="4" w:space="0"/>
            </w:tcBorders>
            <w:noWrap/>
            <w:vAlign w:val="bottom"/>
          </w:tcPr>
          <w:p w14:paraId="28547A85">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noWrap/>
            <w:vAlign w:val="bottom"/>
          </w:tcPr>
          <w:p w14:paraId="2879025E">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r>
      <w:tr w14:paraId="70A645CD">
        <w:tblPrEx>
          <w:tblCellMar>
            <w:top w:w="0" w:type="dxa"/>
            <w:left w:w="108" w:type="dxa"/>
            <w:bottom w:w="0" w:type="dxa"/>
            <w:right w:w="108" w:type="dxa"/>
          </w:tblCellMar>
        </w:tblPrEx>
        <w:trPr>
          <w:trHeight w:val="285" w:hRule="atLeast"/>
        </w:trPr>
        <w:tc>
          <w:tcPr>
            <w:tcW w:w="1772" w:type="dxa"/>
            <w:tcBorders>
              <w:top w:val="nil"/>
              <w:left w:val="single" w:color="000000" w:sz="4" w:space="0"/>
              <w:bottom w:val="nil"/>
              <w:right w:val="nil"/>
            </w:tcBorders>
            <w:noWrap/>
            <w:vAlign w:val="bottom"/>
          </w:tcPr>
          <w:p w14:paraId="2ABDC9D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816" w:type="dxa"/>
            <w:tcBorders>
              <w:top w:val="nil"/>
              <w:left w:val="nil"/>
              <w:bottom w:val="nil"/>
              <w:right w:val="single" w:color="000000" w:sz="4" w:space="0"/>
            </w:tcBorders>
            <w:noWrap/>
            <w:vAlign w:val="bottom"/>
          </w:tcPr>
          <w:p w14:paraId="29C5656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single" w:color="auto" w:sz="4" w:space="0"/>
            </w:tcBorders>
            <w:noWrap/>
            <w:vAlign w:val="bottom"/>
          </w:tcPr>
          <w:p w14:paraId="450FA1E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auto" w:sz="4" w:space="0"/>
              <w:left w:val="single" w:color="auto" w:sz="4" w:space="0"/>
              <w:bottom w:val="single" w:color="auto" w:sz="4" w:space="0"/>
              <w:right w:val="single" w:color="auto" w:sz="4" w:space="0"/>
            </w:tcBorders>
            <w:noWrap/>
            <w:vAlign w:val="bottom"/>
          </w:tcPr>
          <w:p w14:paraId="0D0E1DB4">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合计：</w:t>
            </w:r>
          </w:p>
        </w:tc>
        <w:tc>
          <w:tcPr>
            <w:tcW w:w="1553" w:type="dxa"/>
            <w:tcBorders>
              <w:top w:val="single" w:color="auto" w:sz="4" w:space="0"/>
              <w:left w:val="single" w:color="auto" w:sz="4" w:space="0"/>
              <w:bottom w:val="single" w:color="auto" w:sz="4" w:space="0"/>
              <w:right w:val="single" w:color="auto" w:sz="4" w:space="0"/>
            </w:tcBorders>
            <w:noWrap/>
            <w:vAlign w:val="bottom"/>
          </w:tcPr>
          <w:p w14:paraId="42628F87">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713" w:type="dxa"/>
            <w:gridSpan w:val="2"/>
            <w:tcBorders>
              <w:top w:val="single" w:color="auto" w:sz="4" w:space="0"/>
              <w:left w:val="single" w:color="auto" w:sz="4" w:space="0"/>
              <w:bottom w:val="single" w:color="auto" w:sz="4" w:space="0"/>
              <w:right w:val="single" w:color="auto" w:sz="4" w:space="0"/>
            </w:tcBorders>
            <w:noWrap/>
            <w:vAlign w:val="bottom"/>
          </w:tcPr>
          <w:p w14:paraId="37DC780D">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single" w:color="auto" w:sz="4" w:space="0"/>
              <w:bottom w:val="nil"/>
              <w:right w:val="nil"/>
            </w:tcBorders>
            <w:noWrap/>
            <w:vAlign w:val="bottom"/>
          </w:tcPr>
          <w:p w14:paraId="07A6DBB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4743" w:type="dxa"/>
            <w:gridSpan w:val="3"/>
            <w:vMerge w:val="restart"/>
            <w:tcBorders>
              <w:top w:val="single" w:color="000000" w:sz="4" w:space="0"/>
              <w:left w:val="single" w:color="000000" w:sz="4" w:space="0"/>
              <w:bottom w:val="nil"/>
              <w:right w:val="single" w:color="000000" w:sz="4" w:space="0"/>
            </w:tcBorders>
            <w:noWrap/>
            <w:vAlign w:val="bottom"/>
          </w:tcPr>
          <w:p w14:paraId="75DBDF45">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联络人：</w:t>
            </w:r>
          </w:p>
        </w:tc>
      </w:tr>
      <w:tr w14:paraId="43AB7452">
        <w:tblPrEx>
          <w:tblCellMar>
            <w:top w:w="0" w:type="dxa"/>
            <w:left w:w="108" w:type="dxa"/>
            <w:bottom w:w="0" w:type="dxa"/>
            <w:right w:w="108" w:type="dxa"/>
          </w:tblCellMar>
        </w:tblPrEx>
        <w:trPr>
          <w:trHeight w:val="240" w:hRule="atLeast"/>
        </w:trPr>
        <w:tc>
          <w:tcPr>
            <w:tcW w:w="1772" w:type="dxa"/>
            <w:vMerge w:val="restart"/>
            <w:tcBorders>
              <w:top w:val="nil"/>
              <w:left w:val="single" w:color="000000" w:sz="4" w:space="0"/>
              <w:bottom w:val="nil"/>
              <w:right w:val="nil"/>
            </w:tcBorders>
            <w:noWrap/>
            <w:vAlign w:val="center"/>
          </w:tcPr>
          <w:p w14:paraId="42B88436">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领导审批：</w:t>
            </w:r>
          </w:p>
        </w:tc>
        <w:tc>
          <w:tcPr>
            <w:tcW w:w="1816" w:type="dxa"/>
            <w:tcBorders>
              <w:top w:val="nil"/>
              <w:left w:val="nil"/>
              <w:bottom w:val="nil"/>
              <w:right w:val="single" w:color="000000" w:sz="4" w:space="0"/>
            </w:tcBorders>
            <w:noWrap/>
            <w:vAlign w:val="bottom"/>
          </w:tcPr>
          <w:p w14:paraId="3B49072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single" w:color="auto" w:sz="4" w:space="0"/>
            </w:tcBorders>
            <w:noWrap/>
            <w:vAlign w:val="bottom"/>
          </w:tcPr>
          <w:p w14:paraId="1AAE57B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single" w:color="auto" w:sz="4" w:space="0"/>
              <w:left w:val="single" w:color="auto" w:sz="4" w:space="0"/>
              <w:bottom w:val="nil"/>
              <w:right w:val="nil"/>
            </w:tcBorders>
            <w:noWrap/>
            <w:vAlign w:val="bottom"/>
          </w:tcPr>
          <w:p w14:paraId="587DD098">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维修工期：</w:t>
            </w:r>
          </w:p>
        </w:tc>
        <w:tc>
          <w:tcPr>
            <w:tcW w:w="4266" w:type="dxa"/>
            <w:gridSpan w:val="3"/>
            <w:tcBorders>
              <w:top w:val="single" w:color="auto" w:sz="4" w:space="0"/>
              <w:left w:val="nil"/>
              <w:bottom w:val="nil"/>
              <w:right w:val="single" w:color="auto" w:sz="4" w:space="0"/>
            </w:tcBorders>
            <w:noWrap/>
            <w:vAlign w:val="bottom"/>
          </w:tcPr>
          <w:p w14:paraId="28318644">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single" w:color="auto" w:sz="4" w:space="0"/>
              <w:bottom w:val="nil"/>
              <w:right w:val="nil"/>
            </w:tcBorders>
            <w:noWrap/>
            <w:vAlign w:val="bottom"/>
          </w:tcPr>
          <w:p w14:paraId="7C692AF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4743" w:type="dxa"/>
            <w:gridSpan w:val="3"/>
            <w:vMerge w:val="continue"/>
            <w:tcBorders>
              <w:top w:val="single" w:color="000000" w:sz="4" w:space="0"/>
              <w:left w:val="single" w:color="000000" w:sz="4" w:space="0"/>
              <w:bottom w:val="nil"/>
              <w:right w:val="single" w:color="000000" w:sz="4" w:space="0"/>
            </w:tcBorders>
            <w:noWrap/>
            <w:vAlign w:val="bottom"/>
          </w:tcPr>
          <w:p w14:paraId="29BBAC50">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r>
      <w:tr w14:paraId="5F9A9995">
        <w:tblPrEx>
          <w:tblCellMar>
            <w:top w:w="0" w:type="dxa"/>
            <w:left w:w="108" w:type="dxa"/>
            <w:bottom w:w="0" w:type="dxa"/>
            <w:right w:w="108" w:type="dxa"/>
          </w:tblCellMar>
        </w:tblPrEx>
        <w:trPr>
          <w:trHeight w:val="240" w:hRule="atLeast"/>
        </w:trPr>
        <w:tc>
          <w:tcPr>
            <w:tcW w:w="1772" w:type="dxa"/>
            <w:vMerge w:val="continue"/>
            <w:tcBorders>
              <w:top w:val="nil"/>
              <w:left w:val="single" w:color="000000" w:sz="4" w:space="0"/>
              <w:bottom w:val="nil"/>
              <w:right w:val="nil"/>
            </w:tcBorders>
            <w:noWrap/>
            <w:vAlign w:val="center"/>
          </w:tcPr>
          <w:p w14:paraId="60B0737A">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1816" w:type="dxa"/>
            <w:tcBorders>
              <w:top w:val="nil"/>
              <w:left w:val="nil"/>
              <w:bottom w:val="nil"/>
              <w:right w:val="single" w:color="000000" w:sz="4" w:space="0"/>
            </w:tcBorders>
            <w:noWrap/>
            <w:vAlign w:val="bottom"/>
          </w:tcPr>
          <w:p w14:paraId="2414BA6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single" w:color="auto" w:sz="4" w:space="0"/>
            </w:tcBorders>
            <w:noWrap/>
            <w:vAlign w:val="bottom"/>
          </w:tcPr>
          <w:p w14:paraId="2CC63F98">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nil"/>
              <w:left w:val="single" w:color="auto" w:sz="4" w:space="0"/>
              <w:bottom w:val="nil"/>
              <w:right w:val="nil"/>
            </w:tcBorders>
            <w:noWrap/>
            <w:vAlign w:val="bottom"/>
          </w:tcPr>
          <w:p w14:paraId="4C74AE0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553" w:type="dxa"/>
            <w:tcBorders>
              <w:top w:val="nil"/>
              <w:left w:val="nil"/>
              <w:bottom w:val="nil"/>
              <w:right w:val="nil"/>
            </w:tcBorders>
            <w:noWrap/>
            <w:vAlign w:val="bottom"/>
          </w:tcPr>
          <w:p w14:paraId="012D2CF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nil"/>
              <w:right w:val="nil"/>
            </w:tcBorders>
            <w:noWrap/>
            <w:vAlign w:val="bottom"/>
          </w:tcPr>
          <w:p w14:paraId="56A868FE">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承修方盖章：</w:t>
            </w:r>
          </w:p>
        </w:tc>
        <w:tc>
          <w:tcPr>
            <w:tcW w:w="940" w:type="dxa"/>
            <w:tcBorders>
              <w:top w:val="nil"/>
              <w:left w:val="nil"/>
              <w:bottom w:val="nil"/>
              <w:right w:val="single" w:color="auto" w:sz="4" w:space="0"/>
            </w:tcBorders>
            <w:noWrap/>
            <w:vAlign w:val="bottom"/>
          </w:tcPr>
          <w:p w14:paraId="18703764">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22" w:type="dxa"/>
            <w:tcBorders>
              <w:top w:val="nil"/>
              <w:left w:val="single" w:color="auto" w:sz="4" w:space="0"/>
              <w:bottom w:val="nil"/>
              <w:right w:val="nil"/>
            </w:tcBorders>
            <w:noWrap/>
            <w:vAlign w:val="bottom"/>
          </w:tcPr>
          <w:p w14:paraId="24F19D6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4743" w:type="dxa"/>
            <w:gridSpan w:val="3"/>
            <w:vMerge w:val="restart"/>
            <w:tcBorders>
              <w:top w:val="nil"/>
              <w:left w:val="single" w:color="000000" w:sz="4" w:space="0"/>
              <w:bottom w:val="nil"/>
              <w:right w:val="single" w:color="000000" w:sz="4" w:space="0"/>
            </w:tcBorders>
            <w:noWrap/>
            <w:vAlign w:val="bottom"/>
          </w:tcPr>
          <w:p w14:paraId="04ACF50D">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检验员：</w:t>
            </w:r>
          </w:p>
        </w:tc>
      </w:tr>
      <w:tr w14:paraId="6027B5D0">
        <w:tblPrEx>
          <w:tblCellMar>
            <w:top w:w="0" w:type="dxa"/>
            <w:left w:w="108" w:type="dxa"/>
            <w:bottom w:w="0" w:type="dxa"/>
            <w:right w:w="108" w:type="dxa"/>
          </w:tblCellMar>
        </w:tblPrEx>
        <w:trPr>
          <w:trHeight w:val="150" w:hRule="atLeast"/>
        </w:trPr>
        <w:tc>
          <w:tcPr>
            <w:tcW w:w="1772" w:type="dxa"/>
            <w:tcBorders>
              <w:top w:val="nil"/>
              <w:left w:val="single" w:color="000000" w:sz="4" w:space="0"/>
              <w:bottom w:val="nil"/>
              <w:right w:val="nil"/>
            </w:tcBorders>
            <w:noWrap/>
            <w:vAlign w:val="bottom"/>
          </w:tcPr>
          <w:p w14:paraId="40A4EEA3">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816" w:type="dxa"/>
            <w:tcBorders>
              <w:top w:val="nil"/>
              <w:left w:val="nil"/>
              <w:bottom w:val="nil"/>
              <w:right w:val="single" w:color="000000" w:sz="4" w:space="0"/>
            </w:tcBorders>
            <w:noWrap/>
            <w:vAlign w:val="bottom"/>
          </w:tcPr>
          <w:p w14:paraId="0DE4DF3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5931E3FA">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tcBorders>
              <w:top w:val="nil"/>
              <w:left w:val="single" w:color="000000" w:sz="4" w:space="0"/>
              <w:bottom w:val="nil"/>
              <w:right w:val="single" w:color="auto" w:sz="4" w:space="0"/>
            </w:tcBorders>
            <w:noWrap/>
            <w:vAlign w:val="bottom"/>
          </w:tcPr>
          <w:p w14:paraId="71D703AF">
            <w:pPr>
              <w:keepNext w:val="0"/>
              <w:keepLines w:val="0"/>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p>
        </w:tc>
        <w:tc>
          <w:tcPr>
            <w:tcW w:w="222" w:type="dxa"/>
            <w:tcBorders>
              <w:top w:val="nil"/>
              <w:left w:val="single" w:color="auto" w:sz="4" w:space="0"/>
              <w:bottom w:val="nil"/>
              <w:right w:val="nil"/>
            </w:tcBorders>
            <w:noWrap/>
            <w:vAlign w:val="bottom"/>
          </w:tcPr>
          <w:p w14:paraId="626B2B8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4743" w:type="dxa"/>
            <w:gridSpan w:val="3"/>
            <w:vMerge w:val="continue"/>
            <w:tcBorders>
              <w:top w:val="nil"/>
              <w:left w:val="single" w:color="000000" w:sz="4" w:space="0"/>
              <w:bottom w:val="nil"/>
              <w:right w:val="single" w:color="000000" w:sz="4" w:space="0"/>
            </w:tcBorders>
            <w:noWrap/>
            <w:vAlign w:val="bottom"/>
          </w:tcPr>
          <w:p w14:paraId="16BA7860">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r>
      <w:tr w14:paraId="1797F290">
        <w:tblPrEx>
          <w:tblCellMar>
            <w:top w:w="0" w:type="dxa"/>
            <w:left w:w="108" w:type="dxa"/>
            <w:bottom w:w="0" w:type="dxa"/>
            <w:right w:w="108" w:type="dxa"/>
          </w:tblCellMar>
        </w:tblPrEx>
        <w:trPr>
          <w:trHeight w:val="615" w:hRule="atLeast"/>
        </w:trPr>
        <w:tc>
          <w:tcPr>
            <w:tcW w:w="3588" w:type="dxa"/>
            <w:gridSpan w:val="2"/>
            <w:tcBorders>
              <w:top w:val="nil"/>
              <w:left w:val="single" w:color="000000" w:sz="4" w:space="0"/>
              <w:bottom w:val="nil"/>
              <w:right w:val="single" w:color="000000" w:sz="4" w:space="0"/>
            </w:tcBorders>
            <w:noWrap/>
            <w:vAlign w:val="bottom"/>
          </w:tcPr>
          <w:p w14:paraId="1758C88B">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 xml:space="preserve">   年  月  日</w:t>
            </w:r>
          </w:p>
        </w:tc>
        <w:tc>
          <w:tcPr>
            <w:tcW w:w="239" w:type="dxa"/>
            <w:tcBorders>
              <w:top w:val="nil"/>
              <w:left w:val="nil"/>
              <w:bottom w:val="nil"/>
              <w:right w:val="nil"/>
            </w:tcBorders>
            <w:noWrap/>
            <w:vAlign w:val="bottom"/>
          </w:tcPr>
          <w:p w14:paraId="57DE8D0D">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5455" w:type="dxa"/>
            <w:gridSpan w:val="4"/>
            <w:tcBorders>
              <w:top w:val="single" w:color="000000" w:sz="4" w:space="0"/>
              <w:left w:val="single" w:color="000000" w:sz="4" w:space="0"/>
              <w:bottom w:val="nil"/>
              <w:right w:val="single" w:color="000000" w:sz="4" w:space="0"/>
            </w:tcBorders>
            <w:noWrap/>
          </w:tcPr>
          <w:p w14:paraId="5A66561C">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 xml:space="preserve">托修方意见：   </w:t>
            </w:r>
          </w:p>
        </w:tc>
        <w:tc>
          <w:tcPr>
            <w:tcW w:w="222" w:type="dxa"/>
            <w:tcBorders>
              <w:top w:val="nil"/>
              <w:left w:val="nil"/>
              <w:bottom w:val="nil"/>
              <w:right w:val="nil"/>
            </w:tcBorders>
            <w:noWrap/>
            <w:vAlign w:val="bottom"/>
          </w:tcPr>
          <w:p w14:paraId="125BF589">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single" w:color="000000" w:sz="4" w:space="0"/>
              <w:bottom w:val="nil"/>
              <w:right w:val="nil"/>
            </w:tcBorders>
            <w:noWrap/>
            <w:vAlign w:val="bottom"/>
          </w:tcPr>
          <w:p w14:paraId="7739D54E">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承修方（盖章）：</w:t>
            </w:r>
          </w:p>
        </w:tc>
        <w:tc>
          <w:tcPr>
            <w:tcW w:w="1773" w:type="dxa"/>
            <w:tcBorders>
              <w:top w:val="nil"/>
              <w:left w:val="nil"/>
              <w:bottom w:val="nil"/>
              <w:right w:val="nil"/>
            </w:tcBorders>
            <w:noWrap/>
            <w:vAlign w:val="bottom"/>
          </w:tcPr>
          <w:p w14:paraId="118C03EE">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97" w:type="dxa"/>
            <w:tcBorders>
              <w:top w:val="nil"/>
              <w:left w:val="nil"/>
              <w:bottom w:val="nil"/>
              <w:right w:val="single" w:color="000000" w:sz="4" w:space="0"/>
            </w:tcBorders>
            <w:noWrap/>
            <w:vAlign w:val="bottom"/>
          </w:tcPr>
          <w:p w14:paraId="0027A8CB">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r>
      <w:tr w14:paraId="550C6129">
        <w:tblPrEx>
          <w:tblCellMar>
            <w:top w:w="0" w:type="dxa"/>
            <w:left w:w="108" w:type="dxa"/>
            <w:bottom w:w="0" w:type="dxa"/>
            <w:right w:w="108" w:type="dxa"/>
          </w:tblCellMar>
        </w:tblPrEx>
        <w:trPr>
          <w:trHeight w:val="285" w:hRule="atLeast"/>
        </w:trPr>
        <w:tc>
          <w:tcPr>
            <w:tcW w:w="1772" w:type="dxa"/>
            <w:tcBorders>
              <w:top w:val="nil"/>
              <w:left w:val="single" w:color="000000" w:sz="4" w:space="0"/>
              <w:bottom w:val="single" w:color="000000" w:sz="4" w:space="0"/>
              <w:right w:val="nil"/>
            </w:tcBorders>
            <w:noWrap/>
            <w:vAlign w:val="bottom"/>
          </w:tcPr>
          <w:p w14:paraId="29813AC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816" w:type="dxa"/>
            <w:tcBorders>
              <w:top w:val="nil"/>
              <w:left w:val="nil"/>
              <w:bottom w:val="single" w:color="000000" w:sz="4" w:space="0"/>
              <w:right w:val="single" w:color="000000" w:sz="4" w:space="0"/>
            </w:tcBorders>
            <w:noWrap/>
            <w:vAlign w:val="bottom"/>
          </w:tcPr>
          <w:p w14:paraId="0C60C18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239" w:type="dxa"/>
            <w:tcBorders>
              <w:top w:val="nil"/>
              <w:left w:val="nil"/>
              <w:bottom w:val="nil"/>
              <w:right w:val="nil"/>
            </w:tcBorders>
            <w:noWrap/>
            <w:vAlign w:val="bottom"/>
          </w:tcPr>
          <w:p w14:paraId="74BD361F">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189" w:type="dxa"/>
            <w:tcBorders>
              <w:top w:val="nil"/>
              <w:left w:val="single" w:color="000000" w:sz="4" w:space="0"/>
              <w:bottom w:val="single" w:color="000000" w:sz="4" w:space="0"/>
              <w:right w:val="nil"/>
            </w:tcBorders>
            <w:noWrap/>
          </w:tcPr>
          <w:p w14:paraId="2A223CDA">
            <w:pPr>
              <w:keepNext w:val="0"/>
              <w:keepLines w:val="0"/>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p>
        </w:tc>
        <w:tc>
          <w:tcPr>
            <w:tcW w:w="4266" w:type="dxa"/>
            <w:gridSpan w:val="3"/>
            <w:tcBorders>
              <w:top w:val="nil"/>
              <w:left w:val="nil"/>
              <w:bottom w:val="single" w:color="000000" w:sz="4" w:space="0"/>
              <w:right w:val="single" w:color="000000" w:sz="4" w:space="0"/>
            </w:tcBorders>
            <w:noWrap/>
          </w:tcPr>
          <w:p w14:paraId="4217917C">
            <w:pPr>
              <w:keepNext w:val="0"/>
              <w:keepLines w:val="0"/>
              <w:widowControl/>
              <w:kinsoku/>
              <w:wordWrap/>
              <w:overflowPunct/>
              <w:topLinePunct w:val="0"/>
              <w:autoSpaceDE/>
              <w:autoSpaceDN/>
              <w:bidi w:val="0"/>
              <w:adjustRightInd/>
              <w:snapToGrid/>
              <w:spacing w:line="360" w:lineRule="auto"/>
              <w:jc w:val="center"/>
              <w:textAlignment w:val="auto"/>
              <w:rPr>
                <w:rFonts w:ascii="仿宋" w:hAnsi="仿宋" w:eastAsia="仿宋" w:cs="仿宋"/>
                <w:sz w:val="20"/>
                <w:szCs w:val="20"/>
              </w:rPr>
            </w:pPr>
            <w:r>
              <w:rPr>
                <w:rFonts w:hint="eastAsia" w:ascii="仿宋" w:hAnsi="仿宋" w:eastAsia="仿宋" w:cs="仿宋"/>
                <w:sz w:val="20"/>
                <w:szCs w:val="20"/>
              </w:rPr>
              <w:t>托修方盖章（或托修方签字）：</w:t>
            </w:r>
          </w:p>
        </w:tc>
        <w:tc>
          <w:tcPr>
            <w:tcW w:w="222" w:type="dxa"/>
            <w:tcBorders>
              <w:top w:val="nil"/>
              <w:left w:val="nil"/>
              <w:bottom w:val="nil"/>
              <w:right w:val="nil"/>
            </w:tcBorders>
            <w:noWrap/>
            <w:vAlign w:val="bottom"/>
          </w:tcPr>
          <w:p w14:paraId="37DCD84E">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single" w:color="000000" w:sz="4" w:space="0"/>
              <w:bottom w:val="single" w:color="000000" w:sz="4" w:space="0"/>
              <w:right w:val="nil"/>
            </w:tcBorders>
            <w:noWrap/>
            <w:vAlign w:val="bottom"/>
          </w:tcPr>
          <w:p w14:paraId="10833B2C">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c>
          <w:tcPr>
            <w:tcW w:w="1773" w:type="dxa"/>
            <w:tcBorders>
              <w:top w:val="nil"/>
              <w:left w:val="nil"/>
              <w:bottom w:val="single" w:color="000000" w:sz="4" w:space="0"/>
              <w:right w:val="nil"/>
            </w:tcBorders>
            <w:noWrap/>
            <w:vAlign w:val="bottom"/>
          </w:tcPr>
          <w:p w14:paraId="6205DC82">
            <w:pPr>
              <w:keepNext w:val="0"/>
              <w:keepLines w:val="0"/>
              <w:widowControl/>
              <w:kinsoku/>
              <w:wordWrap/>
              <w:overflowPunct/>
              <w:topLinePunct w:val="0"/>
              <w:autoSpaceDE/>
              <w:autoSpaceDN/>
              <w:bidi w:val="0"/>
              <w:adjustRightInd/>
              <w:snapToGrid/>
              <w:spacing w:line="360" w:lineRule="auto"/>
              <w:jc w:val="left"/>
              <w:textAlignment w:val="auto"/>
              <w:rPr>
                <w:rFonts w:ascii="仿宋" w:hAnsi="仿宋" w:eastAsia="仿宋" w:cs="仿宋"/>
                <w:sz w:val="20"/>
                <w:szCs w:val="20"/>
              </w:rPr>
            </w:pPr>
            <w:r>
              <w:rPr>
                <w:rFonts w:hint="eastAsia" w:ascii="仿宋" w:hAnsi="仿宋" w:eastAsia="仿宋" w:cs="仿宋"/>
                <w:sz w:val="20"/>
                <w:szCs w:val="20"/>
              </w:rPr>
              <w:t>年     月     日</w:t>
            </w:r>
          </w:p>
        </w:tc>
        <w:tc>
          <w:tcPr>
            <w:tcW w:w="1197" w:type="dxa"/>
            <w:tcBorders>
              <w:top w:val="nil"/>
              <w:left w:val="nil"/>
              <w:bottom w:val="single" w:color="000000" w:sz="4" w:space="0"/>
              <w:right w:val="single" w:color="000000" w:sz="4" w:space="0"/>
            </w:tcBorders>
            <w:noWrap/>
            <w:vAlign w:val="bottom"/>
          </w:tcPr>
          <w:p w14:paraId="27BE31E7">
            <w:pPr>
              <w:keepNext w:val="0"/>
              <w:keepLines w:val="0"/>
              <w:kinsoku/>
              <w:wordWrap/>
              <w:overflowPunct/>
              <w:topLinePunct w:val="0"/>
              <w:autoSpaceDE/>
              <w:autoSpaceDN/>
              <w:bidi w:val="0"/>
              <w:adjustRightInd/>
              <w:snapToGrid/>
              <w:spacing w:line="360" w:lineRule="auto"/>
              <w:textAlignment w:val="auto"/>
              <w:rPr>
                <w:rFonts w:ascii="仿宋" w:hAnsi="仿宋" w:eastAsia="仿宋" w:cs="仿宋"/>
                <w:sz w:val="20"/>
                <w:szCs w:val="20"/>
              </w:rPr>
            </w:pPr>
          </w:p>
        </w:tc>
      </w:tr>
    </w:tbl>
    <w:p w14:paraId="43EDED1A">
      <w:pPr>
        <w:pStyle w:val="2"/>
        <w:keepNext w:val="0"/>
        <w:keepLines w:val="0"/>
        <w:kinsoku/>
        <w:wordWrap/>
        <w:overflowPunct/>
        <w:topLinePunct w:val="0"/>
        <w:autoSpaceDE/>
        <w:autoSpaceDN/>
        <w:bidi w:val="0"/>
        <w:adjustRightInd/>
        <w:snapToGrid/>
        <w:spacing w:line="360" w:lineRule="auto"/>
        <w:textAlignment w:val="auto"/>
        <w:sectPr>
          <w:pgSz w:w="16838" w:h="11906" w:orient="landscape"/>
          <w:pgMar w:top="1800" w:right="1440" w:bottom="1800" w:left="1276" w:header="851" w:footer="992" w:gutter="0"/>
          <w:cols w:space="720" w:num="1"/>
          <w:docGrid w:linePitch="360" w:charSpace="0"/>
        </w:sectPr>
      </w:pPr>
    </w:p>
    <w:p w14:paraId="4E96EF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CAE2">
    <w:pPr>
      <w:pStyle w:val="4"/>
      <w:ind w:firstLine="65"/>
      <w:jc w:val="both"/>
      <w:rPr>
        <w:rFonts w:ascii="隶书" w:eastAsia="隶书"/>
        <w:sz w:val="13"/>
        <w:szCs w:val="13"/>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20031"/>
    <w:multiLevelType w:val="singleLevel"/>
    <w:tmpl w:val="3FF2003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53C6"/>
    <w:rsid w:val="09D65A7A"/>
    <w:rsid w:val="0ACF02EE"/>
    <w:rsid w:val="0C1939C9"/>
    <w:rsid w:val="0C5E3BDC"/>
    <w:rsid w:val="13300448"/>
    <w:rsid w:val="16D67B4D"/>
    <w:rsid w:val="1EBB798A"/>
    <w:rsid w:val="24DA3EBB"/>
    <w:rsid w:val="260A2BD2"/>
    <w:rsid w:val="26273CBC"/>
    <w:rsid w:val="27D4642D"/>
    <w:rsid w:val="2A105D28"/>
    <w:rsid w:val="2AE22F8E"/>
    <w:rsid w:val="2FFA3814"/>
    <w:rsid w:val="314B3E80"/>
    <w:rsid w:val="35630B12"/>
    <w:rsid w:val="36566C1F"/>
    <w:rsid w:val="3A4079BA"/>
    <w:rsid w:val="3A895615"/>
    <w:rsid w:val="3BF515B8"/>
    <w:rsid w:val="3C862210"/>
    <w:rsid w:val="41D35EF7"/>
    <w:rsid w:val="41DE5178"/>
    <w:rsid w:val="42E0462B"/>
    <w:rsid w:val="43704D02"/>
    <w:rsid w:val="44623562"/>
    <w:rsid w:val="4715342C"/>
    <w:rsid w:val="4FD5108C"/>
    <w:rsid w:val="5E7128C8"/>
    <w:rsid w:val="631A5652"/>
    <w:rsid w:val="674B28F8"/>
    <w:rsid w:val="6A5A06B4"/>
    <w:rsid w:val="70A62EDD"/>
    <w:rsid w:val="76C93F44"/>
    <w:rsid w:val="78A20480"/>
    <w:rsid w:val="7AD14365"/>
    <w:rsid w:val="7C53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sz w:val="22"/>
      <w:szCs w:val="22"/>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paragraph" w:styleId="8">
    <w:name w:val="List Paragraph"/>
    <w:basedOn w:val="1"/>
    <w:qFormat/>
    <w:uiPriority w:val="34"/>
    <w:pPr>
      <w:ind w:left="720"/>
      <w:contextualSpacing/>
    </w:pPr>
  </w:style>
  <w:style w:type="paragraph" w:customStyle="1" w:styleId="9">
    <w:name w:val="目录 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10">
    <w:name w:val="封面标准名称"/>
    <w:qFormat/>
    <w:uiPriority w:val="0"/>
    <w:pPr>
      <w:widowControl w:val="0"/>
      <w:spacing w:line="680" w:lineRule="exact"/>
      <w:jc w:val="center"/>
    </w:pPr>
    <w:rPr>
      <w:rFonts w:hint="default"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8221</Words>
  <Characters>8532</Characters>
  <Lines>0</Lines>
  <Paragraphs>0</Paragraphs>
  <TotalTime>4</TotalTime>
  <ScaleCrop>false</ScaleCrop>
  <LinksUpToDate>false</LinksUpToDate>
  <CharactersWithSpaces>9076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2025-05-16T07:06:00Z</dcterms:created>
  <dc:creator>Administrator</dc:creator>
  <cp:lastModifiedBy>Administrator</cp:lastModifiedBy>
  <dcterms:modified xsi:type="dcterms:W3CDTF">2025-07-08T04:19:17Z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eyJoZGlkIjoiZTEzNThjNTBjYzExNGYxNGYzMGJlOGM2MGI5NDYxZWUifQ==</vt:lpwstr>
  </property>
  <property fmtid="{D5CDD505-2E9C-101B-9397-08002B2CF9AE}" pid="4" name="ICV">
    <vt:lpwstr>518D2111D7464580A2A5DF3C6D84BAB6_12</vt:lpwstr>
  </property>
</Properties>
</file>