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D85D2">
      <w:pPr>
        <w:spacing w:line="360" w:lineRule="auto"/>
        <w:rPr>
          <w:rFonts w:ascii="宋体" w:hAnsi="宋体"/>
          <w:color w:val="000000"/>
          <w:sz w:val="28"/>
          <w:szCs w:val="28"/>
          <w:highlight w:val="none"/>
        </w:rPr>
      </w:pPr>
      <w:bookmarkStart w:id="0" w:name="_Hlk142322835"/>
      <w:r>
        <w:rPr>
          <w:rFonts w:hint="eastAsia" w:ascii="宋体" w:hAnsi="宋体"/>
          <w:color w:val="000000"/>
          <w:sz w:val="28"/>
          <w:szCs w:val="28"/>
          <w:highlight w:val="none"/>
        </w:rPr>
        <w:t>附件：</w:t>
      </w:r>
    </w:p>
    <w:p w14:paraId="6C318F3D">
      <w:pPr>
        <w:spacing w:line="360" w:lineRule="auto"/>
        <w:rPr>
          <w:rFonts w:ascii="宋体" w:hAnsi="宋体"/>
          <w:color w:val="000000"/>
          <w:sz w:val="24"/>
          <w:highlight w:val="none"/>
        </w:rPr>
      </w:pPr>
      <w:r>
        <w:rPr>
          <w:rFonts w:hint="eastAsia" w:ascii="宋体" w:hAnsi="宋体"/>
          <w:color w:val="000000"/>
          <w:sz w:val="28"/>
          <w:szCs w:val="28"/>
          <w:highlight w:val="none"/>
        </w:rPr>
        <w:t>如有建议或意见，请以书面形式并加盖公章、注明联系人、联系方式，于202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07</w:t>
      </w:r>
      <w:r>
        <w:rPr>
          <w:rFonts w:hint="eastAsia" w:ascii="宋体" w:hAnsi="宋体"/>
          <w:color w:val="000000"/>
          <w:sz w:val="28"/>
          <w:szCs w:val="28"/>
          <w:highlight w:val="none"/>
        </w:rPr>
        <w:t>月</w:t>
      </w:r>
      <w:r>
        <w:rPr>
          <w:rFonts w:hint="eastAsia" w:ascii="宋体" w:hAnsi="宋体"/>
          <w:color w:val="000000"/>
          <w:sz w:val="28"/>
          <w:szCs w:val="28"/>
          <w:highlight w:val="none"/>
          <w:lang w:val="en-US" w:eastAsia="zh-CN"/>
        </w:rPr>
        <w:t>05</w:t>
      </w:r>
      <w:r>
        <w:rPr>
          <w:rFonts w:hint="eastAsia" w:ascii="宋体" w:hAnsi="宋体"/>
          <w:color w:val="000000"/>
          <w:sz w:val="28"/>
          <w:szCs w:val="28"/>
          <w:highlight w:val="none"/>
        </w:rPr>
        <w:t>日17:</w:t>
      </w:r>
      <w:r>
        <w:rPr>
          <w:rFonts w:hint="eastAsia" w:ascii="宋体" w:hAnsi="宋体"/>
          <w:color w:val="000000"/>
          <w:sz w:val="28"/>
          <w:szCs w:val="28"/>
          <w:highlight w:val="none"/>
          <w:lang w:val="en-US" w:eastAsia="zh-CN"/>
        </w:rPr>
        <w:t>3</w:t>
      </w:r>
      <w:r>
        <w:rPr>
          <w:rFonts w:hint="eastAsia" w:ascii="宋体" w:hAnsi="宋体"/>
          <w:color w:val="000000"/>
          <w:sz w:val="28"/>
          <w:szCs w:val="28"/>
          <w:highlight w:val="none"/>
        </w:rPr>
        <w:t>0之前送至我单位，逾期不受理（如邮寄，202</w:t>
      </w: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rPr>
        <w:t>年</w:t>
      </w:r>
      <w:r>
        <w:rPr>
          <w:rFonts w:hint="eastAsia" w:ascii="宋体" w:hAnsi="宋体"/>
          <w:color w:val="000000"/>
          <w:sz w:val="28"/>
          <w:szCs w:val="28"/>
          <w:highlight w:val="none"/>
          <w:lang w:val="en-US" w:eastAsia="zh-CN"/>
        </w:rPr>
        <w:t>07</w:t>
      </w:r>
      <w:r>
        <w:rPr>
          <w:rFonts w:hint="eastAsia" w:ascii="宋体" w:hAnsi="宋体"/>
          <w:color w:val="000000"/>
          <w:sz w:val="28"/>
          <w:szCs w:val="28"/>
          <w:highlight w:val="none"/>
        </w:rPr>
        <w:t>月</w:t>
      </w:r>
      <w:r>
        <w:rPr>
          <w:rFonts w:hint="eastAsia" w:ascii="宋体" w:hAnsi="宋体"/>
          <w:color w:val="000000"/>
          <w:sz w:val="28"/>
          <w:szCs w:val="28"/>
          <w:highlight w:val="none"/>
          <w:lang w:val="en-US" w:eastAsia="zh-CN"/>
        </w:rPr>
        <w:t>05</w:t>
      </w:r>
      <w:r>
        <w:rPr>
          <w:rFonts w:hint="eastAsia" w:ascii="宋体" w:hAnsi="宋体"/>
          <w:color w:val="000000"/>
          <w:sz w:val="28"/>
          <w:szCs w:val="28"/>
          <w:highlight w:val="none"/>
        </w:rPr>
        <w:t>日17:</w:t>
      </w:r>
      <w:r>
        <w:rPr>
          <w:rFonts w:hint="eastAsia" w:ascii="宋体" w:hAnsi="宋体"/>
          <w:color w:val="000000"/>
          <w:sz w:val="28"/>
          <w:szCs w:val="28"/>
          <w:highlight w:val="none"/>
          <w:lang w:val="en-US" w:eastAsia="zh-CN"/>
        </w:rPr>
        <w:t>3</w:t>
      </w:r>
      <w:r>
        <w:rPr>
          <w:rFonts w:hint="eastAsia" w:ascii="宋体" w:hAnsi="宋体"/>
          <w:color w:val="000000"/>
          <w:sz w:val="28"/>
          <w:szCs w:val="28"/>
          <w:highlight w:val="none"/>
        </w:rPr>
        <w:t>0之后到达本公司的邮件将不再受理）。</w:t>
      </w:r>
    </w:p>
    <w:bookmarkEnd w:id="0"/>
    <w:p w14:paraId="3878AB41">
      <w:pPr>
        <w:spacing w:line="276" w:lineRule="auto"/>
        <w:ind w:firstLine="0" w:firstLineChars="0"/>
        <w:jc w:val="both"/>
        <w:rPr>
          <w:rFonts w:hint="eastAsia" w:ascii="黑体" w:hAnsi="黑体" w:eastAsia="黑体"/>
          <w:b/>
          <w:bCs/>
          <w:sz w:val="36"/>
          <w:szCs w:val="36"/>
          <w:highlight w:val="none"/>
          <w:lang w:val="en-US" w:eastAsia="zh-CN"/>
        </w:rPr>
      </w:pPr>
    </w:p>
    <w:p w14:paraId="500737B6">
      <w:pPr>
        <w:spacing w:line="276" w:lineRule="auto"/>
        <w:ind w:firstLine="0" w:firstLineChars="0"/>
        <w:jc w:val="both"/>
        <w:rPr>
          <w:rFonts w:hint="eastAsia" w:ascii="黑体" w:hAnsi="黑体" w:eastAsia="黑体"/>
          <w:b/>
          <w:bCs/>
          <w:sz w:val="36"/>
          <w:szCs w:val="36"/>
          <w:highlight w:val="none"/>
          <w:lang w:val="en-US" w:eastAsia="zh-CN"/>
        </w:rPr>
      </w:pPr>
    </w:p>
    <w:p w14:paraId="7B10F200">
      <w:pPr>
        <w:spacing w:line="276" w:lineRule="auto"/>
        <w:ind w:firstLine="0" w:firstLineChars="0"/>
        <w:jc w:val="both"/>
        <w:rPr>
          <w:rFonts w:hint="eastAsia" w:ascii="黑体" w:hAnsi="黑体" w:eastAsia="黑体"/>
          <w:b/>
          <w:bCs/>
          <w:sz w:val="36"/>
          <w:szCs w:val="36"/>
          <w:highlight w:val="none"/>
          <w:lang w:val="en-US" w:eastAsia="zh-CN"/>
        </w:rPr>
      </w:pPr>
    </w:p>
    <w:p w14:paraId="39753115">
      <w:pPr>
        <w:spacing w:line="276" w:lineRule="auto"/>
        <w:ind w:firstLine="0" w:firstLineChars="0"/>
        <w:jc w:val="both"/>
        <w:rPr>
          <w:rFonts w:hint="eastAsia" w:ascii="黑体" w:hAnsi="黑体" w:eastAsia="黑体"/>
          <w:b/>
          <w:bCs/>
          <w:sz w:val="36"/>
          <w:szCs w:val="36"/>
          <w:highlight w:val="none"/>
          <w:lang w:val="en-US" w:eastAsia="zh-CN"/>
        </w:rPr>
      </w:pPr>
    </w:p>
    <w:p w14:paraId="389039BE">
      <w:pPr>
        <w:spacing w:line="276" w:lineRule="auto"/>
        <w:ind w:firstLine="0" w:firstLineChars="0"/>
        <w:jc w:val="both"/>
        <w:rPr>
          <w:rFonts w:hint="eastAsia" w:ascii="黑体" w:hAnsi="黑体" w:eastAsia="黑体"/>
          <w:b/>
          <w:bCs/>
          <w:sz w:val="36"/>
          <w:szCs w:val="36"/>
          <w:highlight w:val="none"/>
          <w:lang w:val="en-US" w:eastAsia="zh-CN"/>
        </w:rPr>
      </w:pPr>
    </w:p>
    <w:p w14:paraId="6386AA72">
      <w:pPr>
        <w:spacing w:line="276" w:lineRule="auto"/>
        <w:ind w:firstLine="0" w:firstLineChars="0"/>
        <w:jc w:val="both"/>
        <w:rPr>
          <w:rFonts w:hint="eastAsia" w:ascii="黑体" w:hAnsi="黑体" w:eastAsia="黑体"/>
          <w:b/>
          <w:bCs/>
          <w:sz w:val="36"/>
          <w:szCs w:val="36"/>
          <w:highlight w:val="none"/>
          <w:lang w:val="en-US" w:eastAsia="zh-CN"/>
        </w:rPr>
      </w:pPr>
    </w:p>
    <w:p w14:paraId="10788E1F">
      <w:pPr>
        <w:spacing w:line="276" w:lineRule="auto"/>
        <w:ind w:firstLine="0" w:firstLineChars="0"/>
        <w:jc w:val="both"/>
        <w:rPr>
          <w:rFonts w:hint="eastAsia" w:ascii="黑体" w:hAnsi="黑体" w:eastAsia="黑体"/>
          <w:b/>
          <w:bCs/>
          <w:sz w:val="36"/>
          <w:szCs w:val="36"/>
          <w:highlight w:val="none"/>
          <w:lang w:val="en-US" w:eastAsia="zh-CN"/>
        </w:rPr>
      </w:pPr>
    </w:p>
    <w:p w14:paraId="269C33C0">
      <w:pPr>
        <w:spacing w:line="276" w:lineRule="auto"/>
        <w:ind w:firstLine="0" w:firstLineChars="0"/>
        <w:jc w:val="both"/>
        <w:rPr>
          <w:rFonts w:hint="eastAsia" w:ascii="黑体" w:hAnsi="黑体" w:eastAsia="黑体"/>
          <w:b/>
          <w:bCs/>
          <w:sz w:val="36"/>
          <w:szCs w:val="36"/>
          <w:highlight w:val="none"/>
          <w:lang w:val="en-US" w:eastAsia="zh-CN"/>
        </w:rPr>
      </w:pPr>
    </w:p>
    <w:p w14:paraId="51317182">
      <w:pPr>
        <w:spacing w:line="276" w:lineRule="auto"/>
        <w:ind w:firstLine="0" w:firstLineChars="0"/>
        <w:jc w:val="both"/>
        <w:rPr>
          <w:rFonts w:hint="eastAsia" w:ascii="黑体" w:hAnsi="黑体" w:eastAsia="黑体"/>
          <w:b/>
          <w:bCs/>
          <w:sz w:val="36"/>
          <w:szCs w:val="36"/>
          <w:highlight w:val="none"/>
          <w:lang w:val="en-US" w:eastAsia="zh-CN"/>
        </w:rPr>
      </w:pPr>
    </w:p>
    <w:p w14:paraId="7B829D62">
      <w:pPr>
        <w:spacing w:line="276" w:lineRule="auto"/>
        <w:ind w:firstLine="0" w:firstLineChars="0"/>
        <w:jc w:val="both"/>
        <w:rPr>
          <w:rFonts w:hint="eastAsia" w:ascii="黑体" w:hAnsi="黑体" w:eastAsia="黑体"/>
          <w:b/>
          <w:bCs/>
          <w:sz w:val="36"/>
          <w:szCs w:val="36"/>
          <w:highlight w:val="none"/>
          <w:lang w:val="en-US" w:eastAsia="zh-CN"/>
        </w:rPr>
      </w:pPr>
    </w:p>
    <w:p w14:paraId="765EAE4A">
      <w:pPr>
        <w:spacing w:line="276" w:lineRule="auto"/>
        <w:ind w:firstLine="0" w:firstLineChars="0"/>
        <w:jc w:val="both"/>
        <w:rPr>
          <w:rFonts w:hint="eastAsia" w:ascii="黑体" w:hAnsi="黑体" w:eastAsia="黑体"/>
          <w:b/>
          <w:bCs/>
          <w:sz w:val="36"/>
          <w:szCs w:val="36"/>
          <w:highlight w:val="none"/>
          <w:lang w:val="en-US" w:eastAsia="zh-CN"/>
        </w:rPr>
      </w:pPr>
    </w:p>
    <w:p w14:paraId="506986B3">
      <w:pPr>
        <w:spacing w:line="276" w:lineRule="auto"/>
        <w:ind w:firstLine="723" w:firstLineChars="200"/>
        <w:jc w:val="both"/>
        <w:rPr>
          <w:rFonts w:hint="eastAsia" w:ascii="黑体" w:hAnsi="黑体" w:eastAsia="黑体"/>
          <w:b/>
          <w:bCs/>
          <w:sz w:val="36"/>
          <w:szCs w:val="36"/>
          <w:highlight w:val="none"/>
          <w:lang w:val="en-US" w:eastAsia="zh-CN"/>
        </w:rPr>
      </w:pPr>
      <w:bookmarkStart w:id="2" w:name="_GoBack"/>
      <w:r>
        <w:rPr>
          <w:rFonts w:hint="eastAsia" w:ascii="黑体" w:hAnsi="黑体" w:eastAsia="黑体"/>
          <w:b/>
          <w:bCs/>
          <w:sz w:val="36"/>
          <w:szCs w:val="36"/>
          <w:highlight w:val="none"/>
          <w:lang w:val="en-US" w:eastAsia="zh-CN"/>
        </w:rPr>
        <w:t>省控空气质重自动监测点位迁移更换设备项目</w:t>
      </w:r>
    </w:p>
    <w:bookmarkEnd w:id="2"/>
    <w:p w14:paraId="7CDCFDBE">
      <w:pPr>
        <w:spacing w:line="276" w:lineRule="auto"/>
        <w:ind w:firstLine="0" w:firstLineChars="0"/>
        <w:jc w:val="center"/>
        <w:rPr>
          <w:rFonts w:ascii="方正小标宋简体" w:hAnsi="黑体" w:eastAsia="方正小标宋简体"/>
          <w:b/>
          <w:sz w:val="36"/>
          <w:szCs w:val="36"/>
          <w:highlight w:val="none"/>
        </w:rPr>
      </w:pPr>
      <w:r>
        <w:rPr>
          <w:rFonts w:hint="eastAsia" w:ascii="方正小标宋简体" w:hAnsi="黑体" w:eastAsia="方正小标宋简体"/>
          <w:b/>
          <w:sz w:val="36"/>
          <w:szCs w:val="36"/>
          <w:highlight w:val="none"/>
        </w:rPr>
        <w:t>采购需求</w:t>
      </w:r>
    </w:p>
    <w:p w14:paraId="37DBC431">
      <w:pPr>
        <w:pBdr>
          <w:top w:val="none" w:color="000000" w:sz="0" w:space="0"/>
          <w:left w:val="none" w:color="000000" w:sz="0" w:space="0"/>
          <w:bottom w:val="none" w:color="000000" w:sz="0" w:space="0"/>
          <w:right w:val="none" w:color="000000" w:sz="0" w:space="0"/>
        </w:pBdr>
        <w:spacing w:line="273" w:lineRule="atLeast"/>
        <w:ind w:firstLine="482"/>
        <w:rPr>
          <w:b/>
          <w:highlight w:val="none"/>
        </w:rPr>
      </w:pPr>
      <w:r>
        <w:rPr>
          <w:rFonts w:ascii="仿宋" w:hAnsi="仿宋" w:eastAsia="仿宋" w:cs="仿宋"/>
          <w:b/>
          <w:color w:val="000000"/>
          <w:sz w:val="24"/>
          <w:highlight w:val="none"/>
        </w:rPr>
        <w:t>一</w:t>
      </w:r>
      <w:r>
        <w:rPr>
          <w:rFonts w:ascii="宋体" w:hAnsi="宋体" w:eastAsia="宋体"/>
          <w:b/>
          <w:color w:val="000000"/>
          <w:sz w:val="24"/>
          <w:highlight w:val="none"/>
        </w:rPr>
        <w:t>、说明</w:t>
      </w:r>
    </w:p>
    <w:p w14:paraId="7BA2B634">
      <w:pPr>
        <w:pBdr>
          <w:top w:val="none" w:color="000000" w:sz="0" w:space="0"/>
          <w:left w:val="none" w:color="000000" w:sz="0" w:space="0"/>
          <w:bottom w:val="none" w:color="000000" w:sz="0" w:space="0"/>
          <w:right w:val="none" w:color="000000" w:sz="0" w:space="0"/>
        </w:pBdr>
        <w:spacing w:line="273" w:lineRule="atLeast"/>
        <w:ind w:firstLine="480"/>
        <w:rPr>
          <w:rFonts w:ascii="宋体" w:hAnsi="宋体" w:eastAsia="宋体"/>
          <w:color w:val="000000"/>
          <w:sz w:val="24"/>
          <w:highlight w:val="none"/>
        </w:rPr>
      </w:pPr>
      <w:r>
        <w:rPr>
          <w:rFonts w:ascii="宋体" w:hAnsi="宋体" w:eastAsia="宋体"/>
          <w:color w:val="000000"/>
          <w:sz w:val="24"/>
          <w:highlight w:val="none"/>
        </w:rPr>
        <w:t>（一）采购人：</w:t>
      </w:r>
      <w:r>
        <w:rPr>
          <w:rFonts w:hint="eastAsia" w:ascii="宋体" w:hAnsi="宋体" w:eastAsia="宋体"/>
          <w:color w:val="000000"/>
          <w:sz w:val="24"/>
          <w:highlight w:val="none"/>
          <w:lang w:val="zh-CN"/>
        </w:rPr>
        <w:t>沛县生态环境局（机关）</w:t>
      </w:r>
    </w:p>
    <w:p w14:paraId="69CEB749">
      <w:pPr>
        <w:pBdr>
          <w:top w:val="none" w:color="000000" w:sz="0" w:space="0"/>
          <w:left w:val="none" w:color="000000" w:sz="0" w:space="0"/>
          <w:bottom w:val="none" w:color="000000" w:sz="0" w:space="0"/>
          <w:right w:val="none" w:color="000000" w:sz="0" w:space="0"/>
        </w:pBdr>
        <w:spacing w:line="273" w:lineRule="atLeast"/>
        <w:ind w:left="0" w:leftChars="0" w:firstLine="480" w:firstLineChars="200"/>
        <w:rPr>
          <w:rFonts w:ascii="宋体" w:hAnsi="宋体" w:eastAsia="宋体"/>
          <w:b/>
          <w:color w:val="000000"/>
          <w:sz w:val="24"/>
          <w:highlight w:val="none"/>
        </w:rPr>
      </w:pPr>
      <w:r>
        <w:rPr>
          <w:rFonts w:ascii="宋体" w:hAnsi="宋体" w:eastAsia="宋体"/>
          <w:color w:val="000000"/>
          <w:sz w:val="24"/>
          <w:highlight w:val="none"/>
        </w:rPr>
        <w:t>（二）采购项目名称：</w:t>
      </w:r>
      <w:r>
        <w:rPr>
          <w:rFonts w:hint="eastAsia" w:ascii="宋体" w:hAnsi="宋体" w:eastAsia="宋体"/>
          <w:color w:val="000000"/>
          <w:sz w:val="24"/>
          <w:highlight w:val="none"/>
          <w:lang w:val="en-US" w:eastAsia="zh-CN"/>
        </w:rPr>
        <w:t>省控空气质重自动监测点位迁移更换设备项目</w:t>
      </w:r>
    </w:p>
    <w:p w14:paraId="401CFD57">
      <w:pPr>
        <w:spacing w:line="273" w:lineRule="atLeast"/>
        <w:ind w:firstLine="480"/>
        <w:rPr>
          <w:rFonts w:ascii="宋体" w:hAnsi="宋体" w:eastAsia="宋体"/>
          <w:bCs/>
          <w:color w:val="000000"/>
          <w:sz w:val="24"/>
          <w:highlight w:val="none"/>
        </w:rPr>
      </w:pPr>
      <w:r>
        <w:rPr>
          <w:rFonts w:hint="eastAsia" w:ascii="宋体" w:hAnsi="宋体" w:eastAsia="宋体"/>
          <w:bCs/>
          <w:color w:val="000000"/>
          <w:sz w:val="24"/>
          <w:highlight w:val="none"/>
        </w:rPr>
        <w:t>（三）</w:t>
      </w:r>
      <w:r>
        <w:rPr>
          <w:rFonts w:ascii="宋体" w:hAnsi="宋体" w:eastAsia="宋体"/>
          <w:bCs/>
          <w:color w:val="000000"/>
          <w:sz w:val="24"/>
          <w:highlight w:val="none"/>
        </w:rPr>
        <w:t>采购预算：</w:t>
      </w:r>
      <w:r>
        <w:rPr>
          <w:rFonts w:hint="eastAsia" w:ascii="宋体" w:hAnsi="宋体" w:eastAsia="宋体"/>
          <w:bCs/>
          <w:color w:val="000000"/>
          <w:sz w:val="24"/>
          <w:highlight w:val="none"/>
        </w:rPr>
        <w:t>本项目不接受超过</w:t>
      </w:r>
      <w:r>
        <w:rPr>
          <w:rFonts w:hint="eastAsia" w:ascii="宋体" w:hAnsi="宋体" w:eastAsia="宋体"/>
          <w:bCs/>
          <w:color w:val="000000"/>
          <w:sz w:val="24"/>
          <w:highlight w:val="none"/>
          <w:lang w:val="en-US" w:eastAsia="zh-CN"/>
        </w:rPr>
        <w:t>115</w:t>
      </w:r>
      <w:r>
        <w:rPr>
          <w:rFonts w:hint="eastAsia" w:ascii="宋体" w:hAnsi="宋体" w:eastAsia="宋体"/>
          <w:bCs/>
          <w:color w:val="000000"/>
          <w:sz w:val="24"/>
          <w:highlight w:val="none"/>
        </w:rPr>
        <w:t>万元（采购项目预算金额）的投标报价。本项目投标报价包含一切相关费用，采购人不再支付报价以外的任何费用。</w:t>
      </w:r>
    </w:p>
    <w:p w14:paraId="41963CA7">
      <w:pPr>
        <w:pBdr>
          <w:top w:val="none" w:color="000000" w:sz="0" w:space="0"/>
          <w:left w:val="none" w:color="000000" w:sz="0" w:space="0"/>
          <w:bottom w:val="none" w:color="000000" w:sz="0" w:space="0"/>
          <w:right w:val="none" w:color="000000" w:sz="0" w:space="0"/>
        </w:pBdr>
        <w:spacing w:line="273" w:lineRule="atLeast"/>
        <w:ind w:firstLine="480"/>
        <w:rPr>
          <w:rFonts w:ascii="宋体" w:hAnsi="宋体" w:eastAsia="宋体"/>
          <w:color w:val="000000"/>
          <w:sz w:val="24"/>
          <w:highlight w:val="none"/>
        </w:rPr>
      </w:pPr>
      <w:r>
        <w:rPr>
          <w:rFonts w:ascii="宋体" w:hAnsi="宋体" w:eastAsia="宋体"/>
          <w:color w:val="000000"/>
          <w:sz w:val="24"/>
          <w:highlight w:val="none"/>
        </w:rPr>
        <w:t>（</w:t>
      </w:r>
      <w:r>
        <w:rPr>
          <w:rFonts w:hint="eastAsia" w:ascii="宋体" w:hAnsi="宋体" w:eastAsia="宋体"/>
          <w:color w:val="000000"/>
          <w:sz w:val="24"/>
          <w:highlight w:val="none"/>
        </w:rPr>
        <w:t>四</w:t>
      </w:r>
      <w:r>
        <w:rPr>
          <w:rFonts w:ascii="宋体" w:hAnsi="宋体" w:eastAsia="宋体"/>
          <w:color w:val="000000"/>
          <w:sz w:val="24"/>
          <w:highlight w:val="none"/>
        </w:rPr>
        <w:t>）本项目非专门面向中小企业</w:t>
      </w:r>
      <w:r>
        <w:rPr>
          <w:rFonts w:hint="eastAsia" w:ascii="宋体" w:hAnsi="宋体" w:eastAsia="宋体"/>
          <w:color w:val="000000"/>
          <w:sz w:val="24"/>
          <w:highlight w:val="none"/>
        </w:rPr>
        <w:t>采购</w:t>
      </w:r>
      <w:r>
        <w:rPr>
          <w:rFonts w:ascii="宋体" w:hAnsi="宋体" w:eastAsia="宋体"/>
          <w:color w:val="000000"/>
          <w:sz w:val="24"/>
          <w:highlight w:val="none"/>
        </w:rPr>
        <w:t>。</w:t>
      </w:r>
    </w:p>
    <w:p w14:paraId="491D195E">
      <w:pPr>
        <w:pBdr>
          <w:top w:val="none" w:color="000000" w:sz="0" w:space="0"/>
          <w:left w:val="none" w:color="000000" w:sz="0" w:space="0"/>
          <w:bottom w:val="none" w:color="000000" w:sz="0" w:space="0"/>
          <w:right w:val="none" w:color="000000" w:sz="0" w:space="0"/>
        </w:pBdr>
        <w:spacing w:line="273" w:lineRule="atLeast"/>
        <w:ind w:firstLine="480"/>
        <w:rPr>
          <w:highlight w:val="none"/>
        </w:rPr>
      </w:pPr>
      <w:r>
        <w:rPr>
          <w:rFonts w:hint="eastAsia" w:ascii="宋体" w:hAnsi="宋体" w:eastAsia="宋体"/>
          <w:color w:val="000000"/>
          <w:sz w:val="24"/>
          <w:highlight w:val="none"/>
        </w:rPr>
        <w:t>（五）本项目</w:t>
      </w:r>
      <w:r>
        <w:rPr>
          <w:rFonts w:hint="eastAsia" w:ascii="宋体" w:hAnsi="宋体" w:eastAsia="宋体"/>
          <w:color w:val="000000"/>
          <w:sz w:val="24"/>
          <w:highlight w:val="none"/>
          <w:lang w:val="en-US" w:eastAsia="zh-CN"/>
        </w:rPr>
        <w:t>不</w:t>
      </w:r>
      <w:r>
        <w:rPr>
          <w:rFonts w:hint="eastAsia" w:ascii="宋体" w:hAnsi="宋体" w:eastAsia="宋体"/>
          <w:color w:val="000000"/>
          <w:sz w:val="24"/>
          <w:highlight w:val="none"/>
        </w:rPr>
        <w:t>接受联合体投标。</w:t>
      </w:r>
    </w:p>
    <w:p w14:paraId="25571B12">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lang w:val="en-US" w:eastAsia="zh-CN"/>
        </w:rPr>
        <w:t>二、</w:t>
      </w:r>
      <w:r>
        <w:rPr>
          <w:rFonts w:hint="eastAsia" w:ascii="宋体" w:hAnsi="宋体" w:eastAsia="宋体"/>
          <w:bCs/>
          <w:color w:val="000000"/>
          <w:sz w:val="24"/>
          <w:highlight w:val="none"/>
        </w:rPr>
        <w:t>项目总体要求</w:t>
      </w:r>
    </w:p>
    <w:p w14:paraId="3377E3F4">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 xml:space="preserve">  1、预算：两站点更换2套PM2.5、PM10、 O3监测仪，预算资金85万元，购置的监测仪器需要在江苏省监测监控中心手工采样比对，预算资金30万元，合计预算资金115万元。</w:t>
      </w:r>
    </w:p>
    <w:p w14:paraId="2092205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2、本项目为沛县2个省控点空气自动监测站的更新，更新项目包括：臭氧分析仪、BETA射线法颗粒物(PM10)分析仪、BETA射线法颗粒物(PM2.5)分析仪。</w:t>
      </w:r>
    </w:p>
    <w:p w14:paraId="0D81EE9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3</w:t>
      </w:r>
      <w:r>
        <w:rPr>
          <w:rFonts w:hint="eastAsia" w:ascii="宋体" w:hAnsi="宋体" w:eastAsia="宋体"/>
          <w:bCs/>
          <w:color w:val="000000"/>
          <w:sz w:val="24"/>
          <w:highlight w:val="none"/>
          <w:lang w:val="zh-CN"/>
        </w:rPr>
        <w:t>、投标人提供的产品和服务，必须满足国家环保部空气连续自动监测系统技术要求及安装验收规范。</w:t>
      </w:r>
    </w:p>
    <w:p w14:paraId="22A719F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4</w:t>
      </w:r>
      <w:r>
        <w:rPr>
          <w:rFonts w:hint="eastAsia" w:ascii="宋体" w:hAnsi="宋体" w:eastAsia="宋体"/>
          <w:bCs/>
          <w:color w:val="000000"/>
          <w:sz w:val="24"/>
          <w:highlight w:val="none"/>
          <w:lang w:val="zh-CN"/>
        </w:rPr>
        <w:t>、投标人应提供全新的、在国内应用成熟的品牌仪器，所有仪器产品应在国内有较高的市场份额。</w:t>
      </w:r>
    </w:p>
    <w:p w14:paraId="78608111">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lang w:val="en-US" w:eastAsia="zh-CN"/>
        </w:rPr>
        <w:t>三</w:t>
      </w:r>
      <w:r>
        <w:rPr>
          <w:rFonts w:hint="eastAsia" w:ascii="宋体" w:hAnsi="宋体" w:eastAsia="宋体"/>
          <w:bCs/>
          <w:color w:val="000000"/>
          <w:sz w:val="24"/>
          <w:highlight w:val="none"/>
          <w:lang w:val="zh-CN"/>
        </w:rPr>
        <w:t>、项目清单</w:t>
      </w:r>
    </w:p>
    <w:tbl>
      <w:tblPr>
        <w:tblStyle w:val="11"/>
        <w:tblW w:w="8642" w:type="dxa"/>
        <w:tblInd w:w="0" w:type="dxa"/>
        <w:tblLayout w:type="autofit"/>
        <w:tblCellMar>
          <w:top w:w="0" w:type="dxa"/>
          <w:left w:w="108" w:type="dxa"/>
          <w:bottom w:w="0" w:type="dxa"/>
          <w:right w:w="108" w:type="dxa"/>
        </w:tblCellMar>
      </w:tblPr>
      <w:tblGrid>
        <w:gridCol w:w="1096"/>
        <w:gridCol w:w="5354"/>
        <w:gridCol w:w="1096"/>
        <w:gridCol w:w="1096"/>
      </w:tblGrid>
      <w:tr w14:paraId="06019D7A">
        <w:tblPrEx>
          <w:tblCellMar>
            <w:top w:w="0" w:type="dxa"/>
            <w:left w:w="108" w:type="dxa"/>
            <w:bottom w:w="0" w:type="dxa"/>
            <w:right w:w="108" w:type="dxa"/>
          </w:tblCellMar>
        </w:tblPrEx>
        <w:trPr>
          <w:trHeight w:val="270" w:hRule="atLeast"/>
        </w:trPr>
        <w:tc>
          <w:tcPr>
            <w:tcW w:w="704" w:type="dxa"/>
            <w:tcBorders>
              <w:top w:val="single" w:color="auto" w:sz="4" w:space="0"/>
              <w:left w:val="single" w:color="auto" w:sz="4" w:space="0"/>
              <w:bottom w:val="single" w:color="auto" w:sz="4" w:space="0"/>
              <w:right w:val="nil"/>
            </w:tcBorders>
            <w:shd w:val="clear" w:color="auto" w:fill="auto"/>
            <w:noWrap/>
            <w:vAlign w:val="center"/>
          </w:tcPr>
          <w:p w14:paraId="19F6DA1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序号</w:t>
            </w:r>
          </w:p>
        </w:tc>
        <w:tc>
          <w:tcPr>
            <w:tcW w:w="6521" w:type="dxa"/>
            <w:tcBorders>
              <w:top w:val="single" w:color="auto" w:sz="4" w:space="0"/>
              <w:left w:val="single" w:color="auto" w:sz="4" w:space="0"/>
              <w:bottom w:val="single" w:color="auto" w:sz="4" w:space="0"/>
              <w:right w:val="single" w:color="000000" w:sz="4" w:space="0"/>
            </w:tcBorders>
            <w:shd w:val="clear" w:color="auto" w:fill="auto"/>
            <w:vAlign w:val="center"/>
          </w:tcPr>
          <w:p w14:paraId="4D09F4C8">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产品名称</w:t>
            </w:r>
          </w:p>
        </w:tc>
        <w:tc>
          <w:tcPr>
            <w:tcW w:w="708" w:type="dxa"/>
            <w:tcBorders>
              <w:top w:val="single" w:color="auto" w:sz="4" w:space="0"/>
              <w:left w:val="nil"/>
              <w:bottom w:val="single" w:color="auto" w:sz="4" w:space="0"/>
              <w:right w:val="single" w:color="auto" w:sz="4" w:space="0"/>
            </w:tcBorders>
            <w:shd w:val="clear" w:color="auto" w:fill="auto"/>
            <w:vAlign w:val="center"/>
          </w:tcPr>
          <w:p w14:paraId="7078320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14:paraId="1291854B">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单位</w:t>
            </w:r>
          </w:p>
        </w:tc>
      </w:tr>
      <w:tr w14:paraId="4AF48D5C">
        <w:tblPrEx>
          <w:tblCellMar>
            <w:top w:w="0" w:type="dxa"/>
            <w:left w:w="108" w:type="dxa"/>
            <w:bottom w:w="0" w:type="dxa"/>
            <w:right w:w="108" w:type="dxa"/>
          </w:tblCellMar>
        </w:tblPrEx>
        <w:trPr>
          <w:trHeight w:val="270"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7A05C7C0">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w:t>
            </w:r>
          </w:p>
        </w:tc>
        <w:tc>
          <w:tcPr>
            <w:tcW w:w="6521" w:type="dxa"/>
            <w:tcBorders>
              <w:top w:val="single" w:color="auto" w:sz="4" w:space="0"/>
              <w:left w:val="nil"/>
              <w:bottom w:val="single" w:color="auto" w:sz="4" w:space="0"/>
              <w:right w:val="single" w:color="000000" w:sz="4" w:space="0"/>
            </w:tcBorders>
            <w:shd w:val="clear" w:color="auto" w:fill="auto"/>
            <w:vAlign w:val="center"/>
          </w:tcPr>
          <w:p w14:paraId="235BEA5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臭氧分析仪</w:t>
            </w:r>
          </w:p>
        </w:tc>
        <w:tc>
          <w:tcPr>
            <w:tcW w:w="708" w:type="dxa"/>
            <w:tcBorders>
              <w:top w:val="nil"/>
              <w:left w:val="nil"/>
              <w:bottom w:val="single" w:color="auto" w:sz="4" w:space="0"/>
              <w:right w:val="single" w:color="auto" w:sz="4" w:space="0"/>
            </w:tcBorders>
            <w:shd w:val="clear" w:color="auto" w:fill="auto"/>
            <w:vAlign w:val="center"/>
          </w:tcPr>
          <w:p w14:paraId="5FE6137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w:t>
            </w:r>
          </w:p>
        </w:tc>
        <w:tc>
          <w:tcPr>
            <w:tcW w:w="709" w:type="dxa"/>
            <w:tcBorders>
              <w:top w:val="nil"/>
              <w:left w:val="nil"/>
              <w:bottom w:val="single" w:color="auto" w:sz="4" w:space="0"/>
              <w:right w:val="single" w:color="auto" w:sz="4" w:space="0"/>
            </w:tcBorders>
            <w:shd w:val="clear" w:color="auto" w:fill="auto"/>
            <w:vAlign w:val="center"/>
          </w:tcPr>
          <w:p w14:paraId="4F25ADA2">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台</w:t>
            </w:r>
          </w:p>
        </w:tc>
      </w:tr>
      <w:tr w14:paraId="53F7D0BC">
        <w:tblPrEx>
          <w:tblCellMar>
            <w:top w:w="0" w:type="dxa"/>
            <w:left w:w="108" w:type="dxa"/>
            <w:bottom w:w="0" w:type="dxa"/>
            <w:right w:w="108" w:type="dxa"/>
          </w:tblCellMar>
        </w:tblPrEx>
        <w:trPr>
          <w:trHeight w:val="375" w:hRule="atLeast"/>
        </w:trPr>
        <w:tc>
          <w:tcPr>
            <w:tcW w:w="704" w:type="dxa"/>
            <w:tcBorders>
              <w:top w:val="nil"/>
              <w:left w:val="single" w:color="auto" w:sz="4" w:space="0"/>
              <w:bottom w:val="single" w:color="auto" w:sz="4" w:space="0"/>
              <w:right w:val="single" w:color="auto" w:sz="4" w:space="0"/>
            </w:tcBorders>
            <w:shd w:val="clear" w:color="auto" w:fill="auto"/>
            <w:vAlign w:val="center"/>
          </w:tcPr>
          <w:p w14:paraId="3DD1D8E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w:t>
            </w:r>
          </w:p>
        </w:tc>
        <w:tc>
          <w:tcPr>
            <w:tcW w:w="6521" w:type="dxa"/>
            <w:tcBorders>
              <w:top w:val="single" w:color="auto" w:sz="4" w:space="0"/>
              <w:left w:val="nil"/>
              <w:bottom w:val="single" w:color="auto" w:sz="4" w:space="0"/>
              <w:right w:val="single" w:color="000000" w:sz="4" w:space="0"/>
            </w:tcBorders>
            <w:shd w:val="clear" w:color="auto" w:fill="auto"/>
            <w:vAlign w:val="center"/>
          </w:tcPr>
          <w:p w14:paraId="2B5723C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BETA射线法颗粒物(PM10)分析仪</w:t>
            </w:r>
          </w:p>
        </w:tc>
        <w:tc>
          <w:tcPr>
            <w:tcW w:w="708" w:type="dxa"/>
            <w:tcBorders>
              <w:top w:val="nil"/>
              <w:left w:val="nil"/>
              <w:bottom w:val="single" w:color="auto" w:sz="4" w:space="0"/>
              <w:right w:val="single" w:color="auto" w:sz="4" w:space="0"/>
            </w:tcBorders>
            <w:shd w:val="clear" w:color="auto" w:fill="auto"/>
            <w:vAlign w:val="center"/>
          </w:tcPr>
          <w:p w14:paraId="4742AAEC">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w:t>
            </w:r>
          </w:p>
        </w:tc>
        <w:tc>
          <w:tcPr>
            <w:tcW w:w="709" w:type="dxa"/>
            <w:tcBorders>
              <w:top w:val="nil"/>
              <w:left w:val="nil"/>
              <w:bottom w:val="single" w:color="auto" w:sz="4" w:space="0"/>
              <w:right w:val="single" w:color="auto" w:sz="4" w:space="0"/>
            </w:tcBorders>
            <w:shd w:val="clear" w:color="auto" w:fill="auto"/>
            <w:vAlign w:val="center"/>
          </w:tcPr>
          <w:p w14:paraId="6D7B054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套</w:t>
            </w:r>
          </w:p>
        </w:tc>
      </w:tr>
      <w:tr w14:paraId="561482B9">
        <w:tblPrEx>
          <w:tblCellMar>
            <w:top w:w="0" w:type="dxa"/>
            <w:left w:w="108" w:type="dxa"/>
            <w:bottom w:w="0" w:type="dxa"/>
            <w:right w:w="108" w:type="dxa"/>
          </w:tblCellMar>
        </w:tblPrEx>
        <w:trPr>
          <w:trHeight w:val="536"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1BAAD1">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3</w:t>
            </w:r>
          </w:p>
        </w:tc>
        <w:tc>
          <w:tcPr>
            <w:tcW w:w="6521" w:type="dxa"/>
            <w:tcBorders>
              <w:top w:val="single" w:color="auto" w:sz="4" w:space="0"/>
              <w:left w:val="nil"/>
              <w:bottom w:val="single" w:color="auto" w:sz="4" w:space="0"/>
              <w:right w:val="single" w:color="auto" w:sz="4" w:space="0"/>
            </w:tcBorders>
            <w:shd w:val="clear" w:color="auto" w:fill="auto"/>
            <w:vAlign w:val="center"/>
          </w:tcPr>
          <w:p w14:paraId="7812163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BETA射线法颗粒物(PM2.5)分析仪</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6B9281">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w:t>
            </w:r>
          </w:p>
        </w:tc>
        <w:tc>
          <w:tcPr>
            <w:tcW w:w="709" w:type="dxa"/>
            <w:tcBorders>
              <w:top w:val="single" w:color="auto" w:sz="4" w:space="0"/>
              <w:left w:val="nil"/>
              <w:bottom w:val="single" w:color="auto" w:sz="4" w:space="0"/>
              <w:right w:val="single" w:color="auto" w:sz="4" w:space="0"/>
            </w:tcBorders>
            <w:shd w:val="clear" w:color="auto" w:fill="auto"/>
            <w:vAlign w:val="center"/>
          </w:tcPr>
          <w:p w14:paraId="24E5112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套</w:t>
            </w:r>
          </w:p>
        </w:tc>
      </w:tr>
      <w:tr w14:paraId="2604237A">
        <w:tblPrEx>
          <w:tblCellMar>
            <w:top w:w="0" w:type="dxa"/>
            <w:left w:w="108" w:type="dxa"/>
            <w:bottom w:w="0" w:type="dxa"/>
            <w:right w:w="108" w:type="dxa"/>
          </w:tblCellMar>
        </w:tblPrEx>
        <w:trPr>
          <w:trHeight w:val="39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092D05D">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4</w:t>
            </w:r>
          </w:p>
        </w:tc>
        <w:tc>
          <w:tcPr>
            <w:tcW w:w="6521" w:type="dxa"/>
            <w:tcBorders>
              <w:top w:val="single" w:color="auto" w:sz="4" w:space="0"/>
              <w:left w:val="nil"/>
              <w:bottom w:val="single" w:color="auto" w:sz="4" w:space="0"/>
              <w:right w:val="single" w:color="auto" w:sz="4" w:space="0"/>
            </w:tcBorders>
            <w:shd w:val="clear" w:color="auto" w:fill="auto"/>
            <w:vAlign w:val="center"/>
          </w:tcPr>
          <w:p w14:paraId="6A3A6025">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颗粒物手工比对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E462B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w:t>
            </w:r>
          </w:p>
        </w:tc>
        <w:tc>
          <w:tcPr>
            <w:tcW w:w="709" w:type="dxa"/>
            <w:tcBorders>
              <w:top w:val="single" w:color="auto" w:sz="4" w:space="0"/>
              <w:left w:val="nil"/>
              <w:bottom w:val="single" w:color="auto" w:sz="4" w:space="0"/>
              <w:right w:val="single" w:color="auto" w:sz="4" w:space="0"/>
            </w:tcBorders>
            <w:shd w:val="clear" w:color="auto" w:fill="auto"/>
            <w:vAlign w:val="center"/>
          </w:tcPr>
          <w:p w14:paraId="0304D7DC">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项</w:t>
            </w:r>
          </w:p>
        </w:tc>
      </w:tr>
    </w:tbl>
    <w:p w14:paraId="0B54AA60">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lang w:val="en-US" w:eastAsia="zh-CN"/>
        </w:rPr>
        <w:t>四</w:t>
      </w:r>
      <w:r>
        <w:rPr>
          <w:rFonts w:hint="eastAsia" w:ascii="宋体" w:hAnsi="宋体" w:eastAsia="宋体"/>
          <w:bCs/>
          <w:color w:val="000000"/>
          <w:sz w:val="24"/>
          <w:highlight w:val="none"/>
        </w:rPr>
        <w:t>、设备性能要求</w:t>
      </w:r>
    </w:p>
    <w:p w14:paraId="3B296E2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1、各项监测设备性能指标均达到国家标准分析方法、中国环保行业分析方法的要求。</w:t>
      </w:r>
    </w:p>
    <w:p w14:paraId="2774EF0E">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2、采用点式仪器组成自动监测系统。</w:t>
      </w:r>
    </w:p>
    <w:p w14:paraId="2461DDD6">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3、系统可以自动采样。</w:t>
      </w:r>
    </w:p>
    <w:p w14:paraId="56EFBEA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4、所有仪器均具有良好的抗干扰能力。</w:t>
      </w:r>
    </w:p>
    <w:p w14:paraId="3C632D84">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5、所有监测分析仪输出的数据能够自动换算为标态浓度。</w:t>
      </w:r>
    </w:p>
    <w:p w14:paraId="3709F5A4">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6、具有0-100mv,0-1,0-5,0-10V模拟输出方式，提供RS232/485双向数字通讯接口，各分析仪自带网络接口。</w:t>
      </w:r>
    </w:p>
    <w:p w14:paraId="351ED3C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7、整套大气自动监测系统满足自动连续进行正常、稳定大气监测要求；具有各项资料自动传输、远程自动和手动控制、诊断、现场手动控制及故障显示等基本功能。整套系统的有效数据运行率优于95%；</w:t>
      </w:r>
    </w:p>
    <w:p w14:paraId="5417F6E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8、每套系统应附有单机和系统的中文的安装说明书及使用说明书。</w:t>
      </w:r>
    </w:p>
    <w:p w14:paraId="74CDCC1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lang w:val="en-US" w:eastAsia="zh-CN"/>
        </w:rPr>
        <w:t>五</w:t>
      </w:r>
      <w:r>
        <w:rPr>
          <w:rFonts w:hint="eastAsia" w:ascii="宋体" w:hAnsi="宋体" w:eastAsia="宋体"/>
          <w:bCs/>
          <w:color w:val="000000"/>
          <w:sz w:val="24"/>
          <w:highlight w:val="none"/>
          <w:lang w:val="zh-CN"/>
        </w:rPr>
        <w:t>、设备主要技术指标</w:t>
      </w:r>
    </w:p>
    <w:p w14:paraId="32F2B6B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lang w:val="zh-CN"/>
        </w:rPr>
        <w:t>1、</w:t>
      </w:r>
      <w:r>
        <w:rPr>
          <w:rFonts w:hint="eastAsia" w:ascii="宋体" w:hAnsi="宋体" w:eastAsia="宋体"/>
          <w:bCs/>
          <w:color w:val="000000"/>
          <w:sz w:val="24"/>
          <w:highlight w:val="none"/>
        </w:rPr>
        <w:t>臭氧分析仪</w:t>
      </w:r>
    </w:p>
    <w:p w14:paraId="1B34FA02">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（1）分析方法：紫外吸收法</w:t>
      </w:r>
    </w:p>
    <w:p w14:paraId="3470DF96">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（2）测量范围：0～500ppb</w:t>
      </w:r>
    </w:p>
    <w:p w14:paraId="6A4736AE">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（3）零点噪声：≤0.1ppb</w:t>
      </w:r>
    </w:p>
    <w:p w14:paraId="2BBDD3D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▲（4）量程噪声：≤0.8ppb（提供环境保护部环境监测仪器质量监督检验中心检测报告彩色扫描件）</w:t>
      </w:r>
    </w:p>
    <w:p w14:paraId="7D17C90B">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lang w:val="zh-CN"/>
        </w:rPr>
        <w:t>（5）</w:t>
      </w:r>
      <w:r>
        <w:rPr>
          <w:rFonts w:hint="eastAsia" w:ascii="宋体" w:hAnsi="宋体" w:eastAsia="宋体"/>
          <w:bCs/>
          <w:color w:val="000000"/>
          <w:sz w:val="24"/>
          <w:highlight w:val="none"/>
        </w:rPr>
        <w:t>最低检出限：≤0.2ppb</w:t>
      </w:r>
    </w:p>
    <w:p w14:paraId="5E757C94">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（6）示值误差：≤±0.4%F.S.</w:t>
      </w:r>
    </w:p>
    <w:p w14:paraId="5786F595">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（7）20%量程精密度：≤0.6ppb</w:t>
      </w:r>
    </w:p>
    <w:p w14:paraId="6A28AC19">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▲（8）80%量程精密度：≤0.7ppb（提供环境保护部环境监测仪器质量监督检验中心检测报告彩色扫描件）</w:t>
      </w:r>
    </w:p>
    <w:p w14:paraId="6178950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（9）24h零点漂移：≤±0.2ppb</w:t>
      </w:r>
      <w:bookmarkStart w:id="1" w:name="OLE_LINK1"/>
    </w:p>
    <w:bookmarkEnd w:id="1"/>
    <w:p w14:paraId="02261FBC">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（10）24h20%量程漂移：≤±2ppb</w:t>
      </w:r>
    </w:p>
    <w:p w14:paraId="2011EF6C">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（11）24h80%量程漂移：≤±3ppb</w:t>
      </w:r>
    </w:p>
    <w:p w14:paraId="02DD243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（12）响应时间（上升/下降）：≤250s</w:t>
      </w:r>
    </w:p>
    <w:p w14:paraId="40E4FE93">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（13）电压稳定性：≤±0.7%F.S.</w:t>
      </w:r>
    </w:p>
    <w:p w14:paraId="0DA8BF7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rPr>
        <w:t>▲（14）流量稳定性：≤±1%（提供环境保护部环境监测仪器质量监督检验中心检测报告彩色扫描件）</w:t>
      </w:r>
    </w:p>
    <w:p w14:paraId="7433010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（15）环境温度变化的影响：≤1ppb/℃</w:t>
      </w:r>
    </w:p>
    <w:p w14:paraId="2AEA37EB">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lang w:val="zh-CN"/>
        </w:rPr>
        <w:t>2、</w:t>
      </w:r>
      <w:r>
        <w:rPr>
          <w:rFonts w:hint="eastAsia" w:ascii="宋体" w:hAnsi="宋体" w:eastAsia="宋体"/>
          <w:bCs/>
          <w:color w:val="000000"/>
          <w:sz w:val="24"/>
          <w:highlight w:val="none"/>
        </w:rPr>
        <w:t>BETA射线法颗粒物(PM10)分析仪</w:t>
      </w:r>
    </w:p>
    <w:p w14:paraId="288AD194">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（1）设备用途：用于环境空气中PM10浓度的监测</w:t>
      </w:r>
    </w:p>
    <w:p w14:paraId="344C6B85">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（2）测量范围：0～10mg/m3量程可调</w:t>
      </w:r>
    </w:p>
    <w:p w14:paraId="57509DA5">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（3）检出限：≤1.4ug/m3（提供环境保护部环境监测仪器质量监督检验中心检测报告加盖制造商公章彩色扫描件）</w:t>
      </w:r>
    </w:p>
    <w:p w14:paraId="27A7DDF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▲（4）校准膜示值误差：≤±1％（提供环境保护部环境监测仪器质量监督检验中心检测报告彩色扫描件）</w:t>
      </w:r>
    </w:p>
    <w:p w14:paraId="259CE82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▲（5）温度测量示值误差：≤±0.8℃（提供环境保护部环境监测仪器质量监督检验中心检测报告彩色扫描件）</w:t>
      </w:r>
    </w:p>
    <w:p w14:paraId="24AC445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（6）平行性：≤±6.4％</w:t>
      </w:r>
    </w:p>
    <w:p w14:paraId="2B6C6816">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（7）有效数据率：≥99%</w:t>
      </w:r>
    </w:p>
    <w:p w14:paraId="7195CB26">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（8）分析方法：基于β射线加动态加热系统方法，用于连续监测环境空气中的颗粒物（PM10）</w:t>
      </w:r>
    </w:p>
    <w:p w14:paraId="745927E2">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3</w:t>
      </w:r>
      <w:r>
        <w:rPr>
          <w:rFonts w:hint="eastAsia" w:ascii="宋体" w:hAnsi="宋体" w:eastAsia="宋体"/>
          <w:bCs/>
          <w:color w:val="000000"/>
          <w:sz w:val="24"/>
          <w:highlight w:val="none"/>
          <w:lang w:val="zh-CN"/>
        </w:rPr>
        <w:t>、</w:t>
      </w:r>
      <w:r>
        <w:rPr>
          <w:rFonts w:hint="eastAsia" w:ascii="宋体" w:hAnsi="宋体" w:eastAsia="宋体"/>
          <w:bCs/>
          <w:color w:val="000000"/>
          <w:sz w:val="24"/>
          <w:highlight w:val="none"/>
        </w:rPr>
        <w:t>BETA射线法颗粒物(PM2.5)分析仪</w:t>
      </w:r>
    </w:p>
    <w:p w14:paraId="54139A7E">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（1）设备用途：用于环境空气中PM2.5浓度的监测</w:t>
      </w:r>
    </w:p>
    <w:p w14:paraId="385D7040">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（2）测量范围：0～10mg/m3量程可调</w:t>
      </w:r>
    </w:p>
    <w:p w14:paraId="3A8FF589">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（3）检出限：≤1.4ug/m3</w:t>
      </w:r>
    </w:p>
    <w:p w14:paraId="4167A9DA">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▲（4）校准膜示值误差：≤±1％（提供环境保护部环境监测仪器质量监督检验中心检测报告彩色扫描件）</w:t>
      </w:r>
    </w:p>
    <w:p w14:paraId="2E3F86B5">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▲（5）温度测量示值误差：≤±0.8℃（提供环境保护部环境监测仪器质量监督检验中心检测报告色扫描件）</w:t>
      </w:r>
    </w:p>
    <w:p w14:paraId="02128E8C">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（6）平行性：≤±11％</w:t>
      </w:r>
    </w:p>
    <w:p w14:paraId="28B5F92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（7）有效数据率：≥99%</w:t>
      </w:r>
    </w:p>
    <w:p w14:paraId="5452B9BE">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（8）分析方法：基于β射线加动态加热系统方法，用于连续监测环境空气中的颗粒物（PM2.5）</w:t>
      </w:r>
    </w:p>
    <w:p w14:paraId="1ED96D87">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zh-CN"/>
        </w:rPr>
      </w:pPr>
      <w:r>
        <w:rPr>
          <w:rFonts w:hint="eastAsia" w:ascii="宋体" w:hAnsi="宋体" w:eastAsia="宋体"/>
          <w:bCs/>
          <w:color w:val="000000"/>
          <w:sz w:val="24"/>
          <w:highlight w:val="none"/>
          <w:lang w:val="zh-CN"/>
        </w:rPr>
        <w:t>4、子站安装附件</w:t>
      </w:r>
    </w:p>
    <w:p w14:paraId="30A8B9B9">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1/4”接头，1/4”特氟龙管，卡套等，所有能使整套系统气路、电路连接正常运转需要配置的安装附件。</w:t>
      </w:r>
    </w:p>
    <w:p w14:paraId="2ABB3B7E">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五、颗粒物手工比对</w:t>
      </w:r>
    </w:p>
    <w:p w14:paraId="517DB6C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rPr>
      </w:pPr>
      <w:r>
        <w:rPr>
          <w:rFonts w:hint="eastAsia" w:ascii="宋体" w:hAnsi="宋体" w:eastAsia="宋体"/>
          <w:bCs/>
          <w:color w:val="000000"/>
          <w:sz w:val="24"/>
          <w:highlight w:val="none"/>
        </w:rPr>
        <w:t>★根据《环境空气颗粒物（PM10和 PM2.5）连续自动监测系统技术要求及检测方法〔HJ653—2021〕》要求，省控点位颗粒物（PM10、PM2.5）监测仪更新安装集成验收之前需进行手工比对，投标人需在中标后30天内通过江苏省环境监测中心手工比对测试。</w:t>
      </w:r>
    </w:p>
    <w:p w14:paraId="2C3025EF">
      <w:pPr>
        <w:pBdr>
          <w:top w:val="none" w:color="000000" w:sz="0" w:space="0"/>
          <w:left w:val="none" w:color="000000" w:sz="0" w:space="0"/>
          <w:bottom w:val="none" w:color="000000" w:sz="0" w:space="0"/>
          <w:right w:val="none" w:color="000000" w:sz="0" w:space="0"/>
        </w:pBdr>
        <w:spacing w:line="273" w:lineRule="atLeast"/>
        <w:ind w:firstLine="480"/>
        <w:rPr>
          <w:rFonts w:hint="eastAsia" w:ascii="宋体" w:hAnsi="宋体" w:eastAsia="宋体"/>
          <w:bCs/>
          <w:color w:val="000000"/>
          <w:sz w:val="24"/>
          <w:highlight w:val="none"/>
          <w:lang w:val="en-US"/>
        </w:rPr>
      </w:pPr>
    </w:p>
    <w:sectPr>
      <w:headerReference r:id="rId7"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6C23E">
    <w:pPr>
      <w:pStyle w:val="8"/>
      <w:ind w:firstLine="360"/>
      <w:jc w:val="center"/>
    </w:pPr>
    <w:r>
      <w:fldChar w:fldCharType="begin"/>
    </w:r>
    <w:r>
      <w:instrText xml:space="preserve">PAGE   \* MERGEFORMAT</w:instrText>
    </w:r>
    <w:r>
      <w:fldChar w:fldCharType="separate"/>
    </w:r>
    <w:r>
      <w:rPr>
        <w:lang w:val="zh-CN"/>
      </w:rPr>
      <w:t>-</w:t>
    </w:r>
    <w:r>
      <w:t xml:space="preserve"> 9 -</w:t>
    </w:r>
    <w:r>
      <w:fldChar w:fldCharType="end"/>
    </w:r>
  </w:p>
  <w:p w14:paraId="57A255DA">
    <w:pP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2C8F">
    <w:pPr>
      <w:pStyle w:val="8"/>
      <w:ind w:firstLine="360"/>
      <w:jc w:val="center"/>
    </w:pPr>
    <w:r>
      <w:fldChar w:fldCharType="begin"/>
    </w:r>
    <w:r>
      <w:instrText xml:space="preserve">PAGE   \* MERGEFORMAT</w:instrText>
    </w:r>
    <w:r>
      <w:fldChar w:fldCharType="separate"/>
    </w:r>
    <w:r>
      <w:rPr>
        <w:lang w:val="zh-CN"/>
      </w:rPr>
      <w:t>-</w:t>
    </w:r>
    <w:r>
      <w:t xml:space="preserve"> 8 -</w:t>
    </w:r>
    <w:r>
      <w:fldChar w:fldCharType="end"/>
    </w:r>
  </w:p>
  <w:p w14:paraId="077329A8">
    <w:pPr>
      <w:pStyle w:val="8"/>
      <w:ind w:firstLine="360"/>
    </w:pPr>
  </w:p>
  <w:p w14:paraId="6CEDA02C">
    <w:pPr>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F53F">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C1E3">
    <w:pPr>
      <w:pStyle w:val="9"/>
      <w:ind w:firstLine="0" w:firstLineChars="0"/>
      <w:jc w:val="both"/>
    </w:pPr>
  </w:p>
  <w:p w14:paraId="52CB1BBD">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462C0">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pStyle w:val="20"/>
      <w:suff w:val="space"/>
      <w:lvlText w:val="%1、"/>
      <w:lvlJc w:val="left"/>
      <w:pPr>
        <w:ind w:left="425" w:hanging="425"/>
      </w:pPr>
      <w:rPr>
        <w:rFonts w:hint="default" w:ascii="Times New Roman" w:hAnsi="Times New Roman" w:eastAsia="黑体"/>
        <w:b w:val="0"/>
        <w:i w:val="0"/>
        <w:sz w:val="32"/>
      </w:rPr>
    </w:lvl>
    <w:lvl w:ilvl="1" w:tentative="0">
      <w:start w:val="1"/>
      <w:numFmt w:val="chineseCountingThousand"/>
      <w:suff w:val="space"/>
      <w:lvlText w:val="（%2）"/>
      <w:lvlJc w:val="left"/>
      <w:pPr>
        <w:ind w:left="992" w:hanging="992"/>
      </w:pPr>
      <w:rPr>
        <w:rFonts w:hint="default" w:ascii="Times New Roman" w:hAnsi="Times New Roman" w:eastAsia="楷体_GB2312"/>
        <w:b w:val="0"/>
        <w:i w:val="0"/>
        <w:sz w:val="32"/>
      </w:rPr>
    </w:lvl>
    <w:lvl w:ilvl="2" w:tentative="0">
      <w:start w:val="1"/>
      <w:numFmt w:val="decimal"/>
      <w:suff w:val="space"/>
      <w:lvlText w:val="%3．"/>
      <w:lvlJc w:val="left"/>
      <w:pPr>
        <w:ind w:left="1418" w:hanging="1418"/>
      </w:pPr>
      <w:rPr>
        <w:rFonts w:hint="default" w:ascii="Times New Roman" w:hAnsi="Times New Roman" w:eastAsia="仿宋_GB2312"/>
        <w:b w:val="0"/>
        <w:i w:val="0"/>
        <w:sz w:val="32"/>
      </w:rPr>
    </w:lvl>
    <w:lvl w:ilvl="3" w:tentative="0">
      <w:start w:val="1"/>
      <w:numFmt w:val="decimal"/>
      <w:suff w:val="space"/>
      <w:lvlText w:val="（%4）"/>
      <w:lvlJc w:val="left"/>
      <w:pPr>
        <w:ind w:left="1984" w:hanging="1984"/>
      </w:pPr>
      <w:rPr>
        <w:rFonts w:hint="default" w:ascii="Times New Roman" w:hAnsi="Times New Roman" w:eastAsia="仿宋_GB2312"/>
        <w:b w:val="0"/>
        <w:i w:val="0"/>
        <w:sz w:val="3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8C97BBA"/>
    <w:multiLevelType w:val="multilevel"/>
    <w:tmpl w:val="48C97BBA"/>
    <w:lvl w:ilvl="0" w:tentative="0">
      <w:start w:val="1"/>
      <w:numFmt w:val="japaneseCounting"/>
      <w:pStyle w:val="10"/>
      <w:lvlText w:val="第%1章"/>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NDkyYTcxMDRjZWIyYTBhNGM0MTBlMjhiZDJlNWYifQ=="/>
  </w:docVars>
  <w:rsids>
    <w:rsidRoot w:val="00570CD6"/>
    <w:rsid w:val="00033BE0"/>
    <w:rsid w:val="00206E50"/>
    <w:rsid w:val="00570CD6"/>
    <w:rsid w:val="00884BE4"/>
    <w:rsid w:val="009F134B"/>
    <w:rsid w:val="009F50F7"/>
    <w:rsid w:val="00A0495B"/>
    <w:rsid w:val="00A0496B"/>
    <w:rsid w:val="00C67B5E"/>
    <w:rsid w:val="00CA28B6"/>
    <w:rsid w:val="00E05F4B"/>
    <w:rsid w:val="38AD0302"/>
    <w:rsid w:val="39926A9E"/>
    <w:rsid w:val="6415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宋体"/>
      <w:kern w:val="2"/>
      <w:sz w:val="32"/>
      <w:szCs w:val="22"/>
      <w:lang w:val="en-US" w:eastAsia="zh-CN" w:bidi="ar-SA"/>
    </w:rPr>
  </w:style>
  <w:style w:type="paragraph" w:styleId="2">
    <w:name w:val="heading 1"/>
    <w:basedOn w:val="1"/>
    <w:next w:val="1"/>
    <w:link w:val="14"/>
    <w:qFormat/>
    <w:uiPriority w:val="9"/>
    <w:pPr>
      <w:keepNext/>
      <w:keepLines/>
      <w:spacing w:before="220" w:after="210"/>
      <w:outlineLvl w:val="0"/>
    </w:pPr>
    <w:rPr>
      <w:rFonts w:eastAsia="宋体"/>
      <w:b/>
      <w:bCs/>
      <w:kern w:val="44"/>
      <w:sz w:val="24"/>
      <w:szCs w:val="44"/>
    </w:rPr>
  </w:style>
  <w:style w:type="paragraph" w:styleId="3">
    <w:name w:val="heading 2"/>
    <w:basedOn w:val="1"/>
    <w:next w:val="1"/>
    <w:link w:val="16"/>
    <w:qFormat/>
    <w:uiPriority w:val="9"/>
    <w:pPr>
      <w:keepNext/>
      <w:keepLines/>
      <w:spacing w:before="140" w:after="140"/>
      <w:outlineLvl w:val="1"/>
    </w:pPr>
    <w:rPr>
      <w:rFonts w:eastAsia="宋体"/>
      <w:b/>
      <w:bCs/>
      <w:sz w:val="24"/>
      <w:szCs w:val="32"/>
    </w:rPr>
  </w:style>
  <w:style w:type="paragraph" w:styleId="4">
    <w:name w:val="heading 3"/>
    <w:basedOn w:val="1"/>
    <w:next w:val="1"/>
    <w:link w:val="25"/>
    <w:qFormat/>
    <w:uiPriority w:val="9"/>
    <w:pPr>
      <w:keepNext/>
      <w:keepLines/>
      <w:spacing w:before="140" w:after="140"/>
      <w:outlineLvl w:val="2"/>
    </w:pPr>
    <w:rPr>
      <w:rFonts w:eastAsia="宋体"/>
      <w:b/>
      <w:bCs/>
      <w:sz w:val="24"/>
      <w:szCs w:val="32"/>
    </w:rPr>
  </w:style>
  <w:style w:type="paragraph" w:styleId="5">
    <w:name w:val="heading 4"/>
    <w:basedOn w:val="1"/>
    <w:next w:val="1"/>
    <w:link w:val="26"/>
    <w:qFormat/>
    <w:uiPriority w:val="9"/>
    <w:pPr>
      <w:keepNext/>
      <w:keepLines/>
      <w:spacing w:before="160" w:after="170"/>
      <w:ind w:firstLine="482"/>
      <w:outlineLvl w:val="3"/>
    </w:pPr>
    <w:rPr>
      <w:rFonts w:eastAsia="宋体"/>
      <w:b/>
      <w:bCs/>
      <w:sz w:val="24"/>
      <w:szCs w:val="28"/>
    </w:rPr>
  </w:style>
  <w:style w:type="paragraph" w:styleId="6">
    <w:name w:val="heading 5"/>
    <w:basedOn w:val="1"/>
    <w:next w:val="1"/>
    <w:link w:val="31"/>
    <w:qFormat/>
    <w:uiPriority w:val="9"/>
    <w:pPr>
      <w:keepNext/>
      <w:keepLines/>
      <w:spacing w:before="160" w:after="170"/>
      <w:outlineLvl w:val="4"/>
    </w:pPr>
    <w:rPr>
      <w:rFonts w:eastAsia="宋体"/>
      <w:b/>
      <w:bCs/>
      <w:sz w:val="24"/>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autoRedefine/>
    <w:qFormat/>
    <w:uiPriority w:val="99"/>
    <w:pPr>
      <w:jc w:val="left"/>
    </w:p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numPr>
        <w:ilvl w:val="0"/>
        <w:numId w:val="1"/>
      </w:numPr>
      <w:jc w:val="center"/>
    </w:pPr>
    <w:rPr>
      <w:sz w:val="24"/>
    </w:rPr>
  </w:style>
  <w:style w:type="table" w:styleId="12">
    <w:name w:val="Table Grid"/>
    <w:basedOn w:val="11"/>
    <w:autoRedefine/>
    <w:qFormat/>
    <w:uiPriority w:val="0"/>
    <w:pPr>
      <w:widowControl w:val="0"/>
      <w:jc w:val="both"/>
    </w:pPr>
    <w:rPr>
      <w:rFonts w:ascii="等线" w:hAnsi="等线" w:eastAsia="等线"/>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
    <w:name w:val="标题 1 字符"/>
    <w:basedOn w:val="13"/>
    <w:link w:val="2"/>
    <w:autoRedefine/>
    <w:qFormat/>
    <w:uiPriority w:val="9"/>
    <w:rPr>
      <w:rFonts w:cs="宋体"/>
      <w:b/>
      <w:bCs/>
      <w:kern w:val="44"/>
      <w:sz w:val="24"/>
      <w:szCs w:val="44"/>
    </w:rPr>
  </w:style>
  <w:style w:type="paragraph" w:customStyle="1" w:styleId="15">
    <w:name w:val="列出段落1"/>
    <w:basedOn w:val="1"/>
    <w:qFormat/>
    <w:uiPriority w:val="34"/>
    <w:pPr>
      <w:ind w:firstLine="420"/>
    </w:pPr>
  </w:style>
  <w:style w:type="character" w:customStyle="1" w:styleId="16">
    <w:name w:val="标题 2 字符"/>
    <w:basedOn w:val="13"/>
    <w:link w:val="3"/>
    <w:qFormat/>
    <w:uiPriority w:val="9"/>
    <w:rPr>
      <w:rFonts w:cs="宋体"/>
      <w:b/>
      <w:bCs/>
      <w:kern w:val="2"/>
      <w:sz w:val="24"/>
      <w:szCs w:val="32"/>
    </w:rPr>
  </w:style>
  <w:style w:type="paragraph" w:customStyle="1" w:styleId="17">
    <w:name w:val="!正文"/>
    <w:basedOn w:val="1"/>
    <w:qFormat/>
    <w:uiPriority w:val="0"/>
    <w:pPr>
      <w:spacing w:before="217" w:beforeLines="50"/>
      <w:ind w:firstLine="480"/>
    </w:pPr>
    <w:rPr>
      <w:rFonts w:hAnsi="方正仿宋_GBK" w:eastAsia="宋体" w:cs="方正仿宋_GBK"/>
      <w:sz w:val="24"/>
      <w:szCs w:val="28"/>
      <w:lang w:val="zh-CN"/>
    </w:rPr>
  </w:style>
  <w:style w:type="character" w:customStyle="1" w:styleId="18">
    <w:name w:val="页眉 字符"/>
    <w:basedOn w:val="13"/>
    <w:link w:val="9"/>
    <w:autoRedefine/>
    <w:qFormat/>
    <w:uiPriority w:val="99"/>
    <w:rPr>
      <w:rFonts w:ascii="Times New Roman" w:hAnsi="Times New Roman" w:eastAsia="仿宋_GB2312"/>
      <w:sz w:val="18"/>
      <w:szCs w:val="18"/>
    </w:rPr>
  </w:style>
  <w:style w:type="character" w:customStyle="1" w:styleId="19">
    <w:name w:val="页脚 字符"/>
    <w:basedOn w:val="13"/>
    <w:link w:val="8"/>
    <w:autoRedefine/>
    <w:qFormat/>
    <w:uiPriority w:val="99"/>
    <w:rPr>
      <w:rFonts w:ascii="Times New Roman" w:hAnsi="Times New Roman" w:eastAsia="仿宋_GB2312"/>
      <w:sz w:val="18"/>
      <w:szCs w:val="18"/>
    </w:rPr>
  </w:style>
  <w:style w:type="paragraph" w:customStyle="1" w:styleId="20">
    <w:name w:val="标题1-公文"/>
    <w:basedOn w:val="1"/>
    <w:autoRedefine/>
    <w:qFormat/>
    <w:uiPriority w:val="0"/>
    <w:pPr>
      <w:numPr>
        <w:ilvl w:val="0"/>
        <w:numId w:val="2"/>
      </w:numPr>
      <w:spacing w:line="576" w:lineRule="exact"/>
      <w:ind w:left="0" w:firstLine="200"/>
      <w:outlineLvl w:val="0"/>
    </w:pPr>
    <w:rPr>
      <w:rFonts w:eastAsia="黑体" w:cs="Times New Roman"/>
      <w:szCs w:val="32"/>
    </w:rPr>
  </w:style>
  <w:style w:type="paragraph" w:customStyle="1" w:styleId="21">
    <w:name w:val="标题2-公文"/>
    <w:basedOn w:val="20"/>
    <w:link w:val="23"/>
    <w:autoRedefine/>
    <w:qFormat/>
    <w:uiPriority w:val="0"/>
    <w:pPr>
      <w:numPr>
        <w:ilvl w:val="1"/>
        <w:numId w:val="0"/>
      </w:numPr>
      <w:ind w:firstLine="200"/>
      <w:outlineLvl w:val="1"/>
    </w:pPr>
    <w:rPr>
      <w:rFonts w:eastAsia="楷体_GB2312"/>
    </w:rPr>
  </w:style>
  <w:style w:type="paragraph" w:customStyle="1" w:styleId="22">
    <w:name w:val="标题3-公文"/>
    <w:basedOn w:val="21"/>
    <w:autoRedefine/>
    <w:qFormat/>
    <w:uiPriority w:val="0"/>
    <w:pPr>
      <w:numPr>
        <w:ilvl w:val="2"/>
      </w:numPr>
      <w:ind w:firstLine="200"/>
    </w:pPr>
    <w:rPr>
      <w:rFonts w:eastAsia="仿宋_GB2312"/>
    </w:rPr>
  </w:style>
  <w:style w:type="character" w:customStyle="1" w:styleId="23">
    <w:name w:val="标题2-公文 字符"/>
    <w:link w:val="21"/>
    <w:autoRedefine/>
    <w:qFormat/>
    <w:uiPriority w:val="0"/>
    <w:rPr>
      <w:rFonts w:ascii="Times New Roman" w:hAnsi="Times New Roman" w:eastAsia="楷体_GB2312" w:cs="Times New Roman"/>
      <w:sz w:val="32"/>
      <w:szCs w:val="32"/>
    </w:rPr>
  </w:style>
  <w:style w:type="paragraph" w:customStyle="1" w:styleId="24">
    <w:name w:val="标题4-公文"/>
    <w:basedOn w:val="22"/>
    <w:autoRedefine/>
    <w:qFormat/>
    <w:uiPriority w:val="0"/>
    <w:pPr>
      <w:numPr>
        <w:ilvl w:val="3"/>
      </w:numPr>
      <w:ind w:firstLine="200"/>
    </w:pPr>
  </w:style>
  <w:style w:type="character" w:customStyle="1" w:styleId="25">
    <w:name w:val="标题 3 字符"/>
    <w:basedOn w:val="13"/>
    <w:link w:val="4"/>
    <w:autoRedefine/>
    <w:qFormat/>
    <w:uiPriority w:val="9"/>
    <w:rPr>
      <w:rFonts w:cs="宋体"/>
      <w:b/>
      <w:bCs/>
      <w:kern w:val="2"/>
      <w:sz w:val="24"/>
      <w:szCs w:val="32"/>
    </w:rPr>
  </w:style>
  <w:style w:type="character" w:customStyle="1" w:styleId="26">
    <w:name w:val="标题 4 字符"/>
    <w:basedOn w:val="13"/>
    <w:link w:val="5"/>
    <w:autoRedefine/>
    <w:qFormat/>
    <w:uiPriority w:val="9"/>
    <w:rPr>
      <w:rFonts w:cs="宋体"/>
      <w:b/>
      <w:bCs/>
      <w:kern w:val="2"/>
      <w:sz w:val="24"/>
      <w:szCs w:val="28"/>
    </w:rPr>
  </w:style>
  <w:style w:type="paragraph" w:customStyle="1" w:styleId="27">
    <w:name w:val="正文格式"/>
    <w:basedOn w:val="1"/>
    <w:link w:val="28"/>
    <w:autoRedefine/>
    <w:qFormat/>
    <w:uiPriority w:val="9"/>
    <w:pPr>
      <w:widowControl/>
      <w:spacing w:line="576" w:lineRule="exact"/>
    </w:pPr>
    <w:rPr>
      <w:rFonts w:ascii="宋体" w:hAnsi="宋体" w:eastAsia="宋体"/>
      <w:kern w:val="0"/>
      <w:sz w:val="30"/>
      <w:szCs w:val="24"/>
      <w:lang w:val="en-GB"/>
    </w:rPr>
  </w:style>
  <w:style w:type="character" w:customStyle="1" w:styleId="28">
    <w:name w:val="正文格式 Char"/>
    <w:link w:val="27"/>
    <w:autoRedefine/>
    <w:qFormat/>
    <w:uiPriority w:val="9"/>
    <w:rPr>
      <w:rFonts w:ascii="宋体" w:hAnsi="宋体" w:cs="宋体"/>
      <w:sz w:val="30"/>
      <w:szCs w:val="24"/>
      <w:lang w:val="en-GB"/>
    </w:rPr>
  </w:style>
  <w:style w:type="paragraph" w:customStyle="1" w:styleId="29">
    <w:name w:val="正文111"/>
    <w:next w:val="1"/>
    <w:link w:val="30"/>
    <w:autoRedefine/>
    <w:qFormat/>
    <w:uiPriority w:val="0"/>
    <w:pPr>
      <w:widowControl w:val="0"/>
      <w:jc w:val="both"/>
    </w:pPr>
    <w:rPr>
      <w:rFonts w:ascii="Times New Roman" w:hAnsi="Times New Roman" w:eastAsia="宋体" w:cs="Times New Roman"/>
      <w:b/>
      <w:lang w:val="en-US" w:eastAsia="zh-CN" w:bidi="ar-SA"/>
    </w:rPr>
  </w:style>
  <w:style w:type="character" w:customStyle="1" w:styleId="30">
    <w:name w:val="font21"/>
    <w:basedOn w:val="13"/>
    <w:link w:val="29"/>
    <w:autoRedefine/>
    <w:qFormat/>
    <w:uiPriority w:val="0"/>
    <w:rPr>
      <w:b/>
    </w:rPr>
  </w:style>
  <w:style w:type="character" w:customStyle="1" w:styleId="31">
    <w:name w:val="标题 5 字符"/>
    <w:basedOn w:val="13"/>
    <w:link w:val="6"/>
    <w:autoRedefine/>
    <w:qFormat/>
    <w:uiPriority w:val="9"/>
    <w:rPr>
      <w:rFonts w:cs="宋体"/>
      <w:b/>
      <w:bCs/>
      <w:kern w:val="2"/>
      <w:sz w:val="24"/>
      <w:szCs w:val="28"/>
    </w:rPr>
  </w:style>
  <w:style w:type="character" w:customStyle="1" w:styleId="32">
    <w:name w:val="fontstyle01"/>
    <w:basedOn w:val="13"/>
    <w:qFormat/>
    <w:uiPriority w:val="0"/>
    <w:rPr>
      <w:rFonts w:hint="eastAsia" w:ascii="仿宋" w:hAnsi="仿宋" w:eastAsia="仿宋"/>
      <w:color w:val="000000"/>
      <w:sz w:val="24"/>
      <w:szCs w:val="24"/>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3256</Words>
  <Characters>3436</Characters>
  <Lines>95</Lines>
  <Paragraphs>26</Paragraphs>
  <TotalTime>2</TotalTime>
  <ScaleCrop>false</ScaleCrop>
  <LinksUpToDate>false</LinksUpToDate>
  <CharactersWithSpaces>3468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2024-02-05T22:26:00Z</dcterms:created>
  <dc:creator>SCDQ</dc:creator>
  <cp:lastModifiedBy>双鱼</cp:lastModifiedBy>
  <cp:lastPrinted>2024-02-06T01:35:00Z</cp:lastPrinted>
  <dcterms:modified xsi:type="dcterms:W3CDTF">2025-07-01T01:43:27Z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5C21D0F38B884FD8932343836773994A_13</vt:lpwstr>
  </property>
  <property fmtid="{D5CDD505-2E9C-101B-9397-08002B2CF9AE}" pid="3" name="KSOProductBuildVer">
    <vt:lpwstr>2052-12.1.0.21541</vt:lpwstr>
  </property>
  <property fmtid="{D5CDD505-2E9C-101B-9397-08002B2CF9AE}" pid="4" name="KSOTemplateDocerSaveRecord">
    <vt:lpwstr>eyJoZGlkIjoiYTQ4YWU2NWIwZGVlZTMyZTIyYjJiNTAwNzZlYjQ1MDMiLCJ1c2VySWQiOiIzODI5NTE0MjkifQ==</vt:lpwstr>
  </property>
</Properties>
</file>