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原</w:t>
      </w:r>
      <w:r>
        <w:rPr>
          <w:rFonts w:hint="eastAsia"/>
          <w:b/>
          <w:bCs/>
          <w:sz w:val="32"/>
          <w:szCs w:val="40"/>
        </w:rPr>
        <w:t>《磋商文件》附件1、《评分细则》</w:t>
      </w:r>
    </w:p>
    <w:tbl>
      <w:tblPr>
        <w:tblStyle w:val="3"/>
        <w:tblpPr w:leftFromText="180" w:rightFromText="180" w:vertAnchor="page" w:horzAnchor="page" w:tblpX="1164" w:tblpY="2793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436"/>
        <w:gridCol w:w="7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评审因素</w:t>
            </w:r>
          </w:p>
        </w:tc>
        <w:tc>
          <w:tcPr>
            <w:tcW w:w="71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评分依据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</w:trPr>
        <w:tc>
          <w:tcPr>
            <w:tcW w:w="2439" w:type="dxa"/>
            <w:gridSpan w:val="2"/>
            <w:vAlign w:val="center"/>
          </w:tcPr>
          <w:p>
            <w:pPr>
              <w:spacing w:line="312" w:lineRule="auto"/>
              <w:ind w:left="1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价格部分（1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采用低价优先法计算，即满足磋商文件要求且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评审价格最低的投标报价为评标基准价，其价格得分为满分：</w:t>
            </w: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价格得分=最低报价（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的最低评审价格）÷各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评审价格×1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（按四舍五入取至小数点后两位）；</w:t>
            </w:r>
          </w:p>
          <w:p>
            <w:pPr>
              <w:spacing w:line="312" w:lineRule="auto"/>
              <w:ind w:left="100" w:right="100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为小微企业或监狱企业、享受政府采购支持政策的残疾人福利性单位的（以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提供的《分项价格表》、《中小企业声明函》、监狱企业证明文件和《残疾人福利性单位声明函》等相关材料为准），给予10%的价格扣除，用扣除后的价格参加评审。该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的评审价格=各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供应商的最终报价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*（100%-10%）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5" w:hRule="atLeast"/>
        </w:trPr>
        <w:tc>
          <w:tcPr>
            <w:tcW w:w="1003" w:type="dxa"/>
            <w:vMerge w:val="restart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商务部分（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1436" w:type="dxa"/>
            <w:vAlign w:val="center"/>
          </w:tcPr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业绩（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供应商具备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合同签订日期在2022年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月1日（含）以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来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相应业绩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，每提供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个得2分，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最高得4分。</w:t>
            </w:r>
          </w:p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注：投标文件中须提供合同原件扫描件，不提供的不得分。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3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供应商实力（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 w:line="312" w:lineRule="auto"/>
              <w:ind w:left="100" w:right="10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供应商具有有效期内的质量管理体系认证、环境管理体系认证、职业健康安全管理体证书的，每提供1个得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最高得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分。</w:t>
            </w:r>
          </w:p>
          <w:p>
            <w:pPr>
              <w:numPr>
                <w:ilvl w:val="0"/>
                <w:numId w:val="1"/>
              </w:numPr>
              <w:spacing w:beforeLines="0" w:afterLines="0" w:line="312" w:lineRule="auto"/>
              <w:ind w:left="100" w:right="10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供应商具备土地整治、建筑行业、旅游规划设计、项目咨询等相关资质的，每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有1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个得2分，本项最高得6分。</w:t>
            </w:r>
          </w:p>
          <w:p>
            <w:pPr>
              <w:spacing w:beforeLines="0" w:afterLines="0" w:line="312" w:lineRule="auto"/>
              <w:ind w:left="100" w:leftChars="0"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注：投标文件中须提供证书原件扫描件，不提供的不得分。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3" w:hRule="atLeast"/>
        </w:trPr>
        <w:tc>
          <w:tcPr>
            <w:tcW w:w="1003" w:type="dxa"/>
            <w:vMerge w:val="restart"/>
            <w:vAlign w:val="center"/>
          </w:tcPr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技术部分（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项目基础分析（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包括对项目的总体认识及技术路线。供应商须基于项目要求对项目总体进行阐述，阐述内容须满足采购需求。对本项目理解较透彻、分析较准确、针对性较强的，该项得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分；对本项目理解尚可、分析具有一定准确度、针对性的，该项得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分；对本项目理解不够透彻、分析不够准确、未有针对性的，该项得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分。缺少内容或内容存在不能满足采购需求，或存在逻辑错误、前后矛盾，或存在违反现行相关规范的，该项不得分。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7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城市更新体检评估技术方案（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针对此项内容、技术措施进行阐述。内容较详实全面、需求贴合度较高且条理较清晰，技术措施较有效的得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详实全面、需求贴合度高且条理清晰，技术措施有效的得5分；内容较为简单、可行、细节待完善，技术措施有效的得3分；内容粗略、无针对性的得1分。缺少内容或内容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3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城市更新专项规划编制技术方案（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针对此项内容、技术措施进行阐述。内容较详实全面、需求贴合度较高且条理较清晰，技术措施较有效的得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分；内容详实全面、需求贴合度高且条理清晰，技术措施有效的得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分；内容较为简单、可行、细节待完善，技术措施有效的得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分；内容粗略、无针对性的得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分。缺少内容或内容不能满足采购需求，或存在逻辑错误、前后矛盾，或存在违反现行相关规范的，该项不得分。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城市更新行动计划技术方案（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针对此项内容、技术措施进行阐述。内容较详实全面、需求贴合度较高且条理较清晰，技术措施较有效的得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详实全面、需求贴合度高且条理清晰，技术措施有效的得5分；内容较为简单、可行、细节待完善，技术措施有效的得3分；内容粗略、无针对性的得1分。缺少内容或内容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3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重难点分析（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①对本项目任务的重点、难点分析；②对重点、难点的应对措施。供应商须针对每条内容进行阐述，阐述内容须满足采购需求。对本项目任务重点、难点把握较准确，且提出较明确针对性方案的得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分；对本项目任务重点、难点把握准确，且提出好的针对性方案的得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分；对本项目任务重点、难点把握不够准确，且提出的方案针对性欠缺的得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分。缺少内容或内容不能满足采购需求，或存在逻辑错误、前后矛盾，或存在违反现行相关规范的，该项不得分。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9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进度计划及质量保证措施（5分）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针对本项目特征制定的进度计划和进度保证措施进行评分。进度保证措施科学、严密、合理，描述详细且具有针对性得5分；进度保证措施基本合理、描述一般、存在可操作性得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分；进度保证措施具有不合理项、描述略欠缺、存在一定的实施难度得1分；未提供不得分。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6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ind w:right="100" w:rightChars="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highlight w:val="none"/>
              </w:rPr>
              <w:t>工作组织安排（5分）</w:t>
            </w:r>
          </w:p>
        </w:tc>
        <w:tc>
          <w:tcPr>
            <w:tcW w:w="7173" w:type="dxa"/>
            <w:vAlign w:val="center"/>
          </w:tcPr>
          <w:p>
            <w:pPr>
              <w:spacing w:line="360" w:lineRule="auto"/>
              <w:ind w:right="100" w:rightChars="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highlight w:val="none"/>
              </w:rPr>
              <w:t>供应商阐述的内容需满足采购需求。内容详实、需求贴合度高且条理清晰的得5分；内容较为简单、可行、细节待完善的得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0"/>
                <w:sz w:val="24"/>
                <w:highlight w:val="none"/>
              </w:rPr>
              <w:t>分；内容粗略、无针对性、基本满足采购需求的得1分；内容存在不能满足采购需求，或存在逻辑错误、前后矛盾，或存在违反现行相关规范的，不得分。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5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人员配备（18）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①供应商拟派项目负责人具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备规划类、市政类、建筑类、交通类、环境类专业（以上专业具备其一即可）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正高级职称证书的得4分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备规划类、市政类、建筑类、交通类、环境类专业（以上专业具备其一即可）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高级职称证书的得2分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具备规划类、市政类、建筑类、交通类、环境类专业（以上专业具备其一即可）</w:t>
            </w:r>
            <w:r>
              <w:rPr>
                <w:rFonts w:hint="eastAsia" w:ascii="宋体" w:hAnsi="宋体" w:eastAsia="宋体" w:cs="Times New Roman"/>
                <w:i w:val="0"/>
                <w:iCs w:val="0"/>
                <w:kern w:val="0"/>
                <w:sz w:val="24"/>
                <w:highlight w:val="none"/>
                <w:lang w:val="en-US" w:eastAsia="zh-CN"/>
              </w:rPr>
              <w:t>中级职称证书的得1分，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本项最高得4分；</w:t>
            </w:r>
          </w:p>
          <w:p>
            <w:pPr>
              <w:spacing w:beforeLines="0" w:afterLines="0" w:line="360" w:lineRule="auto"/>
              <w:ind w:right="10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②项目组成员（不含项目负责人）：具备规划类、市政类、建筑类、交通类、环境类专业中级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职称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的，每有1个专业得2分，本项最高得10分。</w:t>
            </w:r>
          </w:p>
          <w:p>
            <w:pPr>
              <w:spacing w:beforeLines="0" w:afterLines="0" w:line="360" w:lineRule="auto"/>
              <w:ind w:right="10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③项目组成员（不含项目负责人）：具备注册城乡规划师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的，每有1个得1分。本项最高得4分。</w:t>
            </w:r>
          </w:p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注：以上配备的人员须提供证书原件扫描并上传，否则不得分。</w:t>
            </w:r>
          </w:p>
        </w:tc>
      </w:tr>
    </w:tbl>
    <w:p>
      <w:pPr>
        <w:spacing w:line="520" w:lineRule="exact"/>
        <w:rPr>
          <w:rFonts w:hint="default" w:ascii="宋体" w:hAnsi="宋体" w:eastAsia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说明：本项目采用综合评分法，保留两位小数。</w:t>
      </w:r>
    </w:p>
    <w:p>
      <w:pPr>
        <w:jc w:val="center"/>
        <w:rPr>
          <w:rFonts w:ascii="宋体" w:hAnsi="宋体" w:cs="宋体"/>
          <w:b/>
          <w:bCs/>
          <w:color w:val="auto"/>
          <w:sz w:val="32"/>
          <w:szCs w:val="32"/>
          <w:highlight w:val="none"/>
        </w:rPr>
        <w:sectPr>
          <w:pgSz w:w="11906" w:h="16838"/>
          <w:pgMar w:top="1418" w:right="1418" w:bottom="1418" w:left="1418" w:header="851" w:footer="992" w:gutter="0"/>
          <w:cols w:space="1701" w:num="1"/>
          <w:titlePg/>
          <w:docGrid w:linePitch="360" w:charSpace="0"/>
        </w:sectPr>
      </w:pPr>
    </w:p>
    <w:p>
      <w:pPr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更正后《磋商文件》附件1、《评分细则》</w:t>
      </w:r>
    </w:p>
    <w:tbl>
      <w:tblPr>
        <w:tblStyle w:val="3"/>
        <w:tblpPr w:leftFromText="180" w:rightFromText="180" w:vertAnchor="page" w:horzAnchor="page" w:tblpX="1164" w:tblpY="2793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436"/>
        <w:gridCol w:w="7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评审因素</w:t>
            </w:r>
          </w:p>
        </w:tc>
        <w:tc>
          <w:tcPr>
            <w:tcW w:w="71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评分依据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</w:trPr>
        <w:tc>
          <w:tcPr>
            <w:tcW w:w="2439" w:type="dxa"/>
            <w:gridSpan w:val="2"/>
            <w:vAlign w:val="center"/>
          </w:tcPr>
          <w:p>
            <w:pPr>
              <w:spacing w:line="312" w:lineRule="auto"/>
              <w:ind w:left="1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价格部分（1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采用低价优先法计算，即满足磋商文件要求且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评审价格最低的投标报价为评标基准价，其价格得分为满分：</w:t>
            </w: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价格得分=最低报价（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的最低评审价格）÷各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评审价格×1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（按四舍五入取至小数点后两位）；</w:t>
            </w:r>
          </w:p>
          <w:p>
            <w:pPr>
              <w:spacing w:line="312" w:lineRule="auto"/>
              <w:ind w:left="100" w:right="100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为小微企业或监狱企业、享受政府采购支持政策的残疾人福利性单位的（以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提供的《分项价格表》、《中小企业声明函》、监狱企业证明文件和《残疾人福利性单位声明函》等相关材料为准），给予10%的价格扣除，用扣除后的价格参加评审。该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的评审价格=各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供应商的最终报价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*（100%-10%）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5" w:hRule="atLeast"/>
        </w:trPr>
        <w:tc>
          <w:tcPr>
            <w:tcW w:w="1003" w:type="dxa"/>
            <w:vMerge w:val="restart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商务部分（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1436" w:type="dxa"/>
            <w:vAlign w:val="center"/>
          </w:tcPr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业绩（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供应商具备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合同签订日期在2022年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月1日（含）以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来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相应业绩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，每提供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个得2分，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最高得4分。</w:t>
            </w:r>
          </w:p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注：投标文件中须提供合同原件扫描件，不提供的不得分。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2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供应商实力（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12" w:lineRule="auto"/>
              <w:ind w:right="100" w:rightChars="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供应商具有有效期内的质量管理体系认证、环境管理体系认证、职业健康安全管理体证书的，每提供1个得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最高得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分。</w:t>
            </w:r>
          </w:p>
          <w:p>
            <w:pPr>
              <w:spacing w:beforeLines="0" w:afterLines="0" w:line="312" w:lineRule="auto"/>
              <w:ind w:left="100" w:leftChars="0"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注：投标文件中须提供证书原件扫描件，不提供的不得分。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3" w:hRule="atLeast"/>
        </w:trPr>
        <w:tc>
          <w:tcPr>
            <w:tcW w:w="1003" w:type="dxa"/>
            <w:vMerge w:val="restart"/>
            <w:vAlign w:val="center"/>
          </w:tcPr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技术部分（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78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项目基础分析（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包括对项目的总体认识及技术路线。供应商须基于项目要求对项目总体进行阐述，阐述内容须满足采购需求。对本项目理解较透彻、分析较准确、针对性较强的，该项得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分；对本项目理解尚可、分析具有一定准确度、针对性的，该项得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分；对本项目理解不够透彻、分析不够准确、未有针对性的，该项得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分。缺少内容或内容存在不能满足采购需求，或存在逻辑错误、前后矛盾，或存在违反现行相关规范的，该项不得分。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7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城市更新体检评估技术方案（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分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针对此项内容、技术措施进行阐述。内容较详实全面、需求贴合度较高且条理较清晰，技术措施较有效的得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分；内容详实全面、需求贴合度高且条理清晰，技术措施有效的得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分；内容较为简单、可行、细节待完善，技术措施有效的得3分；内容粗略、无针对性的得1分。缺少内容或内容不能满足采购需求，或存在逻辑错误、前后矛盾，或存在违反现行相关规范的，该项不得分。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3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城市更新专项规划编制技术方案（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针对此项内容、技术措施进行阐述。内容较详实全面、需求贴合度较高且条理较清晰，技术措施较有效的得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分；内容详实全面、需求贴合度高且条理清晰，技术措施有效的得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分；内容较为简单、可行、细节待完善，技术措施有效的得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分；内容粗略、无针对性的得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分。缺少内容或内容不能满足采购需求，或存在逻辑错误、前后矛盾，或存在违反现行相关规范的，该项不得分。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城市更新行动计划技术方案（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针对此项内容、技术措施进行阐述。内容较详实全面、需求贴合度较高且条理较清晰，技术措施较有效的得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分；内容详实全面、需求贴合度高且条理清晰，技术措施有效的得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分；内容较为简单、可行、细节待完善，技术措施有效的得3分；内容粗略、无针对性的得1分。缺少内容或内容不能满足采购需求，或存在逻辑错误、前后矛盾，或存在违反现行相关规范的，该项不得分。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3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重难点分析（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①对本项目任务的重点、难点分析；②对重点、难点的应对措施。供应商须针对每条内容进行阐述，阐述内容须满足采购需求。对本项目任务重点、难点把握较准确，且提出较明确针对性方案的得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分；对本项目任务重点、难点把握准确，且提出好的针对性方案的得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分；对本项目任务重点、难点把握不够准确，且提出的方案针对性欠缺的得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分。缺少内容或内容不能满足采购需求，或存在逻辑错误、前后矛盾，或存在违反现行相关规范的，该项不得分。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9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进度计划及质量保证措施（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针对本项目特征制定的进度计划和进度保证措施进行评分。进度保证措施科学、严密、合理，描述详细且具有针对性得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分；进度保证措施基本合理、描述一般、存在可操作性得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分；进度保证措施具有不合理项、描述略欠缺、存在一定的实施难度得1分；未提供不得分。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6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ind w:right="100" w:rightChars="0"/>
              <w:rPr>
                <w:rFonts w:hint="eastAsia" w:ascii="宋体" w:hAnsi="宋体" w:eastAsia="宋体" w:cs="Times New Roman"/>
                <w:kern w:val="0"/>
                <w:sz w:val="24"/>
                <w:highlight w:val="yellow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highlight w:val="yellow"/>
              </w:rPr>
              <w:t>工作组织安排（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default" w:ascii="宋体" w:hAnsi="宋体" w:eastAsia="宋体" w:cs="Times New Roman"/>
                <w:kern w:val="0"/>
                <w:sz w:val="24"/>
                <w:highlight w:val="yellow"/>
              </w:rPr>
              <w:t>分）</w:t>
            </w:r>
          </w:p>
        </w:tc>
        <w:tc>
          <w:tcPr>
            <w:tcW w:w="7173" w:type="dxa"/>
            <w:vAlign w:val="center"/>
          </w:tcPr>
          <w:p>
            <w:pPr>
              <w:spacing w:line="360" w:lineRule="auto"/>
              <w:ind w:right="100" w:rightChars="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highlight w:val="none"/>
              </w:rPr>
              <w:t>供应商阐述的内容需满足采购需求。内容详实、需求贴合度高且条理清晰的得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Times New Roman"/>
                <w:kern w:val="0"/>
                <w:sz w:val="24"/>
                <w:highlight w:val="none"/>
              </w:rPr>
              <w:t>分；内容较为简单、可行、细节待完善的得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0"/>
                <w:sz w:val="24"/>
                <w:highlight w:val="none"/>
              </w:rPr>
              <w:t>分；内容粗略、无针对性、基本满足采购需求的得1分；内容存在不能满足采购需求，或存在逻辑错误、前后矛盾，或存在违反现行相关规范的，不得分。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5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12" w:lineRule="auto"/>
              <w:ind w:left="100" w:right="100"/>
              <w:rPr>
                <w:rFonts w:hint="default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人员配备（18）</w:t>
            </w:r>
          </w:p>
        </w:tc>
        <w:tc>
          <w:tcPr>
            <w:tcW w:w="7173" w:type="dxa"/>
            <w:vAlign w:val="center"/>
          </w:tcPr>
          <w:p>
            <w:pPr>
              <w:spacing w:beforeLines="0" w:afterLines="0" w:line="360" w:lineRule="auto"/>
              <w:ind w:right="10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①供应商拟派项目负责人具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备规划类、市政类、建筑类、交通类、环境类专业（以上专业具备其一即可）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正高级职称证书的得4分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备规划类、市政类、建筑类、交通类、环境类专业（以上专业具备其一即可）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高级职称证书的得2分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具备规划类、市政类、建筑类、交通类、环境类专业（以上专业具备其一即可）</w:t>
            </w:r>
            <w:r>
              <w:rPr>
                <w:rFonts w:hint="eastAsia" w:ascii="宋体" w:hAnsi="宋体" w:eastAsia="宋体" w:cs="Times New Roman"/>
                <w:i w:val="0"/>
                <w:iCs w:val="0"/>
                <w:kern w:val="0"/>
                <w:sz w:val="24"/>
                <w:highlight w:val="none"/>
                <w:lang w:val="en-US" w:eastAsia="zh-CN"/>
              </w:rPr>
              <w:t>中级职称证书的得1分，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本项最高得4分；</w:t>
            </w:r>
          </w:p>
          <w:p>
            <w:pPr>
              <w:spacing w:beforeLines="0" w:afterLines="0" w:line="360" w:lineRule="auto"/>
              <w:ind w:right="10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②项目组成员（不含项目负责人）：具备规划类、市政类、建筑类、交通类、环境类专业中级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职称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的，每有1个专业得2分，本项最高得10分。</w:t>
            </w:r>
          </w:p>
          <w:p>
            <w:pPr>
              <w:spacing w:beforeLines="0" w:afterLines="0" w:line="360" w:lineRule="auto"/>
              <w:ind w:right="100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③项目组成员（不含项目负责人）：具备注册城乡规划师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的，每有1个得1分。本项最高得4分。</w:t>
            </w:r>
          </w:p>
          <w:p>
            <w:pPr>
              <w:spacing w:beforeLines="0" w:afterLines="0" w:line="360" w:lineRule="auto"/>
              <w:ind w:right="100" w:rightChars="0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注：以上配备的人员须提供证书原件扫描并上传，否则不得分。</w:t>
            </w:r>
          </w:p>
        </w:tc>
      </w:tr>
    </w:tbl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说明：本项目采用综合评分法，保留</w:t>
      </w:r>
      <w:bookmarkStart w:id="0" w:name="_GoBack"/>
      <w:bookmarkEnd w:id="0"/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两位小数。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F508"/>
    <w:multiLevelType w:val="singleLevel"/>
    <w:tmpl w:val="0C81F5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13C4F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8316252"/>
    <w:rsid w:val="2905192F"/>
    <w:rsid w:val="29593633"/>
    <w:rsid w:val="2A365FF7"/>
    <w:rsid w:val="2AE36AE5"/>
    <w:rsid w:val="2B282743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FD6EE3"/>
    <w:rsid w:val="762672C8"/>
    <w:rsid w:val="76414EB9"/>
    <w:rsid w:val="76F9487D"/>
    <w:rsid w:val="775B0FFA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EF92FE0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2025-06-19T01:25:28Z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