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5A624">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如有建议或意见，请以书面形式并加盖公章、注明联系人、联系方式，于202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lang w:val="en-US" w:eastAsia="zh-CN"/>
        </w:rPr>
        <w:t>23</w:t>
      </w:r>
      <w:r>
        <w:rPr>
          <w:rFonts w:hint="eastAsia" w:ascii="宋体" w:hAnsi="宋体" w:eastAsia="宋体" w:cs="宋体"/>
          <w:b w:val="0"/>
          <w:bCs/>
          <w:color w:val="auto"/>
          <w:sz w:val="24"/>
          <w:szCs w:val="24"/>
          <w:highlight w:val="none"/>
        </w:rPr>
        <w:t>日17:00之前送至我单位，逾期不受理（如邮寄，202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lang w:val="en-US" w:eastAsia="zh-CN"/>
        </w:rPr>
        <w:t>23</w:t>
      </w:r>
      <w:r>
        <w:rPr>
          <w:rFonts w:hint="eastAsia" w:ascii="宋体" w:hAnsi="宋体" w:eastAsia="宋体" w:cs="宋体"/>
          <w:b w:val="0"/>
          <w:bCs/>
          <w:color w:val="auto"/>
          <w:sz w:val="24"/>
          <w:szCs w:val="24"/>
          <w:highlight w:val="none"/>
        </w:rPr>
        <w:t>日17:00之后到达本公司的邮件将不再受理）。</w:t>
      </w:r>
    </w:p>
    <w:p w14:paraId="6EC5C24F">
      <w:pPr>
        <w:jc w:val="center"/>
        <w:rPr>
          <w:rFonts w:ascii="仿宋" w:hAnsi="仿宋" w:eastAsia="仿宋" w:cs="宋体"/>
          <w:b/>
          <w:color w:val="000000" w:themeColor="text1"/>
          <w:sz w:val="36"/>
          <w:szCs w:val="36"/>
          <w14:textFill>
            <w14:solidFill>
              <w14:schemeClr w14:val="tx1"/>
            </w14:solidFill>
          </w14:textFill>
        </w:rPr>
      </w:pPr>
      <w:r>
        <w:rPr>
          <w:rFonts w:hint="eastAsia" w:ascii="宋体" w:hAnsi="宋体" w:eastAsia="宋体" w:cs="宋体"/>
          <w:b w:val="0"/>
          <w:bCs/>
          <w:color w:val="auto"/>
          <w:sz w:val="24"/>
          <w:szCs w:val="24"/>
          <w:highlight w:val="none"/>
        </w:rPr>
        <w:br w:type="column"/>
      </w:r>
      <w:r>
        <w:rPr>
          <w:rFonts w:hint="eastAsia" w:ascii="仿宋" w:hAnsi="仿宋" w:eastAsia="仿宋" w:cs="宋体"/>
          <w:b/>
          <w:bCs/>
          <w:color w:val="000000" w:themeColor="text1"/>
          <w:sz w:val="36"/>
          <w:szCs w:val="36"/>
          <w14:textFill>
            <w14:solidFill>
              <w14:schemeClr w14:val="tx1"/>
            </w14:solidFill>
          </w14:textFill>
        </w:rPr>
        <w:t>项目要求（采购需求）</w:t>
      </w:r>
    </w:p>
    <w:p w14:paraId="2EA1DD45">
      <w:pPr>
        <w:spacing w:line="360" w:lineRule="auto"/>
        <w:ind w:firstLine="482"/>
        <w:jc w:val="both"/>
        <w:rPr>
          <w:rFonts w:ascii="Times New Roman" w:hAnsi="Times New Roman" w:eastAsia="宋体" w:cs="Times New Roman"/>
          <w:b/>
          <w:bCs/>
          <w:color w:val="000000"/>
          <w:sz w:val="24"/>
        </w:rPr>
      </w:pPr>
      <w:r>
        <w:rPr>
          <w:rFonts w:hint="default" w:ascii="宋体" w:hAnsi="宋体" w:eastAsia="宋体" w:cs="宋体"/>
          <w:b/>
          <w:bCs/>
          <w:color w:val="000000"/>
          <w:sz w:val="24"/>
        </w:rPr>
        <w:t>一、本项目不接受超过人民币</w:t>
      </w:r>
      <w:r>
        <w:rPr>
          <w:rFonts w:hint="default" w:ascii="宋体" w:hAnsi="宋体" w:eastAsia="宋体" w:cs="宋体"/>
          <w:b/>
          <w:bCs/>
          <w:color w:val="000000"/>
          <w:sz w:val="24"/>
          <w:u w:val="single"/>
        </w:rPr>
        <w:t xml:space="preserve"> </w:t>
      </w:r>
      <w:r>
        <w:rPr>
          <w:rFonts w:hint="eastAsia" w:ascii="宋体" w:hAnsi="宋体" w:eastAsia="宋体" w:cs="宋体"/>
          <w:b/>
          <w:bCs/>
          <w:color w:val="000000"/>
          <w:sz w:val="24"/>
          <w:u w:val="single"/>
        </w:rPr>
        <w:t>50</w:t>
      </w:r>
      <w:r>
        <w:rPr>
          <w:rFonts w:hint="default" w:ascii="宋体" w:hAnsi="宋体" w:eastAsia="宋体" w:cs="宋体"/>
          <w:b/>
          <w:bCs/>
          <w:color w:val="000000"/>
          <w:sz w:val="24"/>
          <w:u w:val="single"/>
        </w:rPr>
        <w:t>万元</w:t>
      </w:r>
      <w:r>
        <w:rPr>
          <w:rFonts w:hint="default" w:ascii="宋体" w:hAnsi="宋体" w:eastAsia="宋体" w:cs="宋体"/>
          <w:b/>
          <w:bCs/>
          <w:color w:val="000000"/>
          <w:sz w:val="24"/>
        </w:rPr>
        <w:t>（采购项目预算金额）的报价。</w:t>
      </w:r>
    </w:p>
    <w:p w14:paraId="12B261A2">
      <w:pPr>
        <w:spacing w:before="0" w:beforeAutospacing="0" w:after="0" w:afterAutospacing="0" w:line="360" w:lineRule="auto"/>
        <w:ind w:firstLine="482"/>
        <w:jc w:val="left"/>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二、项目概况：</w:t>
      </w:r>
    </w:p>
    <w:p w14:paraId="605834DA">
      <w:pPr>
        <w:spacing w:before="0" w:beforeAutospacing="0" w:after="0" w:afterAutospacing="0" w:line="360" w:lineRule="auto"/>
        <w:ind w:firstLine="482"/>
        <w:jc w:val="left"/>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1、项目名称：徐州市2024年度民用建筑能耗统计项目</w:t>
      </w:r>
    </w:p>
    <w:p w14:paraId="32F08775">
      <w:pPr>
        <w:spacing w:before="0" w:beforeAutospacing="0" w:after="0" w:afterAutospacing="0" w:line="360" w:lineRule="auto"/>
        <w:ind w:firstLine="482"/>
        <w:jc w:val="left"/>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2、项目简要说明：</w:t>
      </w:r>
    </w:p>
    <w:p w14:paraId="50895B6F">
      <w:pPr>
        <w:spacing w:before="0" w:beforeAutospacing="0" w:after="0" w:afterAutospacing="0" w:line="360" w:lineRule="auto"/>
        <w:ind w:firstLine="787" w:firstLineChars="328"/>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依据《住房城乡建设部办公厅关于做好2024年度全国民用建筑能源资源消耗统计调查的通知》的要求对徐州市建筑进行2024年度能耗统计工作。</w:t>
      </w:r>
    </w:p>
    <w:p w14:paraId="4085998D">
      <w:pPr>
        <w:spacing w:before="0" w:beforeAutospacing="0" w:after="0" w:afterAutospacing="0" w:line="360" w:lineRule="auto"/>
        <w:ind w:firstLine="482"/>
        <w:jc w:val="left"/>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3、服务质量：</w:t>
      </w:r>
      <w:r>
        <w:rPr>
          <w:rFonts w:hint="eastAsia" w:ascii="宋体" w:hAnsi="宋体" w:eastAsia="宋体" w:cs="宋体"/>
          <w:color w:val="000000"/>
          <w:sz w:val="24"/>
          <w:szCs w:val="24"/>
          <w:lang w:val="en-US" w:eastAsia="zh-CN" w:bidi="ar-SA"/>
        </w:rPr>
        <w:t>合格，符合相关规定。</w:t>
      </w:r>
    </w:p>
    <w:p w14:paraId="60608319">
      <w:pPr>
        <w:spacing w:after="0" w:line="360" w:lineRule="auto"/>
        <w:ind w:firstLine="482"/>
        <w:jc w:val="both"/>
        <w:rPr>
          <w:rFonts w:hint="eastAsia" w:ascii="宋体" w:hAnsi="宋体" w:eastAsia="宋体" w:cs="宋体"/>
          <w:b/>
          <w:bCs/>
          <w:color w:val="000000"/>
          <w:sz w:val="24"/>
          <w:szCs w:val="24"/>
          <w:lang w:val="en-US" w:eastAsia="zh-CN" w:bidi="ar-SA"/>
        </w:rPr>
      </w:pPr>
      <w:r>
        <w:rPr>
          <w:rFonts w:hint="default" w:ascii="宋体" w:hAnsi="宋体" w:eastAsia="宋体" w:cs="宋体"/>
          <w:b/>
          <w:bCs/>
          <w:color w:val="000000"/>
          <w:sz w:val="24"/>
          <w:szCs w:val="24"/>
          <w:lang w:val="en-US" w:eastAsia="zh-CN" w:bidi="ar-SA"/>
        </w:rPr>
        <w:t>三、项目</w:t>
      </w:r>
      <w:r>
        <w:rPr>
          <w:rFonts w:hint="eastAsia" w:ascii="Times New Roman" w:hAnsi="Times New Roman" w:eastAsia="宋体" w:cs="宋体"/>
          <w:b/>
          <w:bCs/>
          <w:color w:val="000000"/>
          <w:sz w:val="24"/>
          <w:szCs w:val="24"/>
          <w:lang w:val="en-US" w:eastAsia="zh-CN" w:bidi="ar-SA"/>
        </w:rPr>
        <w:t>实施要求</w:t>
      </w:r>
      <w:r>
        <w:rPr>
          <w:rFonts w:hint="default" w:ascii="宋体" w:hAnsi="宋体" w:eastAsia="宋体" w:cs="宋体"/>
          <w:b/>
          <w:bCs/>
          <w:color w:val="000000"/>
          <w:sz w:val="24"/>
          <w:szCs w:val="24"/>
          <w:lang w:val="en-US" w:eastAsia="zh-CN" w:bidi="ar-SA"/>
        </w:rPr>
        <w:t>：</w:t>
      </w:r>
    </w:p>
    <w:p w14:paraId="71923DDB">
      <w:pPr>
        <w:spacing w:line="360" w:lineRule="auto"/>
        <w:ind w:firstLine="480"/>
        <w:jc w:val="both"/>
        <w:rPr>
          <w:rFonts w:hint="eastAsia" w:ascii="宋体" w:hAnsi="宋体" w:eastAsia="宋体" w:cs="宋体"/>
          <w:color w:val="000000"/>
          <w:sz w:val="24"/>
        </w:rPr>
      </w:pPr>
      <w:r>
        <w:rPr>
          <w:rFonts w:hint="eastAsia" w:ascii="宋体" w:hAnsi="宋体" w:eastAsia="宋体" w:cs="宋体"/>
          <w:color w:val="000000"/>
          <w:sz w:val="24"/>
        </w:rPr>
        <w:t>（一）项目内容：依据省住建部的《住房城乡建设部办公厅关于做好2024年度全国民用建筑能源资源消耗统计调查的通知》</w:t>
      </w:r>
      <w:r>
        <w:rPr>
          <w:rFonts w:hint="eastAsia" w:ascii="宋体" w:hAnsi="宋体" w:eastAsia="宋体" w:cs="宋体"/>
          <w:color w:val="000000"/>
          <w:sz w:val="24"/>
          <w:lang w:eastAsia="zh-CN"/>
        </w:rPr>
        <w:t>等</w:t>
      </w:r>
      <w:r>
        <w:rPr>
          <w:rFonts w:hint="eastAsia" w:ascii="宋体" w:hAnsi="宋体" w:eastAsia="宋体" w:cs="宋体"/>
          <w:color w:val="000000"/>
          <w:sz w:val="24"/>
        </w:rPr>
        <w:t>对徐州市建筑进行2024年度能耗统计工作，包括：</w:t>
      </w:r>
    </w:p>
    <w:p w14:paraId="2F39BF77">
      <w:pPr>
        <w:spacing w:line="360" w:lineRule="auto"/>
        <w:ind w:firstLine="480"/>
        <w:jc w:val="both"/>
        <w:rPr>
          <w:rFonts w:hint="eastAsia" w:ascii="宋体" w:hAnsi="宋体" w:eastAsia="宋体" w:cs="宋体"/>
          <w:color w:val="000000"/>
          <w:sz w:val="24"/>
        </w:rPr>
      </w:pPr>
      <w:r>
        <w:rPr>
          <w:rFonts w:hint="eastAsia" w:ascii="宋体" w:hAnsi="宋体" w:eastAsia="宋体" w:cs="宋体"/>
          <w:color w:val="000000"/>
          <w:sz w:val="24"/>
        </w:rPr>
        <w:t>（1）全面统计徐州市国家机关办公建筑、大型公共建筑（＞20000㎡）的建筑基本信息和202</w:t>
      </w:r>
      <w:r>
        <w:rPr>
          <w:rFonts w:hint="eastAsia" w:ascii="宋体" w:hAnsi="宋体" w:eastAsia="宋体" w:cs="宋体"/>
          <w:color w:val="000000"/>
          <w:sz w:val="24"/>
          <w:lang w:val="en-US" w:eastAsia="zh-CN"/>
        </w:rPr>
        <w:t>4</w:t>
      </w:r>
      <w:r>
        <w:rPr>
          <w:rFonts w:hint="eastAsia" w:ascii="宋体" w:hAnsi="宋体" w:eastAsia="宋体" w:cs="宋体"/>
          <w:color w:val="000000"/>
          <w:sz w:val="24"/>
        </w:rPr>
        <w:t>年度能源资源消耗信息；重点调查徐州市中小型公共建筑和居住建筑基本信息、能源资源消耗信息统计，乡村居住建筑能源资源消耗信息统计。全面统计徐州市供热设备的单机容量在 7 兆瓦及以上（锅炉单台容量在 10 吨/时及以上）的锅炉房（热电厂）；重点调查徐州市规模以下的锅炉房（供热设备的单机容量在 7 兆瓦以下或锅炉单台容量在 10 吨/时及以下的锅炉房）。为保证统计数据的有效性，公建统计范围应涵盖商场建筑、宾馆饭店建筑、医疗卫生建筑、文化教育建筑、交通枢纽类、办公等主要建筑类型；每个县（区）抽取1个行政村纳入统计范围，每个行政村按1%的比例对村镇住户建筑能源资源信息进行统计。全部达到《绿色建筑评价标准》并已竣工的城镇新建建筑信息统计。</w:t>
      </w:r>
    </w:p>
    <w:p w14:paraId="531EF719">
      <w:pPr>
        <w:spacing w:line="360" w:lineRule="auto"/>
        <w:ind w:firstLine="480"/>
        <w:jc w:val="both"/>
        <w:rPr>
          <w:rFonts w:hint="eastAsia" w:ascii="宋体" w:hAnsi="宋体" w:eastAsia="宋体" w:cs="宋体"/>
          <w:color w:val="000000"/>
          <w:sz w:val="24"/>
        </w:rPr>
      </w:pPr>
      <w:r>
        <w:rPr>
          <w:rFonts w:hint="eastAsia" w:ascii="宋体" w:hAnsi="宋体" w:eastAsia="宋体" w:cs="宋体"/>
          <w:color w:val="000000"/>
          <w:sz w:val="24"/>
        </w:rPr>
        <w:t>（2）典型的不同建筑节能标准执行阶段的各类民用建筑的基本信息和能耗统计信息，结合建设领域碳达峰和碳中和工作要求，统计测算可再生能源建筑应用情况，特别是太阳能光伏发电的建筑实际应用情况，并评估太阳能光热、光电、地热能等可再生能源的实际应用效果。</w:t>
      </w:r>
    </w:p>
    <w:p w14:paraId="125BEA5B">
      <w:pPr>
        <w:spacing w:line="360" w:lineRule="auto"/>
        <w:ind w:firstLine="480"/>
        <w:jc w:val="both"/>
        <w:rPr>
          <w:rFonts w:hint="eastAsia" w:ascii="宋体" w:hAnsi="宋体" w:eastAsia="宋体" w:cs="宋体"/>
          <w:sz w:val="24"/>
        </w:rPr>
      </w:pPr>
      <w:r>
        <w:rPr>
          <w:rFonts w:hint="eastAsia" w:ascii="宋体" w:hAnsi="宋体" w:eastAsia="宋体" w:cs="宋体"/>
          <w:color w:val="000000"/>
          <w:sz w:val="24"/>
        </w:rPr>
        <w:t>（3）既有建筑节能改造情况，统计改造内容（围护结构、空调系统、照明等），并根据改造前后的能耗数据评估改造效果，统计对象主要为办公、商业、医院、酒店等能耗水平较高的公共建筑，建立建筑节能领域设备更新项目储备库。</w:t>
      </w:r>
    </w:p>
    <w:p w14:paraId="6B3A58D5">
      <w:pPr>
        <w:spacing w:line="360" w:lineRule="auto"/>
        <w:ind w:firstLine="480"/>
        <w:jc w:val="both"/>
        <w:rPr>
          <w:rFonts w:hint="eastAsia" w:ascii="宋体" w:hAnsi="宋体" w:eastAsia="宋体" w:cs="宋体"/>
          <w:sz w:val="24"/>
        </w:rPr>
      </w:pPr>
      <w:r>
        <w:rPr>
          <w:rFonts w:hint="eastAsia" w:ascii="宋体" w:hAnsi="宋体" w:eastAsia="宋体" w:cs="宋体"/>
          <w:sz w:val="24"/>
        </w:rPr>
        <w:t xml:space="preserve"> （二）服务要求：</w:t>
      </w:r>
    </w:p>
    <w:p w14:paraId="386ED0ED">
      <w:pPr>
        <w:spacing w:after="57" w:line="360" w:lineRule="auto"/>
        <w:ind w:firstLine="480"/>
        <w:jc w:val="both"/>
        <w:rPr>
          <w:rFonts w:hint="eastAsia" w:ascii="宋体" w:hAnsi="宋体" w:eastAsia="宋体" w:cs="Times New Roman"/>
          <w:sz w:val="24"/>
          <w:szCs w:val="24"/>
          <w:lang w:val="en-US" w:eastAsia="zh-CN" w:bidi="ar-SA"/>
        </w:rPr>
      </w:pPr>
      <w:r>
        <w:rPr>
          <w:rFonts w:hint="eastAsia" w:ascii="宋体" w:hAnsi="宋体" w:eastAsia="宋体" w:cs="宋体"/>
          <w:sz w:val="24"/>
          <w:szCs w:val="24"/>
          <w:lang w:val="en-US" w:eastAsia="zh-CN" w:bidi="ar-SA"/>
        </w:rPr>
        <w:t>能够准确填写住建部建筑节能与绿色建筑综合信息管理平台（http://jzjn.mohurd.gov.cn）中涉及的建筑节能工作进展情况调查表，绿色建筑、装配式建筑、绿色建材工作进展情况调查表等报表。按时在民用建筑能耗报送系统中完成数据报送工作。建立数据分</w:t>
      </w:r>
      <w:bookmarkStart w:id="0" w:name="_GoBack"/>
      <w:bookmarkEnd w:id="0"/>
      <w:r>
        <w:rPr>
          <w:rFonts w:hint="eastAsia" w:ascii="宋体" w:hAnsi="宋体" w:eastAsia="宋体" w:cs="宋体"/>
          <w:sz w:val="24"/>
          <w:szCs w:val="24"/>
          <w:lang w:val="en-US" w:eastAsia="zh-CN" w:bidi="ar-SA"/>
        </w:rPr>
        <w:t>析工具，录入本年度及往年能耗统计数据，对能耗统计数据进行数据分析，包括但不限于能耗数据</w:t>
      </w:r>
      <w:r>
        <w:rPr>
          <w:rFonts w:hint="eastAsia" w:ascii="宋体" w:hAnsi="宋体" w:eastAsia="宋体" w:cs="宋体"/>
          <w:color w:val="000000"/>
          <w:sz w:val="24"/>
          <w:szCs w:val="24"/>
          <w:lang w:val="en-US" w:eastAsia="zh-CN" w:bidi="ar-SA"/>
        </w:rPr>
        <w:t>变化趋势、重点耗能建筑、结合民用建筑能耗标准分析能耗指标等。</w:t>
      </w:r>
    </w:p>
    <w:p w14:paraId="0E51DD28">
      <w:pPr>
        <w:spacing w:after="57" w:line="288" w:lineRule="auto"/>
        <w:ind w:firstLine="480"/>
        <w:jc w:val="both"/>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（三）服务周期：60日历天内完成项目全部</w:t>
      </w:r>
      <w:r>
        <w:rPr>
          <w:rFonts w:hint="eastAsia" w:ascii="宋体" w:hAnsi="宋体" w:eastAsia="宋体" w:cs="Times New Roman"/>
          <w:sz w:val="24"/>
          <w:szCs w:val="24"/>
          <w:highlight w:val="none"/>
          <w:lang w:val="en-US" w:eastAsia="zh-CN" w:bidi="ar-SA"/>
        </w:rPr>
        <w:t>内容。2025年10月15日前完成民用建筑能耗报送系统中完成数据报送工作；2025年10月30日前完</w:t>
      </w:r>
      <w:r>
        <w:rPr>
          <w:rFonts w:hint="eastAsia" w:ascii="宋体" w:hAnsi="宋体" w:eastAsia="宋体" w:cs="Times New Roman"/>
          <w:sz w:val="24"/>
          <w:szCs w:val="24"/>
          <w:lang w:val="en-US" w:eastAsia="zh-CN" w:bidi="ar-SA"/>
        </w:rPr>
        <w:t>成数据分析平台工作。</w:t>
      </w:r>
    </w:p>
    <w:p w14:paraId="759DFED3">
      <w:pPr>
        <w:spacing w:after="57" w:line="360" w:lineRule="auto"/>
        <w:ind w:firstLine="480"/>
        <w:jc w:val="both"/>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（四）人员要求：供应商拟成立的能耗统计小组、能源审计小组成员要求：小组人员应具有</w:t>
      </w:r>
      <w:r>
        <w:rPr>
          <w:rFonts w:hint="eastAsia" w:ascii="宋体" w:hAnsi="宋体" w:eastAsia="宋体" w:cs="宋体"/>
          <w:sz w:val="24"/>
          <w:szCs w:val="24"/>
          <w:lang w:val="en-US" w:eastAsia="zh-CN" w:bidi="ar-SA"/>
        </w:rPr>
        <w:t>暖通空调、</w:t>
      </w:r>
      <w:r>
        <w:rPr>
          <w:rFonts w:ascii="宋体" w:hAnsi="宋体" w:eastAsia="宋体" w:cs="宋体"/>
          <w:sz w:val="24"/>
          <w:szCs w:val="24"/>
          <w:lang w:val="en-US" w:eastAsia="zh-CN" w:bidi="ar-SA"/>
        </w:rPr>
        <w:t>建筑</w:t>
      </w:r>
      <w:r>
        <w:rPr>
          <w:rFonts w:hint="eastAsia" w:ascii="宋体" w:hAnsi="宋体" w:eastAsia="宋体" w:cs="宋体"/>
          <w:sz w:val="24"/>
          <w:szCs w:val="24"/>
          <w:lang w:val="en-US" w:eastAsia="zh-CN" w:bidi="ar-SA"/>
        </w:rPr>
        <w:t>节能、建筑材料等土木建筑</w:t>
      </w:r>
      <w:r>
        <w:rPr>
          <w:rFonts w:hint="eastAsia" w:ascii="宋体" w:hAnsi="宋体" w:eastAsia="宋体" w:cs="Times New Roman"/>
          <w:sz w:val="24"/>
          <w:szCs w:val="24"/>
          <w:highlight w:val="none"/>
          <w:lang w:val="en-US" w:eastAsia="zh-CN" w:bidi="ar-SA"/>
        </w:rPr>
        <w:t>相关工程类专业本科及以上学历或中级工程师及以上职称，其中高级职称不应少于</w:t>
      </w:r>
      <w:r>
        <w:rPr>
          <w:rFonts w:hint="eastAsia" w:ascii="宋体" w:hAnsi="宋体" w:eastAsia="宋体" w:cs="Times New Roman"/>
          <w:sz w:val="24"/>
          <w:szCs w:val="24"/>
          <w:lang w:val="en-US" w:eastAsia="zh-CN" w:bidi="ar-SA"/>
        </w:rPr>
        <w:t>3人，项目组总人数不少于12人。</w:t>
      </w:r>
    </w:p>
    <w:p w14:paraId="4945E6CD">
      <w:pPr>
        <w:spacing w:line="360" w:lineRule="auto"/>
        <w:ind w:firstLine="0"/>
        <w:jc w:val="both"/>
        <w:rPr>
          <w:rFonts w:hint="eastAsia" w:ascii="宋体" w:hAnsi="宋体" w:eastAsia="宋体" w:cs="宋体"/>
          <w:color w:val="000000"/>
          <w:sz w:val="24"/>
        </w:rPr>
      </w:pPr>
      <w:r>
        <w:rPr>
          <w:rFonts w:hint="eastAsia" w:ascii="宋体" w:hAnsi="宋体" w:eastAsia="宋体" w:cs="宋体"/>
          <w:color w:val="000000"/>
          <w:sz w:val="24"/>
        </w:rPr>
        <w:t>（五）其他技术要求</w:t>
      </w:r>
    </w:p>
    <w:p w14:paraId="19B433F2">
      <w:pPr>
        <w:spacing w:line="360" w:lineRule="auto"/>
        <w:ind w:firstLine="0"/>
        <w:jc w:val="both"/>
        <w:rPr>
          <w:rFonts w:hint="eastAsia" w:ascii="宋体" w:hAnsi="宋体" w:eastAsia="宋体" w:cs="宋体"/>
          <w:color w:val="000000"/>
          <w:sz w:val="24"/>
        </w:rPr>
      </w:pPr>
      <w:r>
        <w:rPr>
          <w:rFonts w:hint="eastAsia" w:ascii="宋体" w:hAnsi="宋体" w:eastAsia="宋体" w:cs="宋体"/>
          <w:color w:val="000000"/>
          <w:sz w:val="24"/>
        </w:rPr>
        <w:t>1.技术能力</w:t>
      </w:r>
    </w:p>
    <w:p w14:paraId="31398CDA">
      <w:pPr>
        <w:spacing w:line="360" w:lineRule="auto"/>
        <w:ind w:firstLine="480" w:firstLineChars="200"/>
        <w:jc w:val="both"/>
        <w:rPr>
          <w:rFonts w:hint="eastAsia" w:ascii="宋体" w:hAnsi="宋体" w:eastAsia="宋体" w:cs="宋体"/>
          <w:color w:val="000000"/>
          <w:sz w:val="24"/>
        </w:rPr>
      </w:pPr>
      <w:r>
        <w:rPr>
          <w:rFonts w:hint="eastAsia" w:ascii="宋体" w:hAnsi="宋体" w:eastAsia="宋体" w:cs="宋体"/>
          <w:color w:val="000000"/>
          <w:sz w:val="24"/>
        </w:rPr>
        <w:t>统计软件与工具 ：拥有或熟练使用专业的民用建筑能耗统计软件，具备数据统计、分析、自动生成报表等功能，提高工作效率和准确性。提供软件的功能演示或相关案例证明其适用性和有效性。</w:t>
      </w:r>
    </w:p>
    <w:p w14:paraId="07DD5B0B">
      <w:pPr>
        <w:spacing w:line="360" w:lineRule="auto"/>
        <w:ind w:firstLine="480" w:firstLineChars="200"/>
        <w:jc w:val="both"/>
        <w:rPr>
          <w:rFonts w:hint="eastAsia" w:ascii="宋体" w:hAnsi="宋体" w:eastAsia="宋体" w:cs="宋体"/>
          <w:color w:val="000000"/>
          <w:sz w:val="24"/>
        </w:rPr>
      </w:pPr>
      <w:r>
        <w:rPr>
          <w:rFonts w:hint="eastAsia" w:ascii="宋体" w:hAnsi="宋体" w:eastAsia="宋体" w:cs="宋体"/>
          <w:color w:val="000000"/>
          <w:sz w:val="24"/>
        </w:rPr>
        <w:t>分析模型与方法 ：具备完善的建筑能耗分析模型和方法，能够对不同类型建筑的能耗数据进行深入分析，识别能耗规律和问题，为节能措施提供科学依据。例如，采用回归分析、能效对标等方法，对建筑能耗强度、能耗构成等进行分析评估。</w:t>
      </w:r>
    </w:p>
    <w:p w14:paraId="51FA7249">
      <w:pPr>
        <w:spacing w:line="360" w:lineRule="auto"/>
        <w:ind w:firstLine="0"/>
        <w:jc w:val="both"/>
        <w:rPr>
          <w:rFonts w:hint="eastAsia" w:ascii="宋体" w:hAnsi="宋体" w:eastAsia="宋体" w:cs="宋体"/>
          <w:color w:val="000000"/>
          <w:sz w:val="24"/>
        </w:rPr>
      </w:pPr>
      <w:r>
        <w:rPr>
          <w:rFonts w:hint="eastAsia" w:ascii="宋体" w:hAnsi="宋体" w:eastAsia="宋体" w:cs="宋体"/>
          <w:color w:val="000000"/>
          <w:sz w:val="24"/>
        </w:rPr>
        <w:t>2.保障措施</w:t>
      </w:r>
    </w:p>
    <w:p w14:paraId="0FFF4AB1">
      <w:pPr>
        <w:spacing w:line="360" w:lineRule="auto"/>
        <w:ind w:firstLine="480"/>
        <w:jc w:val="both"/>
        <w:rPr>
          <w:rFonts w:hint="eastAsia" w:ascii="宋体" w:hAnsi="宋体" w:eastAsia="宋体" w:cs="宋体"/>
          <w:color w:val="000000"/>
          <w:sz w:val="24"/>
        </w:rPr>
      </w:pPr>
      <w:r>
        <w:rPr>
          <w:rFonts w:hint="eastAsia" w:ascii="宋体" w:hAnsi="宋体" w:eastAsia="宋体" w:cs="宋体"/>
          <w:color w:val="000000"/>
          <w:sz w:val="24"/>
        </w:rPr>
        <w:t xml:space="preserve"> 详细的工作计划 ：提交包括各阶段工作内容、时间节点、责任人等在内的详细工作计划，确保项目按期、保质完成。计划应涵盖统计方案制定、数据采集与整理、数据分析与报告撰写等全过程，具有合理性和可操作性。</w:t>
      </w:r>
    </w:p>
    <w:p w14:paraId="4FE1188E">
      <w:pPr>
        <w:spacing w:line="360" w:lineRule="auto"/>
        <w:ind w:firstLine="480"/>
        <w:jc w:val="both"/>
        <w:rPr>
          <w:rFonts w:hint="eastAsia" w:ascii="宋体" w:hAnsi="宋体" w:eastAsia="宋体" w:cs="宋体"/>
          <w:color w:val="000000"/>
          <w:sz w:val="24"/>
        </w:rPr>
      </w:pPr>
      <w:r>
        <w:rPr>
          <w:rFonts w:hint="eastAsia" w:ascii="宋体" w:hAnsi="宋体" w:eastAsia="宋体" w:cs="宋体"/>
          <w:color w:val="000000"/>
          <w:sz w:val="24"/>
        </w:rPr>
        <w:t xml:space="preserve"> 质量保障措施 ：建立严格的质量控制体系，明确各环节的质量标准和检验方法，对统计工作进行全过程质量监控。制定数据审核机制，包括内部审核、专家复核等，确保统计数据的真实性和准确性。</w:t>
      </w:r>
    </w:p>
    <w:p w14:paraId="0977D888">
      <w:pPr>
        <w:spacing w:line="360" w:lineRule="auto"/>
        <w:ind w:firstLine="480"/>
        <w:jc w:val="both"/>
        <w:rPr>
          <w:rFonts w:hint="eastAsia" w:ascii="宋体" w:hAnsi="宋体" w:eastAsia="宋体" w:cs="宋体"/>
          <w:color w:val="000000"/>
          <w:sz w:val="24"/>
        </w:rPr>
      </w:pPr>
      <w:r>
        <w:rPr>
          <w:rFonts w:hint="eastAsia" w:ascii="宋体" w:hAnsi="宋体" w:eastAsia="宋体" w:cs="宋体"/>
          <w:color w:val="000000"/>
          <w:sz w:val="24"/>
        </w:rPr>
        <w:t xml:space="preserve"> 应急处理预案 ：具有应对突发情况的应急预案，如数据采集异常、人员变动等，能够及时采取措施，确保项目不受影响，保障工作的连续性和稳定性。</w:t>
      </w:r>
    </w:p>
    <w:p w14:paraId="55BA7DD2">
      <w:pPr>
        <w:numPr>
          <w:ilvl w:val="0"/>
          <w:numId w:val="1"/>
        </w:numPr>
        <w:spacing w:line="240" w:lineRule="auto"/>
        <w:ind w:firstLine="0"/>
        <w:jc w:val="both"/>
        <w:rPr>
          <w:rFonts w:hint="eastAsia" w:ascii="宋体" w:hAnsi="宋体" w:eastAsia="宋体" w:cs="宋体"/>
          <w:color w:val="000000"/>
          <w:sz w:val="24"/>
        </w:rPr>
      </w:pPr>
      <w:r>
        <w:rPr>
          <w:rFonts w:hint="eastAsia" w:ascii="宋体" w:hAnsi="宋体" w:eastAsia="宋体" w:cs="宋体"/>
          <w:color w:val="000000"/>
          <w:sz w:val="24"/>
        </w:rPr>
        <w:t xml:space="preserve">人员稳定性 </w:t>
      </w:r>
    </w:p>
    <w:p w14:paraId="6E79C5C4">
      <w:pPr>
        <w:spacing w:line="360" w:lineRule="auto"/>
        <w:ind w:firstLine="480"/>
        <w:jc w:val="both"/>
        <w:rPr>
          <w:rFonts w:hint="eastAsia" w:ascii="宋体" w:hAnsi="宋体" w:eastAsia="宋体" w:cs="宋体"/>
          <w:color w:val="000000"/>
          <w:sz w:val="24"/>
        </w:rPr>
      </w:pPr>
      <w:r>
        <w:rPr>
          <w:rFonts w:hint="eastAsia" w:ascii="宋体" w:hAnsi="宋体" w:eastAsia="宋体" w:cs="宋体"/>
          <w:color w:val="000000"/>
          <w:sz w:val="24"/>
        </w:rPr>
        <w:t>提供项目团队成员名单，确保人员的稳定性和可靠性，避免项目执行过程中频繁更换人员影响工作连续性。同时，承诺在项目期内非不可抗力因素不得更换核心团队成员。</w:t>
      </w:r>
    </w:p>
    <w:p w14:paraId="50A4E04C">
      <w:pPr>
        <w:spacing w:line="360" w:lineRule="auto"/>
        <w:ind w:firstLine="0"/>
        <w:jc w:val="both"/>
        <w:rPr>
          <w:rFonts w:ascii="Times New Roman" w:hAnsi="Times New Roman" w:eastAsia="宋体" w:cs="Times New Roman"/>
          <w:sz w:val="21"/>
        </w:rPr>
      </w:pPr>
      <w:r>
        <w:rPr>
          <w:rFonts w:hint="eastAsia" w:ascii="宋体" w:hAnsi="宋体" w:eastAsia="宋体" w:cs="宋体"/>
          <w:color w:val="000000"/>
          <w:sz w:val="24"/>
        </w:rPr>
        <w:t>（六）提交成果要求</w:t>
      </w:r>
    </w:p>
    <w:p w14:paraId="603D9342">
      <w:pPr>
        <w:spacing w:line="360" w:lineRule="auto"/>
        <w:ind w:firstLine="480"/>
        <w:jc w:val="both"/>
        <w:rPr>
          <w:rFonts w:hint="eastAsia" w:ascii="宋体" w:hAnsi="宋体" w:eastAsia="宋体" w:cs="宋体"/>
          <w:color w:val="000000"/>
          <w:sz w:val="24"/>
        </w:rPr>
      </w:pPr>
      <w:r>
        <w:rPr>
          <w:rFonts w:hint="eastAsia" w:ascii="宋体" w:hAnsi="宋体" w:eastAsia="宋体" w:cs="宋体"/>
          <w:color w:val="000000"/>
          <w:sz w:val="24"/>
        </w:rPr>
        <w:t>严格按照住房城乡建设部民用建筑能耗和节能信息统计报表制度和民用建筑能源资源消耗统计调查实施方案的要求，对项目范围内机关办公建筑和大型公共建筑的基本信息、能耗信息进行调查统计，按时在“住房城乡建设部民用建筑能耗和节能信息统计报表系统”准确填报各类数据表格及老旧设备统计信息，按时在建筑节能与绿色建筑综合信息管理平台完成年度建筑节能、绿色建筑、装配式建筑及绿色建材工作进展数据的填报工作。</w:t>
      </w:r>
    </w:p>
    <w:p w14:paraId="544FB39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21240"/>
    <w:multiLevelType w:val="singleLevel"/>
    <w:tmpl w:val="6D121240"/>
    <w:lvl w:ilvl="0" w:tentative="0">
      <w:start w:val="3"/>
      <w:numFmt w:val="decimal"/>
      <w:lvlText w:val="%1."/>
      <w:lvlJc w:val="left"/>
      <w:pPr>
        <w:tabs>
          <w:tab w:val="left" w:pos="312"/>
        </w:tabs>
        <w:ind w:left="1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M2Y5MGUwYTkzZGRhYTc4MWNiN2FjZGQzNWE1ODUifQ=="/>
  </w:docVars>
  <w:rsids>
    <w:rsidRoot w:val="3DC07FEE"/>
    <w:rsid w:val="000A7DE0"/>
    <w:rsid w:val="00236F41"/>
    <w:rsid w:val="00261582"/>
    <w:rsid w:val="006D1D0B"/>
    <w:rsid w:val="0077193C"/>
    <w:rsid w:val="007D52B5"/>
    <w:rsid w:val="00825425"/>
    <w:rsid w:val="00A13899"/>
    <w:rsid w:val="00A45662"/>
    <w:rsid w:val="00CD7A87"/>
    <w:rsid w:val="00E728F4"/>
    <w:rsid w:val="00EB16F0"/>
    <w:rsid w:val="00F42154"/>
    <w:rsid w:val="00F525D9"/>
    <w:rsid w:val="14C74BE3"/>
    <w:rsid w:val="28D849EB"/>
    <w:rsid w:val="38915FD0"/>
    <w:rsid w:val="3DC07FEE"/>
    <w:rsid w:val="4B871CDB"/>
    <w:rsid w:val="70D1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36" w:lineRule="auto"/>
      <w:ind w:firstLine="480"/>
    </w:pPr>
    <w:rPr>
      <w:rFonts w:ascii="仿宋" w:hAnsi="仿宋" w:eastAsia="仿宋"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pPr>
  </w:style>
  <w:style w:type="paragraph" w:styleId="3">
    <w:name w:val="envelope return"/>
    <w:basedOn w:val="1"/>
    <w:qFormat/>
    <w:uiPriority w:val="0"/>
    <w:rPr>
      <w:rFonts w:ascii="Arial" w:hAnsi="Arial"/>
    </w:rPr>
  </w:style>
  <w:style w:type="paragraph" w:styleId="4">
    <w:name w:val="footer"/>
    <w:basedOn w:val="1"/>
    <w:link w:val="12"/>
    <w:qFormat/>
    <w:uiPriority w:val="0"/>
    <w:pPr>
      <w:tabs>
        <w:tab w:val="center" w:pos="4153"/>
        <w:tab w:val="right" w:pos="8306"/>
      </w:tabs>
      <w:snapToGrid w:val="0"/>
      <w:spacing w:line="240" w:lineRule="auto"/>
    </w:pPr>
    <w:rPr>
      <w:sz w:val="18"/>
      <w:szCs w:val="18"/>
    </w:rPr>
  </w:style>
  <w:style w:type="paragraph" w:styleId="5">
    <w:name w:val="header"/>
    <w:basedOn w:val="1"/>
    <w:link w:val="11"/>
    <w:qFormat/>
    <w:uiPriority w:val="0"/>
    <w:pPr>
      <w:tabs>
        <w:tab w:val="center" w:pos="4153"/>
        <w:tab w:val="right" w:pos="8306"/>
      </w:tabs>
      <w:snapToGrid w:val="0"/>
      <w:spacing w:line="240" w:lineRule="auto"/>
      <w:jc w:val="center"/>
    </w:pPr>
    <w:rPr>
      <w:sz w:val="18"/>
      <w:szCs w:val="18"/>
    </w:rPr>
  </w:style>
  <w:style w:type="character" w:styleId="8">
    <w:name w:val="Strong"/>
    <w:basedOn w:val="7"/>
    <w:qFormat/>
    <w:uiPriority w:val="22"/>
    <w:rPr>
      <w:b/>
      <w:bCs/>
    </w:rPr>
  </w:style>
  <w:style w:type="paragraph" w:customStyle="1" w:styleId="9">
    <w:name w:val="列出段落1"/>
    <w:basedOn w:val="10"/>
    <w:autoRedefine/>
    <w:qFormat/>
    <w:uiPriority w:val="0"/>
    <w:pPr>
      <w:ind w:firstLine="420"/>
    </w:pPr>
  </w:style>
  <w:style w:type="paragraph" w:customStyle="1" w:styleId="10">
    <w:name w:val="正文1"/>
    <w:autoRedefine/>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11">
    <w:name w:val="页眉 字符"/>
    <w:basedOn w:val="7"/>
    <w:link w:val="5"/>
    <w:qFormat/>
    <w:uiPriority w:val="0"/>
    <w:rPr>
      <w:rFonts w:ascii="仿宋" w:hAnsi="仿宋" w:eastAsia="仿宋" w:cs="Times New Roman"/>
      <w:sz w:val="18"/>
      <w:szCs w:val="18"/>
    </w:rPr>
  </w:style>
  <w:style w:type="character" w:customStyle="1" w:styleId="12">
    <w:name w:val="页脚 字符"/>
    <w:basedOn w:val="7"/>
    <w:link w:val="4"/>
    <w:uiPriority w:val="0"/>
    <w:rPr>
      <w:rFonts w:ascii="仿宋" w:hAnsi="仿宋" w:eastAsia="仿宋"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1797</Words>
  <Characters>1850</Characters>
  <Lines>12</Lines>
  <Paragraphs>3</Paragraphs>
  <TotalTime>0</TotalTime>
  <ScaleCrop>false</ScaleCrop>
  <LinksUpToDate>false</LinksUpToDate>
  <CharactersWithSpaces>1853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2024-04-01T01:59:00Z</dcterms:created>
  <dc:creator>庄主</dc:creator>
  <cp:lastModifiedBy>Corner.</cp:lastModifiedBy>
  <dcterms:modified xsi:type="dcterms:W3CDTF">2025-06-18T01:37:00Z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283CE4A6056C4CA69CD84F7C957C0911_11</vt:lpwstr>
  </property>
  <property fmtid="{D5CDD505-2E9C-101B-9397-08002B2CF9AE}" pid="4" name="KSOTemplateDocerSaveRecord">
    <vt:lpwstr>eyJoZGlkIjoiMmRjM2Y5MGUwYTkzZGRhYTc4MWNiN2FjZGQzNWE1ODUiLCJ1c2VySWQiOiIzNTcyOTcxOTMifQ==</vt:lpwstr>
  </property>
</Properties>
</file>