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rPr>
      </w:pPr>
      <w:r>
        <w:rPr>
          <w:rFonts w:hint="eastAsia"/>
        </w:rPr>
        <w:t>如有建议或意见，请以书面形式并加盖公章、注明联系人、联系方式，于2025年</w:t>
      </w:r>
      <w:r>
        <w:rPr>
          <w:rFonts w:hint="eastAsia"/>
          <w:lang w:val="en-US" w:eastAsia="zh-CN"/>
        </w:rPr>
        <w:t>6</w:t>
      </w:r>
      <w:r>
        <w:rPr>
          <w:rFonts w:hint="eastAsia"/>
        </w:rPr>
        <w:t>月</w:t>
      </w:r>
      <w:r>
        <w:rPr>
          <w:rFonts w:hint="eastAsia"/>
          <w:lang w:val="en-US" w:eastAsia="zh-CN"/>
        </w:rPr>
        <w:t>11</w:t>
      </w:r>
      <w:r>
        <w:rPr>
          <w:rFonts w:hint="eastAsia"/>
        </w:rPr>
        <w:t>日17:00之前送至我单位，逾期不受理（如邮寄，2025年</w:t>
      </w:r>
      <w:r>
        <w:rPr>
          <w:rFonts w:hint="eastAsia"/>
          <w:lang w:val="en-US" w:eastAsia="zh-CN"/>
        </w:rPr>
        <w:t>6</w:t>
      </w:r>
      <w:r>
        <w:rPr>
          <w:rFonts w:hint="eastAsia"/>
        </w:rPr>
        <w:t>月</w:t>
      </w:r>
      <w:r>
        <w:rPr>
          <w:rFonts w:hint="eastAsia"/>
          <w:lang w:val="en-US" w:eastAsia="zh-CN"/>
        </w:rPr>
        <w:t>11</w:t>
      </w:r>
      <w:r>
        <w:rPr>
          <w:rFonts w:hint="eastAsia"/>
        </w:rPr>
        <w:t>日17:00之后到达本公司</w:t>
      </w:r>
    </w:p>
    <w:p>
      <w:pPr>
        <w:widowControl/>
        <w:jc w:val="both"/>
        <w:rPr>
          <w:rFonts w:hint="eastAsia"/>
        </w:rPr>
      </w:pPr>
      <w:r>
        <w:rPr>
          <w:rFonts w:hint="eastAsia"/>
        </w:rPr>
        <w:t>的邮件将不再受理）。</w:t>
      </w:r>
    </w:p>
    <w:p>
      <w:pPr>
        <w:rPr>
          <w:rFonts w:hint="eastAsia"/>
        </w:rPr>
      </w:pPr>
      <w:r>
        <w:rPr>
          <w:rFonts w:hint="eastAsia"/>
        </w:rPr>
        <w:br w:type="page"/>
      </w:r>
    </w:p>
    <w:p>
      <w:pPr>
        <w:widowControl/>
        <w:spacing w:line="360" w:lineRule="auto"/>
        <w:jc w:val="center"/>
        <w:rPr>
          <w:rFonts w:hint="default" w:ascii="宋体" w:hAnsi="宋体" w:eastAsia="宋体" w:cs="宋体"/>
          <w:b/>
          <w:bCs/>
          <w:kern w:val="0"/>
          <w:sz w:val="24"/>
          <w:highlight w:val="none"/>
        </w:rPr>
      </w:pPr>
      <w:r>
        <w:rPr>
          <w:rFonts w:hint="eastAsia" w:ascii="宋体" w:hAnsi="宋体" w:eastAsia="宋体" w:cs="宋体"/>
          <w:b/>
          <w:kern w:val="0"/>
          <w:sz w:val="36"/>
          <w:szCs w:val="22"/>
          <w:highlight w:val="none"/>
        </w:rPr>
        <w:t>项</w:t>
      </w:r>
      <w:r>
        <w:rPr>
          <w:rFonts w:hint="eastAsia" w:ascii="宋体" w:hAnsi="宋体" w:eastAsia="宋体" w:cs="宋体"/>
          <w:b/>
          <w:kern w:val="0"/>
          <w:sz w:val="36"/>
          <w:highlight w:val="none"/>
        </w:rPr>
        <w:t>目要求（采购需求）</w:t>
      </w:r>
    </w:p>
    <w:p>
      <w:pPr>
        <w:spacing w:beforeLines="0" w:afterLines="0" w:line="360" w:lineRule="auto"/>
        <w:ind w:firstLine="420"/>
        <w:rPr>
          <w:rFonts w:hint="default" w:ascii="宋体" w:hAnsi="宋体"/>
          <w:b/>
          <w:color w:val="auto"/>
          <w:sz w:val="24"/>
        </w:rPr>
      </w:pPr>
      <w:r>
        <w:rPr>
          <w:rFonts w:hint="eastAsia" w:ascii="宋体" w:hAnsi="宋体" w:eastAsia="宋体" w:cs="宋体"/>
          <w:b/>
          <w:bCs/>
          <w:kern w:val="0"/>
          <w:sz w:val="24"/>
          <w:szCs w:val="24"/>
        </w:rPr>
        <w:t>一、</w:t>
      </w:r>
      <w:r>
        <w:rPr>
          <w:rFonts w:hint="default" w:ascii="宋体" w:hAnsi="宋体"/>
          <w:b/>
          <w:color w:val="auto"/>
          <w:sz w:val="24"/>
        </w:rPr>
        <w:t>项目概况：</w:t>
      </w:r>
    </w:p>
    <w:p>
      <w:pPr>
        <w:spacing w:line="360" w:lineRule="auto"/>
        <w:ind w:firstLine="420"/>
        <w:rPr>
          <w:rFonts w:hint="default" w:ascii="宋体" w:hAnsi="宋体"/>
          <w:sz w:val="24"/>
        </w:rPr>
      </w:pPr>
      <w:r>
        <w:rPr>
          <w:rFonts w:hint="default" w:ascii="宋体" w:hAnsi="宋体"/>
          <w:sz w:val="24"/>
        </w:rPr>
        <w:t>1.项目名称：丰县城市更新体检评估、城市更新行动计划及城市更新专项规划编制项目</w:t>
      </w:r>
    </w:p>
    <w:p>
      <w:pPr>
        <w:spacing w:line="360" w:lineRule="auto"/>
        <w:ind w:firstLine="420"/>
        <w:rPr>
          <w:rFonts w:hint="default" w:ascii="宋体" w:hAnsi="宋体"/>
          <w:sz w:val="24"/>
        </w:rPr>
      </w:pPr>
      <w:r>
        <w:rPr>
          <w:rFonts w:hint="default" w:ascii="宋体" w:hAnsi="宋体"/>
          <w:sz w:val="24"/>
        </w:rPr>
        <w:t>2.项目预算:本项目不接受超过198万元人民币（采购项目预算金额）的报价。（最后报价超过预算金额的为无效报价，按照无效响应处理。报价包括但不限于税金、劳务费、服务、供应商的利润等供应商所认为的与本项目相关的全部费用。采购人不再支付报价以外的任何费用。）</w:t>
      </w:r>
    </w:p>
    <w:p>
      <w:pPr>
        <w:spacing w:line="360" w:lineRule="auto"/>
        <w:ind w:firstLine="420"/>
        <w:rPr>
          <w:rFonts w:hint="default" w:ascii="宋体" w:hAnsi="宋体"/>
          <w:sz w:val="24"/>
        </w:rPr>
      </w:pPr>
      <w:r>
        <w:rPr>
          <w:rFonts w:hint="default" w:ascii="宋体" w:hAnsi="宋体"/>
          <w:sz w:val="24"/>
        </w:rPr>
        <w:t>3.质量标准：符合国家及省、市相关法律法规、政策文件和相关规划，并满足采购人要求。</w:t>
      </w:r>
    </w:p>
    <w:p>
      <w:pPr>
        <w:spacing w:line="360" w:lineRule="auto"/>
        <w:ind w:firstLine="420"/>
        <w:rPr>
          <w:rFonts w:hint="default" w:ascii="宋体" w:hAnsi="宋体"/>
          <w:sz w:val="24"/>
        </w:rPr>
      </w:pPr>
      <w:r>
        <w:rPr>
          <w:rFonts w:hint="default" w:ascii="宋体" w:hAnsi="宋体"/>
          <w:sz w:val="24"/>
        </w:rPr>
        <w:t>4.项目期限：自合同签订之日起一年</w:t>
      </w:r>
    </w:p>
    <w:p>
      <w:pPr>
        <w:spacing w:line="360" w:lineRule="auto"/>
        <w:ind w:firstLine="420"/>
        <w:rPr>
          <w:rFonts w:hint="default" w:ascii="宋体" w:hAnsi="宋体"/>
          <w:sz w:val="24"/>
        </w:rPr>
      </w:pPr>
      <w:r>
        <w:rPr>
          <w:rFonts w:hint="default" w:ascii="宋体" w:hAnsi="宋体"/>
          <w:sz w:val="24"/>
        </w:rPr>
        <w:t>5.项目范围：规划范围与国土空间规划相衔接，覆盖丰县现状中心城区范围，总面积91.13平方公里。</w:t>
      </w:r>
    </w:p>
    <w:p>
      <w:pPr>
        <w:spacing w:line="360" w:lineRule="auto"/>
        <w:ind w:firstLine="420"/>
        <w:rPr>
          <w:rFonts w:hint="default" w:ascii="宋体" w:hAnsi="宋体"/>
          <w:b/>
          <w:sz w:val="24"/>
        </w:rPr>
      </w:pPr>
      <w:r>
        <w:rPr>
          <w:rFonts w:hint="default" w:ascii="宋体" w:hAnsi="宋体"/>
          <w:b/>
          <w:sz w:val="24"/>
        </w:rPr>
        <w:t>二、项目背景:</w:t>
      </w:r>
    </w:p>
    <w:p>
      <w:pPr>
        <w:spacing w:line="360" w:lineRule="auto"/>
        <w:ind w:firstLine="420"/>
        <w:rPr>
          <w:rFonts w:hint="default" w:ascii="宋体" w:hAnsi="宋体"/>
          <w:sz w:val="24"/>
        </w:rPr>
      </w:pPr>
      <w:r>
        <w:rPr>
          <w:rFonts w:hint="default" w:ascii="宋体" w:hAnsi="宋体"/>
          <w:sz w:val="24"/>
        </w:rPr>
        <w:t>实施城市更新行动，是党中央在新时期作出的重大决策部署，对全面提升城市发展质量、不断满足人民群众日益增长的美好生活需要、促进经济社会持续健康发展，具有重要而深远的意义，也是贯彻落实国家实施城市更新战略决策的需要。</w:t>
      </w:r>
    </w:p>
    <w:p>
      <w:pPr>
        <w:spacing w:line="360" w:lineRule="auto"/>
        <w:ind w:firstLine="420"/>
        <w:rPr>
          <w:rFonts w:hint="default" w:ascii="宋体" w:hAnsi="宋体"/>
          <w:b/>
          <w:sz w:val="24"/>
        </w:rPr>
      </w:pPr>
      <w:r>
        <w:rPr>
          <w:rFonts w:hint="default" w:ascii="宋体" w:hAnsi="宋体"/>
          <w:b/>
          <w:sz w:val="24"/>
        </w:rPr>
        <w:t>三、项目实施依据</w:t>
      </w:r>
    </w:p>
    <w:p>
      <w:pPr>
        <w:widowControl/>
        <w:spacing w:line="360" w:lineRule="auto"/>
        <w:ind w:firstLine="480" w:firstLineChars="200"/>
        <w:rPr>
          <w:rFonts w:hint="default" w:ascii="宋体" w:hAnsi="宋体"/>
          <w:sz w:val="24"/>
        </w:rPr>
      </w:pPr>
      <w:r>
        <w:rPr>
          <w:rFonts w:hint="default" w:ascii="宋体" w:hAnsi="宋体"/>
          <w:sz w:val="24"/>
        </w:rPr>
        <w:t>《关于实施城市更新行动的指导意见》、《徐州市城市更新管理办法》、苏发改投资发〔2025〕120号省发展改革委 省住房城乡建设厅关于转发《城市基础设施更新改造重点领域实施方案编制要求》的通知、丰政办传〔2024〕9号县政府办公室关于印发《丰县国土空间专项规划审批办法》的通知。供应商提交的成果须能达到以上文件的规定和标准。</w:t>
      </w:r>
    </w:p>
    <w:p>
      <w:pPr>
        <w:widowControl/>
        <w:spacing w:line="360" w:lineRule="auto"/>
        <w:ind w:firstLine="482" w:firstLineChars="200"/>
        <w:rPr>
          <w:rFonts w:hint="default" w:ascii="宋体" w:hAnsi="宋体"/>
          <w:b/>
          <w:sz w:val="24"/>
        </w:rPr>
      </w:pPr>
      <w:r>
        <w:rPr>
          <w:rFonts w:hint="default" w:ascii="宋体" w:hAnsi="宋体"/>
          <w:b/>
          <w:sz w:val="24"/>
        </w:rPr>
        <w:t>四、项目具体内容:</w:t>
      </w:r>
    </w:p>
    <w:p>
      <w:pPr>
        <w:spacing w:line="360" w:lineRule="auto"/>
        <w:ind w:firstLine="480"/>
        <w:rPr>
          <w:rFonts w:hint="default" w:ascii="宋体" w:hAnsi="宋体"/>
          <w:b/>
          <w:sz w:val="24"/>
        </w:rPr>
      </w:pPr>
      <w:r>
        <w:rPr>
          <w:rFonts w:hint="default" w:ascii="宋体" w:hAnsi="宋体"/>
          <w:b/>
          <w:sz w:val="24"/>
        </w:rPr>
        <w:t>（一）城市更新体检编制内容要求</w:t>
      </w:r>
    </w:p>
    <w:p>
      <w:pPr>
        <w:spacing w:line="360" w:lineRule="auto"/>
        <w:ind w:firstLine="480"/>
        <w:rPr>
          <w:rFonts w:hint="default" w:ascii="宋体" w:hAnsi="宋体"/>
          <w:sz w:val="24"/>
        </w:rPr>
      </w:pPr>
      <w:r>
        <w:rPr>
          <w:rFonts w:hint="default" w:ascii="宋体" w:hAnsi="宋体"/>
          <w:sz w:val="24"/>
        </w:rPr>
        <w:t>完成构建城市体检指标体系、开展体检诊断分析、进行问卷调查和公众参与和提出治理对策等内容，基于目标、问题、结果三个导向，结合数据采集的可操作性，针对群众反映强烈的公共服务缺失、交通拥堵、城市安全等城市病，建立发现问题、整改问题、巩固提升的联动工作机制，提出相应的治理对策和建议。按照住房和城乡建设部的总体要求，做到定期体检、跟踪问效、动态监测，有助于实现城市高质量发展的动态分析研究，进一步提升城市治理水平。</w:t>
      </w:r>
    </w:p>
    <w:p>
      <w:pPr>
        <w:spacing w:line="360" w:lineRule="auto"/>
        <w:ind w:firstLine="480"/>
        <w:rPr>
          <w:rFonts w:hint="default" w:ascii="宋体" w:hAnsi="宋体"/>
          <w:sz w:val="24"/>
        </w:rPr>
      </w:pPr>
      <w:r>
        <w:rPr>
          <w:rFonts w:hint="default" w:ascii="宋体" w:hAnsi="宋体"/>
          <w:sz w:val="24"/>
        </w:rPr>
        <w:t>（1）构建具有丰县特色的更新体检指标体系</w:t>
      </w:r>
    </w:p>
    <w:p>
      <w:pPr>
        <w:spacing w:line="360" w:lineRule="auto"/>
        <w:ind w:firstLine="480"/>
        <w:rPr>
          <w:rFonts w:hint="default" w:ascii="宋体" w:hAnsi="宋体"/>
          <w:sz w:val="24"/>
        </w:rPr>
      </w:pPr>
      <w:r>
        <w:rPr>
          <w:rFonts w:hint="default" w:ascii="宋体" w:hAnsi="宋体"/>
          <w:sz w:val="24"/>
        </w:rPr>
        <w:t>城市体检工作基础指标根据空间尺度划分为住房、小区（社区）、街区、城区（城市）四个层级。随着基础指标体系的不断完善，丰县城市体检有必要结合城区的自身特色、发展阶段和长远目标，因地制宜构建特色化的指标体系，使得体检内容更能契合本地需求，做到“好用”、“管用”。</w:t>
      </w:r>
    </w:p>
    <w:p>
      <w:pPr>
        <w:spacing w:line="360" w:lineRule="auto"/>
        <w:ind w:firstLine="480"/>
        <w:rPr>
          <w:rFonts w:hint="default" w:ascii="宋体" w:hAnsi="宋体"/>
          <w:sz w:val="24"/>
        </w:rPr>
      </w:pPr>
      <w:r>
        <w:rPr>
          <w:rFonts w:hint="default" w:ascii="宋体" w:hAnsi="宋体"/>
          <w:sz w:val="24"/>
        </w:rPr>
        <w:t>（2）开展分析论证及问题诊断</w:t>
      </w:r>
    </w:p>
    <w:p>
      <w:pPr>
        <w:spacing w:line="360" w:lineRule="auto"/>
        <w:ind w:firstLine="480"/>
        <w:rPr>
          <w:rFonts w:hint="default" w:ascii="宋体" w:hAnsi="宋体"/>
          <w:sz w:val="24"/>
        </w:rPr>
      </w:pPr>
      <w:r>
        <w:rPr>
          <w:rFonts w:hint="default" w:ascii="宋体" w:hAnsi="宋体"/>
          <w:sz w:val="24"/>
        </w:rPr>
        <w:t>以城市体检各项指标数据为基础，按照定性与定量、主观与客观的方法进行分析论证，采取问卷调查等方式，综合评价人居环境质量，找准城市建设发展存在的问题。在评价过程中，宜结合丰县自身条件，参照相关规范标准及先进城市指标水平，商议确定对标标尺。并通过指标间的联动分析，判断主次矛盾，找准“病因病灶”。</w:t>
      </w:r>
    </w:p>
    <w:p>
      <w:pPr>
        <w:spacing w:line="360" w:lineRule="auto"/>
        <w:ind w:firstLine="480"/>
        <w:rPr>
          <w:rFonts w:hint="default" w:ascii="宋体" w:hAnsi="宋体"/>
          <w:sz w:val="24"/>
        </w:rPr>
      </w:pPr>
      <w:r>
        <w:rPr>
          <w:rFonts w:hint="default" w:ascii="宋体" w:hAnsi="宋体"/>
          <w:sz w:val="24"/>
        </w:rPr>
        <w:t>（3）明确城市更新体检结论</w:t>
      </w:r>
    </w:p>
    <w:p>
      <w:pPr>
        <w:spacing w:line="360" w:lineRule="auto"/>
        <w:ind w:firstLine="480"/>
        <w:rPr>
          <w:rFonts w:hint="default" w:ascii="宋体" w:hAnsi="宋体"/>
          <w:sz w:val="24"/>
        </w:rPr>
      </w:pPr>
      <w:r>
        <w:rPr>
          <w:rFonts w:hint="default" w:ascii="宋体" w:hAnsi="宋体"/>
          <w:sz w:val="24"/>
        </w:rPr>
        <w:t>通过对评估结果的分析判断，按照治理难度、影响程度、影响范围，从易到难、从轻到重，形成城市更新体检结论，并为后续更新专项规划和行动计划提供支撑。</w:t>
      </w:r>
    </w:p>
    <w:p>
      <w:pPr>
        <w:spacing w:line="360" w:lineRule="auto"/>
        <w:ind w:firstLine="480"/>
        <w:rPr>
          <w:rFonts w:hint="default" w:ascii="宋体" w:hAnsi="宋体"/>
          <w:b/>
          <w:sz w:val="24"/>
        </w:rPr>
      </w:pPr>
      <w:r>
        <w:rPr>
          <w:rFonts w:hint="default" w:ascii="宋体" w:hAnsi="宋体"/>
          <w:b/>
          <w:sz w:val="24"/>
        </w:rPr>
        <w:t xml:space="preserve">（二）城市更新专项规划编制内容要求 </w:t>
      </w:r>
    </w:p>
    <w:p>
      <w:pPr>
        <w:spacing w:line="360" w:lineRule="auto"/>
        <w:ind w:firstLine="480"/>
        <w:rPr>
          <w:rFonts w:hint="default" w:ascii="宋体" w:hAnsi="宋体"/>
          <w:sz w:val="24"/>
        </w:rPr>
      </w:pPr>
      <w:r>
        <w:rPr>
          <w:rFonts w:hint="default" w:ascii="宋体" w:hAnsi="宋体"/>
          <w:sz w:val="24"/>
        </w:rPr>
        <w:t>系统开展摸清家底的工作，夯实丰县城区建设用地评估基础，明确丰县城区城市更新的策略指引，探索城市更新的可持续实施模式。</w:t>
      </w:r>
    </w:p>
    <w:p>
      <w:pPr>
        <w:spacing w:line="360" w:lineRule="auto"/>
        <w:ind w:firstLine="480"/>
        <w:rPr>
          <w:rFonts w:hint="default" w:ascii="宋体" w:hAnsi="宋体"/>
          <w:sz w:val="24"/>
        </w:rPr>
      </w:pPr>
      <w:r>
        <w:rPr>
          <w:rFonts w:hint="default" w:ascii="宋体" w:hAnsi="宋体"/>
          <w:sz w:val="24"/>
        </w:rPr>
        <w:t>1. 摸清资源家底</w:t>
      </w:r>
    </w:p>
    <w:p>
      <w:pPr>
        <w:spacing w:line="360" w:lineRule="auto"/>
        <w:ind w:firstLine="480" w:firstLineChars="200"/>
        <w:rPr>
          <w:rFonts w:hint="default" w:ascii="宋体" w:hAnsi="宋体"/>
          <w:sz w:val="24"/>
        </w:rPr>
      </w:pPr>
      <w:r>
        <w:rPr>
          <w:rFonts w:hint="default" w:ascii="宋体" w:hAnsi="宋体"/>
          <w:sz w:val="24"/>
        </w:rPr>
        <w:t>基于城市更新体检评估结论，结合丰县自身特点确定低效用地评判标准，梳理布局散乱、利用粗放、用途不合理的工业、居住、商业、配套等多类低效用地的规模及空间分布，作为未来城市更新的主要对象。对城市更新可用空间进行全面梳理，综合分析甄别现状更新用地的建设年代、开发强度、用地类型、规划条件等情况，进行更新空间潜力评估，确定未来重点更新改造用地的范围及规模。</w:t>
      </w:r>
    </w:p>
    <w:p>
      <w:pPr>
        <w:spacing w:line="360" w:lineRule="auto"/>
        <w:ind w:firstLine="480"/>
        <w:rPr>
          <w:rFonts w:hint="default" w:ascii="宋体" w:hAnsi="宋体"/>
          <w:sz w:val="24"/>
        </w:rPr>
      </w:pPr>
      <w:r>
        <w:rPr>
          <w:rFonts w:hint="default" w:ascii="宋体" w:hAnsi="宋体"/>
          <w:sz w:val="24"/>
        </w:rPr>
        <w:t>2. 明确更新目标与策略</w:t>
      </w:r>
    </w:p>
    <w:p>
      <w:pPr>
        <w:spacing w:line="360" w:lineRule="auto"/>
        <w:ind w:firstLine="480" w:firstLineChars="200"/>
        <w:rPr>
          <w:rFonts w:hint="default" w:ascii="宋体" w:hAnsi="宋体"/>
          <w:sz w:val="24"/>
        </w:rPr>
      </w:pPr>
      <w:r>
        <w:rPr>
          <w:rFonts w:hint="default" w:ascii="宋体" w:hAnsi="宋体"/>
          <w:sz w:val="24"/>
        </w:rPr>
        <w:t>结合全国城市更新试点城市的政策要求，国土空间规划对空间结构的规划引导，提出城市更新工作的总体思路、目标和原则，制定统筹指导城市更新工作的总体策略，细分差异化的城市更新策略。</w:t>
      </w:r>
    </w:p>
    <w:p>
      <w:pPr>
        <w:spacing w:line="360" w:lineRule="auto"/>
        <w:ind w:firstLine="480"/>
        <w:rPr>
          <w:rFonts w:hint="default" w:ascii="宋体" w:hAnsi="宋体"/>
          <w:sz w:val="24"/>
        </w:rPr>
      </w:pPr>
      <w:r>
        <w:rPr>
          <w:rFonts w:hint="default" w:ascii="宋体" w:hAnsi="宋体"/>
          <w:sz w:val="24"/>
        </w:rPr>
        <w:t>3. 更新片区划分与指引</w:t>
      </w:r>
    </w:p>
    <w:p>
      <w:pPr>
        <w:spacing w:line="360" w:lineRule="auto"/>
        <w:ind w:firstLine="480"/>
        <w:rPr>
          <w:rFonts w:hint="default" w:ascii="宋体" w:hAnsi="宋体"/>
          <w:sz w:val="24"/>
        </w:rPr>
      </w:pPr>
      <w:r>
        <w:rPr>
          <w:rFonts w:hint="default" w:ascii="宋体" w:hAnsi="宋体"/>
          <w:sz w:val="24"/>
        </w:rPr>
        <w:t>（1）片区划分</w:t>
      </w:r>
    </w:p>
    <w:p>
      <w:pPr>
        <w:spacing w:line="360" w:lineRule="auto"/>
        <w:ind w:firstLine="480" w:firstLineChars="200"/>
        <w:rPr>
          <w:rFonts w:hint="default" w:ascii="宋体" w:hAnsi="宋体"/>
          <w:sz w:val="24"/>
        </w:rPr>
      </w:pPr>
      <w:r>
        <w:rPr>
          <w:rFonts w:hint="default" w:ascii="宋体" w:hAnsi="宋体"/>
          <w:sz w:val="24"/>
        </w:rPr>
        <w:t>城市更新片区是为实施成片更新活动而划定的工作边界，是协调多方权益、落实更新目标和责任的基本单元，是推动更新项目有序开展的基本管控单位。以产权主体、事权主体、操作主体、投资主体、公众等多方共同参与的工作机制，以充分衔接行政管理单元、控规管理单元的工作原则，形成具有高度可操作性的更新单元划定方案。结合丰县更新资源的实际特点，对城市更新单元进行主导属性的归类，明确单元更新方向。</w:t>
      </w:r>
    </w:p>
    <w:p>
      <w:pPr>
        <w:spacing w:line="360" w:lineRule="auto"/>
        <w:ind w:firstLine="480"/>
        <w:rPr>
          <w:rFonts w:hint="default" w:ascii="宋体" w:hAnsi="宋体"/>
          <w:sz w:val="24"/>
        </w:rPr>
      </w:pPr>
      <w:r>
        <w:rPr>
          <w:rFonts w:hint="default" w:ascii="宋体" w:hAnsi="宋体"/>
          <w:sz w:val="24"/>
        </w:rPr>
        <w:t>（2）片区指引</w:t>
      </w:r>
    </w:p>
    <w:p>
      <w:pPr>
        <w:spacing w:line="360" w:lineRule="auto"/>
        <w:ind w:firstLine="480"/>
        <w:rPr>
          <w:rFonts w:hint="default" w:ascii="宋体" w:hAnsi="宋体"/>
          <w:sz w:val="24"/>
        </w:rPr>
      </w:pPr>
      <w:r>
        <w:rPr>
          <w:rFonts w:hint="default" w:ascii="宋体" w:hAnsi="宋体"/>
          <w:sz w:val="24"/>
        </w:rPr>
        <w:t>结合国内外城市更新优秀经验，进一步从工作方式、规划内容、管理方式、实施路径等方面探索城市更新创新工作，在塑造更新特色亮点上寻求创意，凸显规划前瞻性、特色性、创新性。针对不同类型、不同区位的城市更新单元，提出政府收储、自主改造等改造模式建议与全面改造、微更新等改造方式建议。</w:t>
      </w:r>
    </w:p>
    <w:p>
      <w:pPr>
        <w:spacing w:line="360" w:lineRule="auto"/>
        <w:ind w:firstLine="480"/>
        <w:rPr>
          <w:rFonts w:hint="default" w:ascii="宋体" w:hAnsi="宋体"/>
          <w:sz w:val="24"/>
        </w:rPr>
      </w:pPr>
      <w:r>
        <w:rPr>
          <w:rFonts w:hint="default" w:ascii="宋体" w:hAnsi="宋体"/>
          <w:sz w:val="24"/>
        </w:rPr>
        <w:t>更新功能指引：落实国土空间规划以及相关规划要求，按照功能布局，提出片区的规划提升建议，提出相适应的迭代城市功能，激发城市更新单元再次焕发活力。</w:t>
      </w:r>
    </w:p>
    <w:p>
      <w:pPr>
        <w:spacing w:line="360" w:lineRule="auto"/>
        <w:ind w:firstLine="480"/>
        <w:rPr>
          <w:rFonts w:hint="default" w:ascii="宋体" w:hAnsi="宋体"/>
          <w:sz w:val="24"/>
        </w:rPr>
      </w:pPr>
      <w:r>
        <w:rPr>
          <w:rFonts w:hint="default" w:ascii="宋体" w:hAnsi="宋体"/>
          <w:sz w:val="24"/>
        </w:rPr>
        <w:t>重要公共服务设施统筹协调：结合更新片区改造总量以及开发强度等因素，对城市更新带来的公服需求增量进行评估，并通过基础设施的评估，校核改造规划，合理确定建设规模。</w:t>
      </w:r>
    </w:p>
    <w:p>
      <w:pPr>
        <w:spacing w:line="360" w:lineRule="auto"/>
        <w:ind w:firstLine="480"/>
        <w:rPr>
          <w:rFonts w:hint="default" w:ascii="宋体" w:hAnsi="宋体"/>
          <w:sz w:val="24"/>
        </w:rPr>
      </w:pPr>
      <w:r>
        <w:rPr>
          <w:rFonts w:hint="default" w:ascii="宋体" w:hAnsi="宋体"/>
          <w:sz w:val="24"/>
        </w:rPr>
        <w:t>加强地方文化保护传承：加大地方文化资源保护力度，保护具有较高文化价值、时代特色或地域特色的建筑、街区及其影响地段的传统格局和风貌，推进文化资源活化利用，让城市留下记忆，让人们记住乡愁。</w:t>
      </w:r>
    </w:p>
    <w:p>
      <w:pPr>
        <w:spacing w:line="360" w:lineRule="auto"/>
        <w:ind w:firstLine="480"/>
        <w:rPr>
          <w:rFonts w:hint="default" w:ascii="宋体" w:hAnsi="宋体"/>
          <w:sz w:val="24"/>
        </w:rPr>
      </w:pPr>
      <w:r>
        <w:rPr>
          <w:rFonts w:hint="default" w:ascii="宋体" w:hAnsi="宋体"/>
          <w:sz w:val="24"/>
        </w:rPr>
        <w:t>风貌提升指引：结合片区的现状基础、特色定位，提出风貌整治提升策略，从城市天际线优化、景观体系完善、建筑风貌提升、开敞空间组织等方面，提升更新单元城市风貌。</w:t>
      </w:r>
    </w:p>
    <w:p>
      <w:pPr>
        <w:spacing w:line="360" w:lineRule="auto"/>
        <w:ind w:firstLine="480"/>
        <w:rPr>
          <w:rFonts w:hint="default" w:ascii="宋体" w:hAnsi="宋体"/>
          <w:sz w:val="24"/>
        </w:rPr>
      </w:pPr>
      <w:r>
        <w:rPr>
          <w:rFonts w:hint="default" w:ascii="宋体" w:hAnsi="宋体"/>
          <w:sz w:val="24"/>
        </w:rPr>
        <w:t>（3）典型场景构建</w:t>
      </w:r>
    </w:p>
    <w:p>
      <w:pPr>
        <w:spacing w:line="360" w:lineRule="auto"/>
        <w:ind w:firstLine="480"/>
        <w:rPr>
          <w:rFonts w:hint="default" w:ascii="宋体" w:hAnsi="宋体"/>
          <w:sz w:val="24"/>
        </w:rPr>
      </w:pPr>
      <w:r>
        <w:rPr>
          <w:rFonts w:hint="default" w:ascii="宋体" w:hAnsi="宋体"/>
          <w:sz w:val="24"/>
        </w:rPr>
        <w:t>根据更新片区不同类型，提出未来丰县城市生活场景、生产场景和休闲场景的构建方向，提出不同的改造强度及总量控制、功能复合与功能策划、城市风貌和空间特色。</w:t>
      </w:r>
    </w:p>
    <w:p>
      <w:pPr>
        <w:spacing w:line="360" w:lineRule="auto"/>
        <w:ind w:firstLine="480"/>
        <w:rPr>
          <w:rFonts w:hint="default" w:ascii="宋体" w:hAnsi="宋体"/>
          <w:sz w:val="24"/>
        </w:rPr>
      </w:pPr>
      <w:r>
        <w:rPr>
          <w:rFonts w:hint="default" w:ascii="宋体" w:hAnsi="宋体"/>
          <w:sz w:val="24"/>
        </w:rPr>
        <w:t>打造完整社区生活场景：以完整社区为目标，对老旧小区提出“人本化、生态化、数字化“的改造理念，通过拆迁重建和保留提升结合的方式，因地制宜地融入更多未来教育、健康、邻里、治理等场景，重点解决配套设施不足、缺乏长效管理等问题，坚持功能完善和服务提升。</w:t>
      </w:r>
    </w:p>
    <w:p>
      <w:pPr>
        <w:spacing w:line="360" w:lineRule="auto"/>
        <w:ind w:firstLine="480"/>
        <w:rPr>
          <w:rFonts w:hint="default" w:ascii="宋体" w:hAnsi="宋体"/>
          <w:sz w:val="24"/>
        </w:rPr>
      </w:pPr>
      <w:r>
        <w:rPr>
          <w:rFonts w:hint="default" w:ascii="宋体" w:hAnsi="宋体"/>
          <w:sz w:val="24"/>
        </w:rPr>
        <w:t>打造转型示范的产业社区：以中心城区内规划产业片区和即将发生腾退转换的现状产业片区为目标，对现状工业用地评估后，保留与城市相容的工业、保护工业遗存、厂房转型培育发展新型产业、土地转性发展商务和住宅。空间上实现现状低端产业向规划高端产业的转变、提高空间集约利用，实现功能复合，打造多元化、科创化的产业社区。</w:t>
      </w:r>
    </w:p>
    <w:p>
      <w:pPr>
        <w:spacing w:line="360" w:lineRule="auto"/>
        <w:ind w:firstLine="480"/>
        <w:rPr>
          <w:rFonts w:hint="default" w:ascii="宋体" w:hAnsi="宋体"/>
          <w:sz w:val="24"/>
        </w:rPr>
      </w:pPr>
      <w:r>
        <w:rPr>
          <w:rFonts w:hint="default" w:ascii="宋体" w:hAnsi="宋体"/>
          <w:sz w:val="24"/>
        </w:rPr>
        <w:t>倡导滨水特色、文化融合的新商业：在信息技术和体验消费的驱动下，未来商业休闲场景跨界是不可阻挡的趋势，日常消费向文旅休闲转化，消费场景成为主要的社交途径。打破传统商业空间模式，引入业态混合、具有滨水特色、文旅商复合的商业模式，引领未来商业休闲新潮流。</w:t>
      </w:r>
    </w:p>
    <w:p>
      <w:pPr>
        <w:spacing w:line="360" w:lineRule="auto"/>
        <w:ind w:firstLine="480"/>
        <w:rPr>
          <w:rFonts w:hint="default" w:ascii="宋体" w:hAnsi="宋体"/>
          <w:sz w:val="24"/>
        </w:rPr>
      </w:pPr>
      <w:r>
        <w:rPr>
          <w:rFonts w:hint="default" w:ascii="宋体" w:hAnsi="宋体"/>
          <w:sz w:val="24"/>
        </w:rPr>
        <w:t>结合城市更新片区划定情况，选取具有代表性的城市更新片区，编制片区策划方案。综合考虑社会效益、经济效益和生态环境效益，明确片区发展定位、基础设施、公共服务设施和其他用地的功能、产业方向等内容。</w:t>
      </w:r>
    </w:p>
    <w:p>
      <w:pPr>
        <w:numPr>
          <w:ilvl w:val="0"/>
          <w:numId w:val="1"/>
        </w:numPr>
        <w:spacing w:line="360" w:lineRule="auto"/>
        <w:ind w:firstLine="480"/>
        <w:rPr>
          <w:rFonts w:hint="default" w:ascii="宋体" w:hAnsi="宋体"/>
          <w:b/>
          <w:sz w:val="24"/>
        </w:rPr>
      </w:pPr>
      <w:r>
        <w:rPr>
          <w:rFonts w:hint="default" w:ascii="宋体" w:hAnsi="宋体"/>
          <w:b/>
          <w:sz w:val="24"/>
        </w:rPr>
        <w:t>城市更新行动计划要求</w:t>
      </w:r>
    </w:p>
    <w:p>
      <w:pPr>
        <w:spacing w:line="360" w:lineRule="auto"/>
        <w:ind w:firstLine="480"/>
        <w:rPr>
          <w:rFonts w:hint="default" w:ascii="宋体" w:hAnsi="宋体"/>
          <w:sz w:val="24"/>
        </w:rPr>
      </w:pPr>
      <w:r>
        <w:rPr>
          <w:rFonts w:hint="default" w:ascii="宋体" w:hAnsi="宋体"/>
          <w:sz w:val="24"/>
        </w:rPr>
        <w:t>立足城市发展目标和城市更新体检评估重点问题，制定城市更新行动计划及实施方案，明确城市更新目标任务、项目清单和时序安排等，按照更新单元改造条件、改造潜力、改造意愿等条件，研究确定近期、中期、远期的改造时序安排。对更新项目实施的空间对象、内容要点、责任主体等提出建议。</w:t>
      </w:r>
    </w:p>
    <w:p>
      <w:pPr>
        <w:spacing w:line="360" w:lineRule="auto"/>
        <w:ind w:firstLine="480"/>
        <w:rPr>
          <w:rFonts w:hint="default" w:ascii="宋体" w:hAnsi="宋体"/>
          <w:sz w:val="24"/>
        </w:rPr>
      </w:pPr>
      <w:r>
        <w:rPr>
          <w:rFonts w:hint="default" w:ascii="宋体" w:hAnsi="宋体"/>
          <w:sz w:val="24"/>
        </w:rPr>
        <w:t>针对城市更新行动运行中的“堵点”“难点”“痛点”，在技术管理、政策保障、模式路径等方面开展体制机制创新。理顺更新专项规划、城市更新行动、更新单元规划、更新项目方案的技术管理体系，明确各层级工作面切分。加强国内外更新案例研究，提出适配丰县治理的规划、土地、财政和项目操作流程等方面政策建议。</w:t>
      </w:r>
    </w:p>
    <w:p>
      <w:pPr>
        <w:widowControl/>
        <w:numPr>
          <w:ilvl w:val="0"/>
          <w:numId w:val="2"/>
        </w:numPr>
        <w:tabs>
          <w:tab w:val="left" w:pos="180"/>
        </w:tabs>
        <w:spacing w:after="120" w:line="360" w:lineRule="auto"/>
        <w:ind w:firstLine="420"/>
        <w:rPr>
          <w:rFonts w:hint="default" w:ascii="宋体" w:hAnsi="宋体"/>
          <w:b/>
          <w:sz w:val="24"/>
        </w:rPr>
      </w:pPr>
      <w:r>
        <w:rPr>
          <w:rFonts w:hint="default" w:ascii="宋体" w:hAnsi="宋体"/>
          <w:b/>
          <w:sz w:val="24"/>
        </w:rPr>
        <w:t>成果要求：</w:t>
      </w:r>
    </w:p>
    <w:p>
      <w:pPr>
        <w:pStyle w:val="4"/>
        <w:ind w:firstLine="480"/>
        <w:rPr>
          <w:rFonts w:hint="default" w:ascii="宋体" w:hAnsi="宋体" w:eastAsia="宋体"/>
          <w:sz w:val="24"/>
        </w:rPr>
      </w:pPr>
      <w:r>
        <w:rPr>
          <w:rFonts w:hint="default" w:ascii="宋体" w:hAnsi="宋体" w:eastAsia="宋体"/>
          <w:sz w:val="24"/>
        </w:rPr>
        <w:t>编制《丰县城市更新体检评估报告》《丰县城市更新行动计划》《丰县城市更新专项规划》。项目成果包括文本和图件。提供纸质成果10份（须盖单位公章、项目负责人签字）。提供所有成果的电子文件两套（光盘），其中文本文件使用PDF格式，图纸文件使用jpg格式。</w:t>
      </w:r>
    </w:p>
    <w:p>
      <w:pPr>
        <w:spacing w:line="360" w:lineRule="auto"/>
        <w:ind w:firstLine="482" w:firstLineChars="200"/>
        <w:jc w:val="both"/>
      </w:pPr>
      <w:r>
        <w:rPr>
          <w:rFonts w:hint="default" w:ascii="宋体" w:hAnsi="宋体"/>
          <w:b/>
          <w:sz w:val="24"/>
        </w:rPr>
        <w:t>六、其他要求：</w:t>
      </w:r>
      <w:r>
        <w:rPr>
          <w:rFonts w:hint="default" w:ascii="宋体" w:hAnsi="宋体"/>
          <w:sz w:val="24"/>
        </w:rPr>
        <w:t>见磋商文件附件《拟签订的合同文本》</w:t>
      </w:r>
      <w:bookmarkStart w:id="0" w:name="_GoBack"/>
      <w:bookmarkEnd w:id="0"/>
      <w:r>
        <w:rPr>
          <w:rFonts w:hint="eastAsia" w:ascii="宋体" w:hAnsi="宋体" w:eastAsia="宋体" w:cs="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075B7"/>
    <w:multiLevelType w:val="multilevel"/>
    <w:tmpl w:val="80D075B7"/>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B612C61"/>
    <w:multiLevelType w:val="multilevel"/>
    <w:tmpl w:val="3B612C61"/>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3F2B"/>
    <w:rsid w:val="00A61AA2"/>
    <w:rsid w:val="00BD0EAC"/>
    <w:rsid w:val="00EB40B3"/>
    <w:rsid w:val="01291861"/>
    <w:rsid w:val="012E67B2"/>
    <w:rsid w:val="012F4345"/>
    <w:rsid w:val="013E4DFF"/>
    <w:rsid w:val="01B52692"/>
    <w:rsid w:val="02C443D0"/>
    <w:rsid w:val="02E22596"/>
    <w:rsid w:val="03945FEA"/>
    <w:rsid w:val="04781CEA"/>
    <w:rsid w:val="04C1708E"/>
    <w:rsid w:val="050410BF"/>
    <w:rsid w:val="05114E09"/>
    <w:rsid w:val="0594649D"/>
    <w:rsid w:val="05AA3EBD"/>
    <w:rsid w:val="06A031B4"/>
    <w:rsid w:val="06A777B2"/>
    <w:rsid w:val="07141BF5"/>
    <w:rsid w:val="076C1017"/>
    <w:rsid w:val="07BE2A2D"/>
    <w:rsid w:val="09254168"/>
    <w:rsid w:val="098F3303"/>
    <w:rsid w:val="09D14632"/>
    <w:rsid w:val="09DA1168"/>
    <w:rsid w:val="0A325AA8"/>
    <w:rsid w:val="0A650353"/>
    <w:rsid w:val="0B4061BB"/>
    <w:rsid w:val="0B4B12BF"/>
    <w:rsid w:val="0BC313DC"/>
    <w:rsid w:val="0BCF1058"/>
    <w:rsid w:val="0BDC7B54"/>
    <w:rsid w:val="0BF36F48"/>
    <w:rsid w:val="0C3D42AE"/>
    <w:rsid w:val="0C630EB8"/>
    <w:rsid w:val="0C643461"/>
    <w:rsid w:val="0D4F1BA1"/>
    <w:rsid w:val="0D797A56"/>
    <w:rsid w:val="0DC21A10"/>
    <w:rsid w:val="0EF8186B"/>
    <w:rsid w:val="0F467EEC"/>
    <w:rsid w:val="0F7C57C3"/>
    <w:rsid w:val="0FA659E2"/>
    <w:rsid w:val="0FD36A35"/>
    <w:rsid w:val="0FDA4BE6"/>
    <w:rsid w:val="0FF71485"/>
    <w:rsid w:val="104F4986"/>
    <w:rsid w:val="10763167"/>
    <w:rsid w:val="10C22A05"/>
    <w:rsid w:val="10CF2EF6"/>
    <w:rsid w:val="10EC77D4"/>
    <w:rsid w:val="12161F47"/>
    <w:rsid w:val="12AD3920"/>
    <w:rsid w:val="13F05097"/>
    <w:rsid w:val="13F80D31"/>
    <w:rsid w:val="149E7759"/>
    <w:rsid w:val="15112FDD"/>
    <w:rsid w:val="151743BD"/>
    <w:rsid w:val="152469F9"/>
    <w:rsid w:val="15C40590"/>
    <w:rsid w:val="16621895"/>
    <w:rsid w:val="16D566CD"/>
    <w:rsid w:val="16E0789B"/>
    <w:rsid w:val="17512807"/>
    <w:rsid w:val="175626B2"/>
    <w:rsid w:val="178E4694"/>
    <w:rsid w:val="17AC18D5"/>
    <w:rsid w:val="17AD07FC"/>
    <w:rsid w:val="180524F4"/>
    <w:rsid w:val="182A7468"/>
    <w:rsid w:val="18522996"/>
    <w:rsid w:val="18C64DB1"/>
    <w:rsid w:val="196124BA"/>
    <w:rsid w:val="1A910913"/>
    <w:rsid w:val="1A943C98"/>
    <w:rsid w:val="1B404343"/>
    <w:rsid w:val="1B4D4D74"/>
    <w:rsid w:val="1B89072B"/>
    <w:rsid w:val="1BA9135A"/>
    <w:rsid w:val="1C193D38"/>
    <w:rsid w:val="1C264000"/>
    <w:rsid w:val="1C335100"/>
    <w:rsid w:val="1C6861C6"/>
    <w:rsid w:val="1CCD2FDE"/>
    <w:rsid w:val="1D0331E6"/>
    <w:rsid w:val="1D7E2602"/>
    <w:rsid w:val="1E553C45"/>
    <w:rsid w:val="1E714D5F"/>
    <w:rsid w:val="1ED44B2B"/>
    <w:rsid w:val="1EE537D9"/>
    <w:rsid w:val="1EFD345D"/>
    <w:rsid w:val="1EFF0E53"/>
    <w:rsid w:val="1F236C88"/>
    <w:rsid w:val="1F972487"/>
    <w:rsid w:val="1F9D353F"/>
    <w:rsid w:val="21054A44"/>
    <w:rsid w:val="21CB453C"/>
    <w:rsid w:val="21D97940"/>
    <w:rsid w:val="22012909"/>
    <w:rsid w:val="2221467F"/>
    <w:rsid w:val="22BC0A12"/>
    <w:rsid w:val="2322542B"/>
    <w:rsid w:val="23B60AD6"/>
    <w:rsid w:val="23BE5376"/>
    <w:rsid w:val="24341B52"/>
    <w:rsid w:val="24745A94"/>
    <w:rsid w:val="25C436F9"/>
    <w:rsid w:val="261C766E"/>
    <w:rsid w:val="26C4143E"/>
    <w:rsid w:val="26F72091"/>
    <w:rsid w:val="2713489E"/>
    <w:rsid w:val="28276EAC"/>
    <w:rsid w:val="2905192F"/>
    <w:rsid w:val="29593633"/>
    <w:rsid w:val="2A365FF7"/>
    <w:rsid w:val="2AE36AE5"/>
    <w:rsid w:val="2B592AAB"/>
    <w:rsid w:val="2BFC27C3"/>
    <w:rsid w:val="2C737E41"/>
    <w:rsid w:val="2C765C64"/>
    <w:rsid w:val="2C8C35BB"/>
    <w:rsid w:val="2CD50704"/>
    <w:rsid w:val="2CE8041D"/>
    <w:rsid w:val="2CFC5CB7"/>
    <w:rsid w:val="2D521033"/>
    <w:rsid w:val="2D5F38DB"/>
    <w:rsid w:val="2E8A2D15"/>
    <w:rsid w:val="2EDD5DBC"/>
    <w:rsid w:val="2FA51908"/>
    <w:rsid w:val="314814FF"/>
    <w:rsid w:val="31A246ED"/>
    <w:rsid w:val="328A0DA7"/>
    <w:rsid w:val="328A57A6"/>
    <w:rsid w:val="33346E18"/>
    <w:rsid w:val="333749E7"/>
    <w:rsid w:val="336740E0"/>
    <w:rsid w:val="33755746"/>
    <w:rsid w:val="347F32AD"/>
    <w:rsid w:val="349D48D4"/>
    <w:rsid w:val="34A555B2"/>
    <w:rsid w:val="34D0489B"/>
    <w:rsid w:val="35CD63F8"/>
    <w:rsid w:val="35DD3990"/>
    <w:rsid w:val="35E359B7"/>
    <w:rsid w:val="35F05CF6"/>
    <w:rsid w:val="36584C99"/>
    <w:rsid w:val="366D4992"/>
    <w:rsid w:val="367B6C8D"/>
    <w:rsid w:val="367D7E4D"/>
    <w:rsid w:val="36910CE3"/>
    <w:rsid w:val="37044097"/>
    <w:rsid w:val="37377112"/>
    <w:rsid w:val="377431F2"/>
    <w:rsid w:val="391C3612"/>
    <w:rsid w:val="39423D9E"/>
    <w:rsid w:val="397A54DE"/>
    <w:rsid w:val="39FF1130"/>
    <w:rsid w:val="3A1039CE"/>
    <w:rsid w:val="3AA233F6"/>
    <w:rsid w:val="3AD14DF2"/>
    <w:rsid w:val="3B2B31F8"/>
    <w:rsid w:val="3B7152B0"/>
    <w:rsid w:val="3BBE0D95"/>
    <w:rsid w:val="3BC150CC"/>
    <w:rsid w:val="3C023CE1"/>
    <w:rsid w:val="3C037ACE"/>
    <w:rsid w:val="3C10196B"/>
    <w:rsid w:val="3C192251"/>
    <w:rsid w:val="3C97446C"/>
    <w:rsid w:val="3DC347EC"/>
    <w:rsid w:val="3DDC5416"/>
    <w:rsid w:val="3DF75535"/>
    <w:rsid w:val="3E1B1D5D"/>
    <w:rsid w:val="3E5451E3"/>
    <w:rsid w:val="3ED0504E"/>
    <w:rsid w:val="3EE56506"/>
    <w:rsid w:val="3EEE2776"/>
    <w:rsid w:val="3F242D41"/>
    <w:rsid w:val="3F347297"/>
    <w:rsid w:val="3F5B7CAD"/>
    <w:rsid w:val="3F7957E6"/>
    <w:rsid w:val="3FA21A1D"/>
    <w:rsid w:val="3FC06B2B"/>
    <w:rsid w:val="3FC60EC8"/>
    <w:rsid w:val="40D90E42"/>
    <w:rsid w:val="40ED2448"/>
    <w:rsid w:val="40F644FE"/>
    <w:rsid w:val="41787FA2"/>
    <w:rsid w:val="430F79D9"/>
    <w:rsid w:val="4378043C"/>
    <w:rsid w:val="43AD7168"/>
    <w:rsid w:val="43B0646B"/>
    <w:rsid w:val="44B009EE"/>
    <w:rsid w:val="44BE70EB"/>
    <w:rsid w:val="44D55BDA"/>
    <w:rsid w:val="47212B93"/>
    <w:rsid w:val="473C043A"/>
    <w:rsid w:val="479107BF"/>
    <w:rsid w:val="47982B5E"/>
    <w:rsid w:val="48232869"/>
    <w:rsid w:val="4832780F"/>
    <w:rsid w:val="490B495F"/>
    <w:rsid w:val="499F189A"/>
    <w:rsid w:val="49AD18F7"/>
    <w:rsid w:val="4A746567"/>
    <w:rsid w:val="4AAF66D5"/>
    <w:rsid w:val="4ACB6B70"/>
    <w:rsid w:val="4AFD0805"/>
    <w:rsid w:val="4B174A3A"/>
    <w:rsid w:val="4BEA3664"/>
    <w:rsid w:val="4BF65229"/>
    <w:rsid w:val="4C583828"/>
    <w:rsid w:val="4C5B21C7"/>
    <w:rsid w:val="4C72369E"/>
    <w:rsid w:val="4D3857A8"/>
    <w:rsid w:val="4DE473BF"/>
    <w:rsid w:val="4E414893"/>
    <w:rsid w:val="4E947FD2"/>
    <w:rsid w:val="4EF006F5"/>
    <w:rsid w:val="4FE96C6A"/>
    <w:rsid w:val="4FF105A8"/>
    <w:rsid w:val="505A01B2"/>
    <w:rsid w:val="50993549"/>
    <w:rsid w:val="51673A20"/>
    <w:rsid w:val="51A12F7E"/>
    <w:rsid w:val="522C7B62"/>
    <w:rsid w:val="524A377D"/>
    <w:rsid w:val="52605962"/>
    <w:rsid w:val="53654B37"/>
    <w:rsid w:val="536950CE"/>
    <w:rsid w:val="53A75933"/>
    <w:rsid w:val="54657D55"/>
    <w:rsid w:val="54FE050A"/>
    <w:rsid w:val="554A291D"/>
    <w:rsid w:val="55B03DCD"/>
    <w:rsid w:val="55C34227"/>
    <w:rsid w:val="560E7408"/>
    <w:rsid w:val="56BB4167"/>
    <w:rsid w:val="56F70AF8"/>
    <w:rsid w:val="57184984"/>
    <w:rsid w:val="571F4665"/>
    <w:rsid w:val="577706F8"/>
    <w:rsid w:val="57B833D2"/>
    <w:rsid w:val="57FF57F9"/>
    <w:rsid w:val="58366F24"/>
    <w:rsid w:val="597441B2"/>
    <w:rsid w:val="5A2B17BC"/>
    <w:rsid w:val="5A7D3018"/>
    <w:rsid w:val="5B437FB0"/>
    <w:rsid w:val="5B9854EC"/>
    <w:rsid w:val="5BC139BF"/>
    <w:rsid w:val="5C026C7A"/>
    <w:rsid w:val="5D5D7F38"/>
    <w:rsid w:val="5E825F37"/>
    <w:rsid w:val="5F001E6C"/>
    <w:rsid w:val="5F1B6709"/>
    <w:rsid w:val="5F776305"/>
    <w:rsid w:val="601475E8"/>
    <w:rsid w:val="60E55547"/>
    <w:rsid w:val="618845E9"/>
    <w:rsid w:val="619F6618"/>
    <w:rsid w:val="623B2CB4"/>
    <w:rsid w:val="62525A8B"/>
    <w:rsid w:val="627A342A"/>
    <w:rsid w:val="62E86C09"/>
    <w:rsid w:val="62FD1A3D"/>
    <w:rsid w:val="6330206C"/>
    <w:rsid w:val="6373459E"/>
    <w:rsid w:val="637D3EA3"/>
    <w:rsid w:val="63AD6030"/>
    <w:rsid w:val="63C11EE9"/>
    <w:rsid w:val="645165EC"/>
    <w:rsid w:val="6456686F"/>
    <w:rsid w:val="64BB6A18"/>
    <w:rsid w:val="65034783"/>
    <w:rsid w:val="652838DD"/>
    <w:rsid w:val="65704C00"/>
    <w:rsid w:val="659E7A4B"/>
    <w:rsid w:val="65BC2641"/>
    <w:rsid w:val="661411E7"/>
    <w:rsid w:val="66593CB0"/>
    <w:rsid w:val="66636AB4"/>
    <w:rsid w:val="6679573D"/>
    <w:rsid w:val="668531C5"/>
    <w:rsid w:val="66853E8D"/>
    <w:rsid w:val="669F6455"/>
    <w:rsid w:val="67566138"/>
    <w:rsid w:val="676A24DC"/>
    <w:rsid w:val="67A878C3"/>
    <w:rsid w:val="67B40880"/>
    <w:rsid w:val="68091BD1"/>
    <w:rsid w:val="68342DD7"/>
    <w:rsid w:val="685A3F90"/>
    <w:rsid w:val="687A13CE"/>
    <w:rsid w:val="687B118F"/>
    <w:rsid w:val="688B1685"/>
    <w:rsid w:val="6897260A"/>
    <w:rsid w:val="68F624AA"/>
    <w:rsid w:val="690F750F"/>
    <w:rsid w:val="698B63B6"/>
    <w:rsid w:val="69E84456"/>
    <w:rsid w:val="6AF4632A"/>
    <w:rsid w:val="6AF95BD0"/>
    <w:rsid w:val="6B2727BC"/>
    <w:rsid w:val="6B774ED0"/>
    <w:rsid w:val="6BAA67F1"/>
    <w:rsid w:val="6C1937A0"/>
    <w:rsid w:val="6C7F0943"/>
    <w:rsid w:val="6CFB3AAE"/>
    <w:rsid w:val="6D9D22A0"/>
    <w:rsid w:val="6E2F5FB9"/>
    <w:rsid w:val="6E5B6EE1"/>
    <w:rsid w:val="6ED51BF3"/>
    <w:rsid w:val="6EF5755E"/>
    <w:rsid w:val="6F2E3A54"/>
    <w:rsid w:val="7063791E"/>
    <w:rsid w:val="71355683"/>
    <w:rsid w:val="71D355C7"/>
    <w:rsid w:val="721B6A04"/>
    <w:rsid w:val="73257116"/>
    <w:rsid w:val="73567411"/>
    <w:rsid w:val="73BF7CB3"/>
    <w:rsid w:val="742B0BB6"/>
    <w:rsid w:val="743D5D16"/>
    <w:rsid w:val="74D4098E"/>
    <w:rsid w:val="75174E3E"/>
    <w:rsid w:val="75357B66"/>
    <w:rsid w:val="75FD6EE3"/>
    <w:rsid w:val="762672C8"/>
    <w:rsid w:val="76414EB9"/>
    <w:rsid w:val="76F9487D"/>
    <w:rsid w:val="775C4394"/>
    <w:rsid w:val="78675066"/>
    <w:rsid w:val="78C47ADE"/>
    <w:rsid w:val="7A0B75B3"/>
    <w:rsid w:val="7A28077B"/>
    <w:rsid w:val="7A78199F"/>
    <w:rsid w:val="7B2234E4"/>
    <w:rsid w:val="7BD63824"/>
    <w:rsid w:val="7BDF6A58"/>
    <w:rsid w:val="7C073551"/>
    <w:rsid w:val="7C2F1BFB"/>
    <w:rsid w:val="7C8A69B2"/>
    <w:rsid w:val="7D8F11C3"/>
    <w:rsid w:val="7DAB5EB9"/>
    <w:rsid w:val="7E744548"/>
    <w:rsid w:val="7E9B7125"/>
    <w:rsid w:val="7EEC5BBB"/>
    <w:rsid w:val="7F4D5826"/>
    <w:rsid w:val="7F6002BF"/>
    <w:rsid w:val="7FAC04CF"/>
    <w:rsid w:val="7FF0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21"/>
    <w:unhideWhenUsed/>
    <w:qFormat/>
    <w:uiPriority w:val="0"/>
    <w:pPr>
      <w:spacing w:beforeLines="0" w:afterLines="0" w:line="360" w:lineRule="auto"/>
      <w:ind w:firstLine="420"/>
    </w:pPr>
    <w:rPr>
      <w:rFonts w:hint="eastAsia" w:ascii="Times New Roman" w:hAnsi="Times New Roman" w:eastAsia="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2025-06-09T00:32:00Z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