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A4BAF">
      <w:pPr>
        <w:widowControl w:val="0"/>
        <w:spacing w:line="360" w:lineRule="auto"/>
        <w:jc w:val="both"/>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附件：</w:t>
      </w:r>
    </w:p>
    <w:p w14:paraId="4DFD82EF">
      <w:pPr>
        <w:widowControl w:val="0"/>
        <w:spacing w:line="360" w:lineRule="auto"/>
        <w:jc w:val="both"/>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如有建议或意见，请以书面形式并加盖公章、注明联系人、联系方式，于202</w:t>
      </w:r>
      <w:r>
        <w:rPr>
          <w:rFonts w:hint="eastAsia" w:ascii="宋体" w:hAnsi="宋体" w:cs="宋体"/>
          <w:kern w:val="0"/>
          <w:sz w:val="24"/>
          <w:szCs w:val="24"/>
          <w:lang w:val="en-US" w:eastAsia="zh-CN"/>
          <w14:ligatures w14:val="none"/>
        </w:rPr>
        <w:t>5</w:t>
      </w:r>
      <w:r>
        <w:rPr>
          <w:rFonts w:hint="eastAsia" w:ascii="宋体" w:hAnsi="宋体" w:eastAsia="宋体" w:cs="宋体"/>
          <w:kern w:val="0"/>
          <w:sz w:val="24"/>
          <w:szCs w:val="24"/>
          <w14:ligatures w14:val="none"/>
        </w:rPr>
        <w:t>年</w:t>
      </w:r>
      <w:r>
        <w:rPr>
          <w:rFonts w:ascii="宋体" w:hAnsi="宋体" w:eastAsia="宋体" w:cs="宋体"/>
          <w:kern w:val="0"/>
          <w:sz w:val="24"/>
          <w:szCs w:val="24"/>
          <w14:ligatures w14:val="none"/>
        </w:rPr>
        <w:t>0</w:t>
      </w:r>
      <w:r>
        <w:rPr>
          <w:rFonts w:hint="eastAsia" w:ascii="宋体" w:hAnsi="宋体" w:cs="宋体"/>
          <w:kern w:val="0"/>
          <w:sz w:val="24"/>
          <w:szCs w:val="24"/>
          <w:lang w:val="en-US" w:eastAsia="zh-CN"/>
          <w14:ligatures w14:val="none"/>
        </w:rPr>
        <w:t>6</w:t>
      </w:r>
      <w:r>
        <w:rPr>
          <w:rFonts w:hint="eastAsia" w:ascii="宋体" w:hAnsi="宋体" w:eastAsia="宋体" w:cs="宋体"/>
          <w:kern w:val="0"/>
          <w:sz w:val="24"/>
          <w:szCs w:val="24"/>
          <w14:ligatures w14:val="none"/>
        </w:rPr>
        <w:t>月</w:t>
      </w:r>
      <w:r>
        <w:rPr>
          <w:rFonts w:hint="eastAsia" w:ascii="宋体" w:hAnsi="宋体" w:cs="宋体"/>
          <w:kern w:val="0"/>
          <w:sz w:val="24"/>
          <w:szCs w:val="24"/>
          <w:lang w:val="en-US" w:eastAsia="zh-CN"/>
          <w14:ligatures w14:val="none"/>
        </w:rPr>
        <w:t>04</w:t>
      </w:r>
      <w:r>
        <w:rPr>
          <w:rFonts w:hint="eastAsia" w:ascii="宋体" w:hAnsi="宋体" w:eastAsia="宋体" w:cs="宋体"/>
          <w:kern w:val="0"/>
          <w:sz w:val="24"/>
          <w:szCs w:val="24"/>
          <w14:ligatures w14:val="none"/>
        </w:rPr>
        <w:t>日17:00之前送至我单位，逾期不受理（如邮寄，202</w:t>
      </w:r>
      <w:r>
        <w:rPr>
          <w:rFonts w:hint="eastAsia" w:ascii="宋体" w:hAnsi="宋体" w:cs="宋体"/>
          <w:kern w:val="0"/>
          <w:sz w:val="24"/>
          <w:szCs w:val="24"/>
          <w:lang w:val="en-US" w:eastAsia="zh-CN"/>
          <w14:ligatures w14:val="none"/>
        </w:rPr>
        <w:t>5</w:t>
      </w:r>
      <w:r>
        <w:rPr>
          <w:rFonts w:hint="eastAsia" w:ascii="宋体" w:hAnsi="宋体" w:eastAsia="宋体" w:cs="宋体"/>
          <w:kern w:val="0"/>
          <w:sz w:val="24"/>
          <w:szCs w:val="24"/>
          <w14:ligatures w14:val="none"/>
        </w:rPr>
        <w:t>年</w:t>
      </w:r>
      <w:r>
        <w:rPr>
          <w:rFonts w:ascii="宋体" w:hAnsi="宋体" w:eastAsia="宋体" w:cs="宋体"/>
          <w:kern w:val="0"/>
          <w:sz w:val="24"/>
          <w:szCs w:val="24"/>
          <w14:ligatures w14:val="none"/>
        </w:rPr>
        <w:t>0</w:t>
      </w:r>
      <w:r>
        <w:rPr>
          <w:rFonts w:hint="eastAsia" w:ascii="宋体" w:hAnsi="宋体" w:cs="宋体"/>
          <w:kern w:val="0"/>
          <w:sz w:val="24"/>
          <w:szCs w:val="24"/>
          <w:lang w:val="en-US" w:eastAsia="zh-CN"/>
          <w14:ligatures w14:val="none"/>
        </w:rPr>
        <w:t>6</w:t>
      </w:r>
      <w:r>
        <w:rPr>
          <w:rFonts w:hint="eastAsia" w:ascii="宋体" w:hAnsi="宋体" w:eastAsia="宋体" w:cs="宋体"/>
          <w:kern w:val="0"/>
          <w:sz w:val="24"/>
          <w:szCs w:val="24"/>
          <w14:ligatures w14:val="none"/>
        </w:rPr>
        <w:t>月</w:t>
      </w:r>
      <w:r>
        <w:rPr>
          <w:rFonts w:hint="eastAsia" w:ascii="宋体" w:hAnsi="宋体" w:cs="宋体"/>
          <w:kern w:val="0"/>
          <w:sz w:val="24"/>
          <w:szCs w:val="24"/>
          <w:lang w:val="en-US" w:eastAsia="zh-CN"/>
          <w14:ligatures w14:val="none"/>
        </w:rPr>
        <w:t>04</w:t>
      </w:r>
      <w:r>
        <w:rPr>
          <w:rFonts w:hint="eastAsia" w:ascii="宋体" w:hAnsi="宋体" w:eastAsia="宋体" w:cs="宋体"/>
          <w:kern w:val="0"/>
          <w:sz w:val="24"/>
          <w:szCs w:val="24"/>
          <w14:ligatures w14:val="none"/>
        </w:rPr>
        <w:t>日17:00之后到达本公司的邮件将不再受理）。</w:t>
      </w:r>
    </w:p>
    <w:p w14:paraId="4C18E9C9">
      <w:pPr>
        <w:pStyle w:val="192"/>
        <w:spacing w:line="480" w:lineRule="auto"/>
        <w:jc w:val="center"/>
        <w:rPr>
          <w:rFonts w:ascii="宋体" w:hAnsi="宋体" w:eastAsia="宋体"/>
          <w:b/>
          <w:sz w:val="28"/>
          <w:szCs w:val="28"/>
        </w:rPr>
      </w:pPr>
    </w:p>
    <w:p w14:paraId="486B3241">
      <w:pPr>
        <w:rPr>
          <w:rFonts w:ascii="宋体" w:hAnsi="宋体" w:eastAsia="宋体"/>
          <w:b/>
          <w:sz w:val="28"/>
          <w:szCs w:val="28"/>
        </w:rPr>
      </w:pPr>
      <w:r>
        <w:rPr>
          <w:rFonts w:ascii="宋体" w:hAnsi="宋体" w:eastAsia="宋体"/>
          <w:b/>
          <w:sz w:val="28"/>
          <w:szCs w:val="28"/>
        </w:rPr>
        <w:br w:type="page"/>
      </w:r>
    </w:p>
    <w:p w14:paraId="3F4345FD">
      <w:pPr>
        <w:pStyle w:val="192"/>
        <w:spacing w:line="480" w:lineRule="auto"/>
        <w:jc w:val="center"/>
      </w:pPr>
      <w:r>
        <w:rPr>
          <w:rFonts w:ascii="宋体" w:hAnsi="宋体" w:eastAsia="宋体"/>
          <w:b/>
          <w:sz w:val="28"/>
          <w:szCs w:val="28"/>
        </w:rPr>
        <w:t>项目要求（采购需求）</w:t>
      </w:r>
    </w:p>
    <w:p w14:paraId="0BAED2AD">
      <w:pPr>
        <w:keepNext w:val="0"/>
        <w:keepLines w:val="0"/>
        <w:pageBreakBefore w:val="0"/>
        <w:spacing w:line="360" w:lineRule="auto"/>
        <w:ind w:firstLine="482"/>
        <w:outlineLvl w:val="1"/>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一、本项目最高限价</w:t>
      </w:r>
    </w:p>
    <w:p w14:paraId="18CCCD8A">
      <w:pPr>
        <w:keepNext w:val="0"/>
        <w:keepLines w:val="0"/>
        <w:pageBreakBefore w:val="0"/>
        <w:spacing w:line="360" w:lineRule="auto"/>
        <w:ind w:firstLine="720"/>
        <w:outlineLvl w:val="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none"/>
          <w:lang w:val="en-US" w:eastAsia="zh-CN"/>
        </w:rPr>
        <w:t>丰县初级中学中阳里校区、正阳校区和毓秀校区教学云办公云软硬件整体租赁及相关配套的网络、运行、维护等服务</w:t>
      </w:r>
      <w:r>
        <w:rPr>
          <w:rFonts w:hint="eastAsia" w:ascii="仿宋" w:hAnsi="仿宋" w:eastAsia="仿宋" w:cs="仿宋"/>
          <w:color w:val="000000"/>
          <w:sz w:val="24"/>
          <w:szCs w:val="24"/>
          <w:highlight w:val="none"/>
          <w:lang w:val="en-US" w:eastAsia="zh-CN"/>
        </w:rPr>
        <w:t>。项目预算180万元，分为两个采购包，中阳里校区和正阳校区共200个点预算价格120万元是采购包1；毓秀校区100个点预算价格60万元是采购包2</w:t>
      </w:r>
      <w:r>
        <w:rPr>
          <w:rFonts w:hint="eastAsia" w:ascii="仿宋" w:hAnsi="仿宋" w:eastAsia="仿宋" w:cs="仿宋"/>
          <w:color w:val="000000"/>
          <w:sz w:val="24"/>
          <w:szCs w:val="24"/>
          <w:highlight w:val="none"/>
        </w:rPr>
        <w:t>；</w:t>
      </w:r>
    </w:p>
    <w:p w14:paraId="68A7B04A">
      <w:pPr>
        <w:keepNext w:val="0"/>
        <w:keepLines w:val="0"/>
        <w:pageBreakBefore w:val="0"/>
        <w:spacing w:line="360" w:lineRule="auto"/>
        <w:ind w:firstLine="482"/>
        <w:outlineLvl w:val="1"/>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二、项目内容：</w:t>
      </w:r>
    </w:p>
    <w:p w14:paraId="7605C0FF">
      <w:pPr>
        <w:keepNext w:val="0"/>
        <w:keepLines w:val="0"/>
        <w:pageBreakBefore w:val="0"/>
        <w:spacing w:line="360" w:lineRule="auto"/>
        <w:ind w:firstLine="480"/>
        <w:outlineLvl w:val="1"/>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1、项目名称：</w:t>
      </w:r>
      <w:r>
        <w:rPr>
          <w:rFonts w:hint="eastAsia" w:ascii="仿宋" w:hAnsi="仿宋" w:eastAsia="仿宋" w:cs="仿宋"/>
          <w:color w:val="000000"/>
          <w:sz w:val="24"/>
          <w:szCs w:val="24"/>
          <w:highlight w:val="none"/>
          <w:lang w:eastAsia="zh-CN"/>
        </w:rPr>
        <w:t>丰县初级中学教学云办公租赁及相关配套服务项目</w:t>
      </w:r>
    </w:p>
    <w:p w14:paraId="3241FEC2">
      <w:pPr>
        <w:keepNext w:val="0"/>
        <w:keepLines w:val="0"/>
        <w:pageBreakBefore w:val="0"/>
        <w:spacing w:line="360" w:lineRule="auto"/>
        <w:ind w:firstLine="480"/>
        <w:outlineLvl w:val="1"/>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2、项目地点：丰县</w:t>
      </w:r>
    </w:p>
    <w:p w14:paraId="2850227E">
      <w:pPr>
        <w:keepNext w:val="0"/>
        <w:keepLines w:val="0"/>
        <w:pageBreakBefore w:val="0"/>
        <w:spacing w:line="360" w:lineRule="auto"/>
        <w:ind w:firstLine="480"/>
        <w:outlineLvl w:val="1"/>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3、项目划分：本招标</w:t>
      </w:r>
      <w:r>
        <w:rPr>
          <w:rFonts w:hint="eastAsia" w:ascii="仿宋" w:hAnsi="仿宋" w:eastAsia="仿宋" w:cs="仿宋"/>
          <w:color w:val="000000"/>
          <w:sz w:val="24"/>
          <w:szCs w:val="24"/>
          <w:highlight w:val="none"/>
          <w:lang w:val="en-US" w:eastAsia="zh-CN"/>
        </w:rPr>
        <w:t>项目预算180万元，分为两个采购包。</w:t>
      </w:r>
    </w:p>
    <w:p w14:paraId="7D4593D5">
      <w:pPr>
        <w:keepNext w:val="0"/>
        <w:keepLines w:val="0"/>
        <w:pageBreakBefore w:val="0"/>
        <w:spacing w:line="360" w:lineRule="auto"/>
        <w:ind w:firstLine="480"/>
        <w:outlineLvl w:val="1"/>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采购包1：中阳里校区和正阳校区共200个点预算价格120万元；</w:t>
      </w:r>
    </w:p>
    <w:p w14:paraId="74BA5A81">
      <w:pPr>
        <w:keepNext w:val="0"/>
        <w:keepLines w:val="0"/>
        <w:pageBreakBefore w:val="0"/>
        <w:spacing w:line="360" w:lineRule="auto"/>
        <w:ind w:firstLine="480"/>
        <w:outlineLvl w:val="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采购包2：毓秀校区100个点预算价格60万元</w:t>
      </w:r>
      <w:r>
        <w:rPr>
          <w:rFonts w:hint="eastAsia" w:ascii="仿宋" w:hAnsi="仿宋" w:eastAsia="仿宋" w:cs="仿宋"/>
          <w:color w:val="000000"/>
          <w:sz w:val="24"/>
          <w:szCs w:val="24"/>
          <w:highlight w:val="none"/>
        </w:rPr>
        <w:t>。</w:t>
      </w:r>
    </w:p>
    <w:p w14:paraId="66C514E4">
      <w:pPr>
        <w:keepNext w:val="0"/>
        <w:keepLines w:val="0"/>
        <w:pageBreakBefore w:val="0"/>
        <w:widowControl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4、服务内容：</w:t>
      </w:r>
    </w:p>
    <w:p w14:paraId="5FFA29DD">
      <w:pPr>
        <w:keepNext w:val="0"/>
        <w:keepLines w:val="0"/>
        <w:pageBreakBefore w:val="0"/>
        <w:widowControl w:val="0"/>
        <w:spacing w:line="360" w:lineRule="auto"/>
        <w:ind w:firstLine="48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（1）服务范围：</w:t>
      </w:r>
    </w:p>
    <w:p w14:paraId="77CE6015">
      <w:pPr>
        <w:keepNext w:val="0"/>
        <w:keepLines w:val="0"/>
        <w:pageBreakBefore w:val="0"/>
        <w:widowControl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丰县初级中学教学云办公租赁及相关配套服务项目</w:t>
      </w:r>
      <w:r>
        <w:rPr>
          <w:rFonts w:hint="eastAsia" w:ascii="仿宋" w:hAnsi="仿宋" w:eastAsia="仿宋" w:cs="仿宋"/>
          <w:color w:val="000000"/>
          <w:sz w:val="24"/>
          <w:szCs w:val="24"/>
          <w:highlight w:val="none"/>
        </w:rPr>
        <w:t>。</w:t>
      </w:r>
    </w:p>
    <w:p w14:paraId="5A8D73F4">
      <w:pPr>
        <w:keepNext w:val="0"/>
        <w:keepLines w:val="0"/>
        <w:pageBreakBefore w:val="0"/>
        <w:widowControl w:val="0"/>
        <w:numPr>
          <w:ilvl w:val="0"/>
          <w:numId w:val="1"/>
        </w:numPr>
        <w:spacing w:line="360" w:lineRule="auto"/>
        <w:ind w:firstLine="48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工作内容：</w:t>
      </w:r>
    </w:p>
    <w:p w14:paraId="7B2F757E">
      <w:pPr>
        <w:keepNext w:val="0"/>
        <w:keepLines w:val="0"/>
        <w:pageBreakBefore w:val="0"/>
        <w:widowControl w:val="0"/>
        <w:numPr>
          <w:ilvl w:val="0"/>
          <w:numId w:val="0"/>
        </w:numPr>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lang w:val="en-US" w:eastAsia="zh-CN"/>
        </w:rPr>
        <w:t xml:space="preserve">    云服务管理平台（含毓秀校区、中阳里校区、正阳校区）信息数据融合、轻云终端、21.5寸品牌显示器、品牌键鼠套装、三个校区办公室基础网络及强电布线服务、并配备服务团队提供培训使用及后期驻场维护服务。</w:t>
      </w:r>
    </w:p>
    <w:p w14:paraId="2DE070D8">
      <w:pPr>
        <w:keepNext w:val="0"/>
        <w:keepLines w:val="0"/>
        <w:pageBreakBefore w:val="0"/>
        <w:spacing w:line="360" w:lineRule="auto"/>
        <w:ind w:firstLine="48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5、要求质量标准：合格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满足国家行业标准</w:t>
      </w:r>
      <w:r>
        <w:rPr>
          <w:rFonts w:hint="eastAsia" w:ascii="仿宋" w:hAnsi="仿宋" w:eastAsia="仿宋" w:cs="仿宋"/>
          <w:sz w:val="24"/>
          <w:szCs w:val="24"/>
          <w:highlight w:val="none"/>
        </w:rPr>
        <w:t>。</w:t>
      </w:r>
    </w:p>
    <w:p w14:paraId="4BD5C8A5">
      <w:pPr>
        <w:keepNext w:val="0"/>
        <w:keepLines w:val="0"/>
        <w:pageBreakBefore w:val="0"/>
        <w:spacing w:line="360" w:lineRule="auto"/>
        <w:ind w:firstLine="48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6、项目服务周期</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24个月</w:t>
      </w:r>
      <w:r>
        <w:rPr>
          <w:rFonts w:hint="eastAsia" w:ascii="仿宋" w:hAnsi="仿宋" w:eastAsia="仿宋" w:cs="仿宋"/>
          <w:b/>
          <w:bCs/>
          <w:sz w:val="24"/>
          <w:szCs w:val="24"/>
          <w:highlight w:val="none"/>
          <w:lang w:eastAsia="zh-CN"/>
        </w:rPr>
        <w:t>。</w:t>
      </w:r>
    </w:p>
    <w:p w14:paraId="0CAF6DA2">
      <w:pPr>
        <w:keepNext w:val="0"/>
        <w:keepLines w:val="0"/>
        <w:pageBreakBefore w:val="0"/>
        <w:spacing w:line="360" w:lineRule="auto"/>
        <w:ind w:firstLine="480"/>
        <w:outlineLvl w:val="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7、项目实施要求</w:t>
      </w:r>
      <w:r>
        <w:rPr>
          <w:rFonts w:hint="eastAsia" w:ascii="仿宋" w:hAnsi="仿宋" w:eastAsia="仿宋" w:cs="仿宋"/>
          <w:sz w:val="24"/>
          <w:szCs w:val="24"/>
          <w:highlight w:val="none"/>
          <w:lang w:eastAsia="zh-CN"/>
        </w:rPr>
        <w:t>：</w:t>
      </w:r>
    </w:p>
    <w:p w14:paraId="4B618DEB">
      <w:pPr>
        <w:keepNext w:val="0"/>
        <w:keepLines w:val="0"/>
        <w:pageBreakBefore w:val="0"/>
        <w:spacing w:line="360" w:lineRule="auto"/>
        <w:ind w:firstLine="48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中标人所提供相关产品必须是全新、合格产品，符合采购人需求，完全符合国家规定的质量标准、厂方的标准以及招标文件对所投产品的标准要求。</w:t>
      </w:r>
    </w:p>
    <w:p w14:paraId="3BC754D6">
      <w:pPr>
        <w:keepNext w:val="0"/>
        <w:keepLines w:val="0"/>
        <w:pageBreakBefore w:val="0"/>
        <w:spacing w:line="360" w:lineRule="auto"/>
        <w:ind w:firstLine="48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人调试工作完成后，应在使用地进行的设备及软件使用培训直至采购人熟练掌握，及时将其发现并掌握的有关设备的操作、故障检测、故障排除方法及一些新的技术发展通知采购人，使采购人能够达到独立操作。</w:t>
      </w:r>
    </w:p>
    <w:p w14:paraId="683C7F55">
      <w:pPr>
        <w:keepNext w:val="0"/>
        <w:keepLines w:val="0"/>
        <w:pageBreakBefore w:val="0"/>
        <w:spacing w:line="360" w:lineRule="auto"/>
        <w:ind w:firstLine="48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8、服务期内乙方的维修或维护响应时间不得超过</w:t>
      </w:r>
      <w:r>
        <w:rPr>
          <w:rFonts w:hint="eastAsia" w:ascii="仿宋" w:hAnsi="仿宋" w:eastAsia="仿宋" w:cs="仿宋"/>
          <w:color w:val="0000FF"/>
          <w:sz w:val="24"/>
          <w:szCs w:val="24"/>
          <w:highlight w:val="none"/>
        </w:rPr>
        <w:t>24小时</w:t>
      </w:r>
      <w:r>
        <w:rPr>
          <w:rFonts w:hint="eastAsia" w:ascii="仿宋" w:hAnsi="仿宋" w:eastAsia="仿宋" w:cs="仿宋"/>
          <w:sz w:val="24"/>
          <w:szCs w:val="24"/>
          <w:highlight w:val="none"/>
        </w:rPr>
        <w:t>。</w:t>
      </w:r>
    </w:p>
    <w:p w14:paraId="02E40F72">
      <w:pPr>
        <w:keepNext w:val="0"/>
        <w:keepLines w:val="0"/>
        <w:pageBreakBefore w:val="0"/>
        <w:spacing w:line="360" w:lineRule="auto"/>
        <w:ind w:firstLine="482"/>
        <w:rPr>
          <w:rStyle w:val="193"/>
          <w:rFonts w:hint="eastAsia" w:ascii="仿宋" w:hAnsi="仿宋" w:eastAsia="仿宋" w:cs="仿宋"/>
          <w:bCs/>
          <w:sz w:val="24"/>
          <w:szCs w:val="24"/>
          <w:highlight w:val="none"/>
        </w:rPr>
      </w:pPr>
      <w:r>
        <w:rPr>
          <w:rFonts w:hint="eastAsia" w:ascii="仿宋" w:hAnsi="仿宋" w:eastAsia="仿宋" w:cs="仿宋"/>
          <w:b/>
          <w:bCs/>
          <w:sz w:val="24"/>
          <w:szCs w:val="24"/>
          <w:highlight w:val="none"/>
        </w:rPr>
        <w:t>三、</w:t>
      </w:r>
      <w:r>
        <w:rPr>
          <w:rStyle w:val="193"/>
          <w:rFonts w:hint="eastAsia" w:ascii="仿宋" w:hAnsi="仿宋" w:eastAsia="仿宋" w:cs="仿宋"/>
          <w:b/>
          <w:sz w:val="24"/>
          <w:szCs w:val="24"/>
          <w:highlight w:val="none"/>
        </w:rPr>
        <w:t>现场勘察：</w:t>
      </w:r>
      <w:r>
        <w:rPr>
          <w:rStyle w:val="193"/>
          <w:rFonts w:hint="eastAsia" w:ascii="仿宋" w:hAnsi="仿宋" w:eastAsia="仿宋" w:cs="仿宋"/>
          <w:bCs/>
          <w:sz w:val="24"/>
          <w:szCs w:val="24"/>
          <w:highlight w:val="none"/>
        </w:rPr>
        <w:t xml:space="preserve">供应商可自行对项目现场和周围环境进行实地踏勘，以了解现场的施工环境、施工范围、技术要求及相关服务，获取有关编制响应文件和签订合同所需的各项资料，供应商应承担现场踏勘的责任和风险，费用由供应商自己承担。成交后不得以未踏勘现场或不了解现场为由提出任何增加费用的要求。 </w:t>
      </w:r>
    </w:p>
    <w:p w14:paraId="1F3CCB7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Style w:val="193"/>
          <w:rFonts w:hint="eastAsia" w:ascii="仿宋" w:hAnsi="仿宋" w:eastAsia="仿宋" w:cs="仿宋"/>
          <w:b/>
          <w:sz w:val="24"/>
          <w:szCs w:val="24"/>
          <w:highlight w:val="none"/>
          <w:lang w:val="en-US" w:eastAsia="zh-CN"/>
        </w:rPr>
        <w:t>四</w:t>
      </w:r>
      <w:r>
        <w:rPr>
          <w:rStyle w:val="193"/>
          <w:rFonts w:hint="eastAsia" w:ascii="仿宋" w:hAnsi="仿宋" w:eastAsia="仿宋" w:cs="仿宋"/>
          <w:b/>
          <w:sz w:val="24"/>
          <w:szCs w:val="24"/>
          <w:highlight w:val="none"/>
        </w:rPr>
        <w:t>、其他要求</w:t>
      </w:r>
      <w:r>
        <w:rPr>
          <w:rStyle w:val="193"/>
          <w:rFonts w:hint="eastAsia" w:ascii="仿宋" w:hAnsi="仿宋" w:eastAsia="仿宋" w:cs="仿宋"/>
          <w:bCs/>
          <w:sz w:val="24"/>
          <w:szCs w:val="24"/>
          <w:highlight w:val="none"/>
        </w:rPr>
        <w:t>：见磋商文件《合同主要内容和条款》</w:t>
      </w:r>
    </w:p>
    <w:p w14:paraId="65784E81">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bookmarkStart w:id="0" w:name="_GoBack"/>
      <w:bookmarkEnd w:id="0"/>
    </w:p>
    <w:p w14:paraId="1DE07453">
      <w:pPr>
        <w:rPr>
          <w:rStyle w:val="189"/>
          <w:rFonts w:hint="eastAsia" w:ascii="宋体" w:hAnsi="宋体" w:eastAsia="宋体" w:cs="宋体"/>
          <w:bCs/>
          <w:sz w:val="24"/>
          <w:szCs w:val="22"/>
        </w:rPr>
      </w:pPr>
    </w:p>
    <w:sectPr>
      <w:pgSz w:w="11906" w:h="16838"/>
      <w:pgMar w:top="1440" w:right="1800" w:bottom="1440" w:left="180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F4890"/>
    <w:multiLevelType w:val="singleLevel"/>
    <w:tmpl w:val="359F489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37CCD"/>
    <w:rsid w:val="20552DEA"/>
    <w:rsid w:val="370C6995"/>
    <w:rsid w:val="386563A8"/>
    <w:rsid w:val="49DC1519"/>
    <w:rsid w:val="4AE846EF"/>
    <w:rsid w:val="56707D61"/>
    <w:rsid w:val="5E253949"/>
    <w:rsid w:val="751029E3"/>
    <w:rsid w:val="7C553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3"/>
    <w:qFormat/>
    <w:uiPriority w:val="0"/>
    <w:rPr>
      <w:rFonts w:hint="default" w:ascii="Times New Roman" w:hAnsi="Times New Roman" w:eastAsia="宋体" w:cs="Times New Roman"/>
      <w:lang w:val="en-US" w:eastAsia="zh-CN" w:bidi="ar-SA"/>
    </w:rPr>
  </w:style>
  <w:style w:type="paragraph" w:styleId="2">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1"/>
    <w:semiHidden/>
    <w:unhideWhenUsed/>
    <w:qFormat/>
    <w:uiPriority w:val="99"/>
    <w:pPr>
      <w:spacing w:after="0" w:line="240" w:lineRule="auto"/>
    </w:pPr>
    <w:rPr>
      <w:sz w:val="20"/>
    </w:rPr>
  </w:style>
  <w:style w:type="paragraph" w:styleId="17">
    <w:name w:val="footer"/>
    <w:basedOn w:val="1"/>
    <w:link w:val="54"/>
    <w:unhideWhenUsed/>
    <w:qFormat/>
    <w:uiPriority w:val="99"/>
    <w:pPr>
      <w:tabs>
        <w:tab w:val="center" w:pos="7143"/>
        <w:tab w:val="right" w:pos="14287"/>
      </w:tabs>
      <w:spacing w:after="0" w:line="240" w:lineRule="auto"/>
    </w:pPr>
  </w:style>
  <w:style w:type="paragraph" w:styleId="18">
    <w:name w:val="header"/>
    <w:basedOn w:val="1"/>
    <w:link w:val="52"/>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7"/>
    <w:qFormat/>
    <w:uiPriority w:val="11"/>
    <w:pPr>
      <w:spacing w:before="200" w:after="200"/>
    </w:pPr>
    <w:rPr>
      <w:sz w:val="24"/>
      <w:szCs w:val="24"/>
    </w:rPr>
  </w:style>
  <w:style w:type="paragraph" w:styleId="22">
    <w:name w:val="footnote text"/>
    <w:basedOn w:val="1"/>
    <w:link w:val="180"/>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8">
    <w:name w:val="Title"/>
    <w:basedOn w:val="1"/>
    <w:next w:val="1"/>
    <w:link w:val="46"/>
    <w:qFormat/>
    <w:uiPriority w:val="10"/>
    <w:pPr>
      <w:spacing w:before="300" w:after="200"/>
      <w:contextualSpacing/>
    </w:pPr>
    <w:rPr>
      <w:sz w:val="48"/>
      <w:szCs w:val="48"/>
    </w:rPr>
  </w:style>
  <w:style w:type="table" w:styleId="3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semiHidden/>
    <w:unhideWhenUsed/>
    <w:qFormat/>
    <w:uiPriority w:val="99"/>
    <w:rPr>
      <w:vertAlign w:val="superscript"/>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unhideWhenUsed/>
    <w:qFormat/>
    <w:uiPriority w:val="99"/>
    <w:rPr>
      <w:vertAlign w:val="superscript"/>
    </w:rPr>
  </w:style>
  <w:style w:type="character" w:customStyle="1" w:styleId="35">
    <w:name w:val="Heading 1 Char"/>
    <w:link w:val="2"/>
    <w:qFormat/>
    <w:uiPriority w:val="9"/>
    <w:rPr>
      <w:rFonts w:ascii="Arial" w:hAnsi="Arial" w:eastAsia="Arial" w:cs="Arial"/>
      <w:sz w:val="40"/>
      <w:szCs w:val="40"/>
    </w:rPr>
  </w:style>
  <w:style w:type="character" w:customStyle="1" w:styleId="36">
    <w:name w:val="Heading 2 Char"/>
    <w:link w:val="3"/>
    <w:qFormat/>
    <w:uiPriority w:val="9"/>
    <w:rPr>
      <w:rFonts w:ascii="Arial" w:hAnsi="Arial" w:eastAsia="Arial" w:cs="Arial"/>
      <w:sz w:val="34"/>
    </w:rPr>
  </w:style>
  <w:style w:type="character" w:customStyle="1" w:styleId="37">
    <w:name w:val="Heading 3 Char"/>
    <w:link w:val="4"/>
    <w:qFormat/>
    <w:uiPriority w:val="9"/>
    <w:rPr>
      <w:rFonts w:ascii="Arial" w:hAnsi="Arial" w:eastAsia="Arial" w:cs="Arial"/>
      <w:sz w:val="30"/>
      <w:szCs w:val="30"/>
    </w:rPr>
  </w:style>
  <w:style w:type="character" w:customStyle="1" w:styleId="38">
    <w:name w:val="Heading 4 Char"/>
    <w:link w:val="5"/>
    <w:qFormat/>
    <w:uiPriority w:val="9"/>
    <w:rPr>
      <w:rFonts w:ascii="Arial" w:hAnsi="Arial" w:eastAsia="Arial" w:cs="Arial"/>
      <w:b/>
      <w:bCs/>
      <w:sz w:val="26"/>
      <w:szCs w:val="26"/>
    </w:rPr>
  </w:style>
  <w:style w:type="character" w:customStyle="1" w:styleId="39">
    <w:name w:val="Heading 5 Char"/>
    <w:link w:val="6"/>
    <w:qFormat/>
    <w:uiPriority w:val="9"/>
    <w:rPr>
      <w:rFonts w:ascii="Arial" w:hAnsi="Arial" w:eastAsia="Arial" w:cs="Arial"/>
      <w:b/>
      <w:bCs/>
      <w:sz w:val="24"/>
      <w:szCs w:val="24"/>
    </w:rPr>
  </w:style>
  <w:style w:type="character" w:customStyle="1" w:styleId="40">
    <w:name w:val="Heading 6 Char"/>
    <w:link w:val="7"/>
    <w:qFormat/>
    <w:uiPriority w:val="9"/>
    <w:rPr>
      <w:rFonts w:ascii="Arial" w:hAnsi="Arial" w:eastAsia="Arial" w:cs="Arial"/>
      <w:b/>
      <w:bCs/>
      <w:sz w:val="22"/>
      <w:szCs w:val="22"/>
    </w:rPr>
  </w:style>
  <w:style w:type="character" w:customStyle="1" w:styleId="41">
    <w:name w:val="Heading 7 Char"/>
    <w:link w:val="8"/>
    <w:qFormat/>
    <w:uiPriority w:val="9"/>
    <w:rPr>
      <w:rFonts w:ascii="Arial" w:hAnsi="Arial" w:eastAsia="Arial" w:cs="Arial"/>
      <w:b/>
      <w:bCs/>
      <w:i/>
      <w:iCs/>
      <w:sz w:val="22"/>
      <w:szCs w:val="22"/>
    </w:rPr>
  </w:style>
  <w:style w:type="character" w:customStyle="1" w:styleId="42">
    <w:name w:val="Heading 8 Char"/>
    <w:link w:val="9"/>
    <w:qFormat/>
    <w:uiPriority w:val="9"/>
    <w:rPr>
      <w:rFonts w:ascii="Arial" w:hAnsi="Arial" w:eastAsia="Arial" w:cs="Arial"/>
      <w:i/>
      <w:iCs/>
      <w:sz w:val="22"/>
      <w:szCs w:val="22"/>
    </w:rPr>
  </w:style>
  <w:style w:type="character" w:customStyle="1" w:styleId="43">
    <w:name w:val="Heading 9 Char"/>
    <w:link w:val="10"/>
    <w:qFormat/>
    <w:uiPriority w:val="9"/>
    <w:rPr>
      <w:rFonts w:ascii="Arial" w:hAnsi="Arial" w:eastAsia="Arial" w:cs="Arial"/>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Calibri" w:hAnsi="Calibri" w:eastAsia="宋体" w:cs="Calibri"/>
    </w:rPr>
  </w:style>
  <w:style w:type="character" w:customStyle="1" w:styleId="46">
    <w:name w:val="Title Char"/>
    <w:link w:val="28"/>
    <w:qFormat/>
    <w:uiPriority w:val="10"/>
    <w:rPr>
      <w:sz w:val="48"/>
      <w:szCs w:val="48"/>
    </w:rPr>
  </w:style>
  <w:style w:type="character" w:customStyle="1" w:styleId="47">
    <w:name w:val="Subtitle Char"/>
    <w:link w:val="21"/>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link w:val="18"/>
    <w:qFormat/>
    <w:uiPriority w:val="99"/>
  </w:style>
  <w:style w:type="character" w:customStyle="1" w:styleId="53">
    <w:name w:val="Footer Char"/>
    <w:link w:val="17"/>
    <w:qFormat/>
    <w:uiPriority w:val="99"/>
  </w:style>
  <w:style w:type="character" w:customStyle="1" w:styleId="54">
    <w:name w:val="Caption Char"/>
    <w:link w:val="17"/>
    <w:qFormat/>
    <w:uiPriority w:val="99"/>
  </w:style>
  <w:style w:type="table" w:customStyle="1" w:styleId="55">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7">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9">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0">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1">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2">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3">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4">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5">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7">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8">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9">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0">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1">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2">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4">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0">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1">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2">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3">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4">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5">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6">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2">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3">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9">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0">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1">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2">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3">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4">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5">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6">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7">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8">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9">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0">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1">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2">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3">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4">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3">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4">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5">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6">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7">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8">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9">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0">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1">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2">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3">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4">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5">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7">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4">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0">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1">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2">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3">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4">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5">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6">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8">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9">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0">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1">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2">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3">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Footnote Text Char"/>
    <w:link w:val="22"/>
    <w:qFormat/>
    <w:uiPriority w:val="99"/>
    <w:rPr>
      <w:sz w:val="18"/>
    </w:rPr>
  </w:style>
  <w:style w:type="character" w:customStyle="1" w:styleId="181">
    <w:name w:val="Endnote Text Char"/>
    <w:link w:val="16"/>
    <w:qFormat/>
    <w:uiPriority w:val="99"/>
    <w:rPr>
      <w:sz w:val="20"/>
    </w:rPr>
  </w:style>
  <w:style w:type="paragraph" w:customStyle="1" w:styleId="182">
    <w:name w:val="TOC Heading"/>
    <w:unhideWhenUsed/>
    <w:qFormat/>
    <w:uiPriority w:val="39"/>
    <w:rPr>
      <w:rFonts w:hint="default" w:ascii="Calibri" w:hAnsi="Calibri" w:eastAsia="宋体" w:cs="Calibri"/>
    </w:rPr>
  </w:style>
  <w:style w:type="character" w:customStyle="1" w:styleId="183">
    <w:name w:val="默认段落字体1"/>
    <w:link w:val="1"/>
    <w:qFormat/>
    <w:uiPriority w:val="0"/>
    <w:rPr>
      <w:rFonts w:ascii="Calibri" w:hAnsi="Calibri" w:eastAsia="宋体" w:cs="Times New Roman"/>
    </w:rPr>
  </w:style>
  <w:style w:type="table" w:customStyle="1" w:styleId="184">
    <w:name w:val="普通表格1"/>
    <w:qFormat/>
    <w:uiPriority w:val="0"/>
    <w:rPr>
      <w:rFonts w:ascii="Calibri" w:hAnsi="Calibri" w:eastAsia="宋体" w:cs="Times New Roman"/>
    </w:rPr>
  </w:style>
  <w:style w:type="paragraph" w:customStyle="1" w:styleId="185">
    <w:name w:val="寄信人地址11"/>
    <w:basedOn w:val="1"/>
    <w:qFormat/>
    <w:uiPriority w:val="0"/>
    <w:rPr>
      <w:rFonts w:ascii="Arial" w:hAnsi="Arial" w:eastAsia="宋体" w:cs="Arial"/>
    </w:rPr>
  </w:style>
  <w:style w:type="paragraph" w:customStyle="1" w:styleId="186">
    <w:name w:val="正文文本缩进11"/>
    <w:basedOn w:val="1"/>
    <w:next w:val="185"/>
    <w:qFormat/>
    <w:uiPriority w:val="0"/>
    <w:pPr>
      <w:spacing w:line="200" w:lineRule="exact"/>
      <w:ind w:firstLine="301"/>
    </w:pPr>
    <w:rPr>
      <w:rFonts w:ascii="宋体" w:hAnsi="Courier New" w:eastAsia="宋体" w:cs="Times New Roman"/>
      <w:spacing w:val="-4"/>
      <w:sz w:val="18"/>
    </w:rPr>
  </w:style>
  <w:style w:type="paragraph" w:customStyle="1" w:styleId="187">
    <w:name w:val="文本块11"/>
    <w:basedOn w:val="188"/>
    <w:qFormat/>
    <w:uiPriority w:val="0"/>
    <w:pPr>
      <w:ind w:left="256" w:right="6" w:firstLine="624"/>
    </w:pPr>
    <w:rPr>
      <w:rFonts w:ascii="Arial" w:hAnsi="Arial" w:eastAsia="仿宋" w:cs="Times New Roman"/>
      <w:sz w:val="28"/>
    </w:rPr>
  </w:style>
  <w:style w:type="paragraph" w:customStyle="1" w:styleId="188">
    <w:name w:val="正文12"/>
    <w:next w:val="187"/>
    <w:link w:val="193"/>
    <w:qFormat/>
    <w:uiPriority w:val="0"/>
    <w:rPr>
      <w:rFonts w:hint="default" w:ascii="Times New Roman" w:hAnsi="Times New Roman" w:eastAsia="宋体" w:cs="Times New Roman"/>
      <w:lang w:val="en-US" w:eastAsia="zh-CN" w:bidi="ar-SA"/>
    </w:rPr>
  </w:style>
  <w:style w:type="character" w:customStyle="1" w:styleId="189">
    <w:name w:val="NormalCharacter1"/>
    <w:link w:val="188"/>
    <w:qFormat/>
    <w:uiPriority w:val="0"/>
    <w:rPr>
      <w:rFonts w:ascii="Times New Roman" w:hAnsi="Times New Roman" w:eastAsia="宋体" w:cs="Times New Roman"/>
      <w:lang w:val="en-US" w:eastAsia="zh-CN" w:bidi="ar-SA"/>
    </w:rPr>
  </w:style>
  <w:style w:type="paragraph" w:customStyle="1" w:styleId="190">
    <w:name w:val="寄信人地址1"/>
    <w:basedOn w:val="188"/>
    <w:qFormat/>
    <w:uiPriority w:val="0"/>
    <w:rPr>
      <w:rFonts w:ascii="Arial" w:hAnsi="Arial" w:eastAsia="Arial" w:cs="Times New Roman"/>
    </w:rPr>
  </w:style>
  <w:style w:type="paragraph" w:customStyle="1" w:styleId="191">
    <w:name w:val="正文文本缩进1"/>
    <w:basedOn w:val="192"/>
    <w:next w:val="190"/>
    <w:qFormat/>
    <w:uiPriority w:val="0"/>
    <w:pPr>
      <w:spacing w:after="120"/>
      <w:ind w:left="420"/>
    </w:pPr>
    <w:rPr>
      <w:rFonts w:ascii="Arial" w:hAnsi="Arial" w:eastAsia="宋体" w:cs="Times New Roman"/>
      <w:color w:val="000000"/>
      <w:sz w:val="21"/>
      <w:szCs w:val="24"/>
    </w:rPr>
  </w:style>
  <w:style w:type="paragraph" w:customStyle="1" w:styleId="192">
    <w:name w:val="正文11"/>
    <w:next w:val="191"/>
    <w:qFormat/>
    <w:uiPriority w:val="0"/>
    <w:pPr>
      <w:widowControl w:val="0"/>
      <w:jc w:val="both"/>
    </w:pPr>
    <w:rPr>
      <w:rFonts w:hint="default" w:ascii="Times New Roman" w:hAnsi="Times New Roman" w:eastAsia="Arial" w:cs="Times New Roman"/>
      <w:lang w:val="en-US" w:eastAsia="zh-CN" w:bidi="ar-SA"/>
    </w:rPr>
  </w:style>
  <w:style w:type="character" w:customStyle="1" w:styleId="193">
    <w:name w:val="NormalCharacter"/>
    <w:link w:val="188"/>
    <w:qFormat/>
    <w:uiPriority w:val="0"/>
    <w:rPr>
      <w:rFonts w:ascii="Arial" w:hAnsi="Arial" w:eastAsia="Arial"/>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3349</Words>
  <Characters>3535</Characters>
  <TotalTime>0</TotalTime>
  <ScaleCrop>false</ScaleCrop>
  <LinksUpToDate>false</LinksUpToDate>
  <CharactersWithSpaces>3569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2024-03-18T09:45:00Z</dcterms:created>
  <dc:creator>a'b</dc:creator>
  <cp:lastModifiedBy>WPS_1559649941</cp:lastModifiedBy>
  <dcterms:modified xsi:type="dcterms:W3CDTF">2025-05-30T08:23:46Z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eyJoZGlkIjoiZTNiMmJjMGUyMDNhMGI0MjllZTc4OTE3ODRjOTBjMWQiLCJ1c2VySWQiOiI1NzEzOTc1MjEifQ==</vt:lpwstr>
  </property>
  <property fmtid="{D5CDD505-2E9C-101B-9397-08002B2CF9AE}" pid="4" name="ICV">
    <vt:lpwstr>FDD0E6FD3A9546A2B78651DF1BC614A3_12</vt:lpwstr>
  </property>
</Properties>
</file>