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306A4">
      <w:pPr>
        <w:pBdr>
          <w:top w:val="none" w:color="000000" w:sz="0" w:space="0"/>
          <w:left w:val="none" w:color="000000" w:sz="0" w:space="0"/>
          <w:bottom w:val="none" w:color="000000" w:sz="0" w:space="0"/>
          <w:right w:val="none" w:color="000000" w:sz="0" w:space="0"/>
        </w:pBdr>
        <w:spacing w:after="0" w:line="720" w:lineRule="atLeast"/>
        <w:jc w:val="both"/>
        <w:outlineLvl w:val="0"/>
        <w:rPr>
          <w:rFonts w:ascii="Times New Roman" w:hAnsi="Times New Roman"/>
          <w:b/>
          <w:sz w:val="30"/>
          <w:highlight w:val="none"/>
          <w:lang w:eastAsia="zh-CN"/>
        </w:rPr>
        <w:sectPr>
          <w:pgSz w:w="11906" w:h="16838"/>
          <w:pgMar w:top="1440" w:right="1800" w:bottom="1440" w:left="1800" w:header="851" w:footer="992" w:gutter="0"/>
          <w:cols w:space="720" w:num="1"/>
          <w:docGrid w:linePitch="360" w:charSpace="0"/>
        </w:sectPr>
      </w:pPr>
      <w:r>
        <w:rPr>
          <w:spacing w:val="-1"/>
          <w:highlight w:val="none"/>
        </w:rPr>
        <w:t>如有建议或意见，请以书面形式并加盖公章、注明联系人、联系方式，于</w:t>
      </w:r>
      <w:r>
        <w:rPr>
          <w:color w:val="auto"/>
          <w:spacing w:val="-1"/>
          <w:highlight w:val="none"/>
        </w:rPr>
        <w:t>202</w:t>
      </w:r>
      <w:r>
        <w:rPr>
          <w:rFonts w:hint="eastAsia"/>
          <w:color w:val="auto"/>
          <w:spacing w:val="-1"/>
          <w:highlight w:val="none"/>
          <w:lang w:val="en-US" w:eastAsia="zh-CN"/>
        </w:rPr>
        <w:t>5</w:t>
      </w:r>
      <w:r>
        <w:rPr>
          <w:color w:val="auto"/>
          <w:spacing w:val="-1"/>
          <w:highlight w:val="none"/>
        </w:rPr>
        <w:t>年</w:t>
      </w:r>
      <w:r>
        <w:rPr>
          <w:rFonts w:hint="eastAsia"/>
          <w:color w:val="auto"/>
          <w:spacing w:val="-1"/>
          <w:highlight w:val="none"/>
          <w:lang w:val="en-US" w:eastAsia="zh-CN"/>
        </w:rPr>
        <w:t>05</w:t>
      </w:r>
      <w:r>
        <w:rPr>
          <w:color w:val="auto"/>
          <w:spacing w:val="-1"/>
          <w:highlight w:val="none"/>
        </w:rPr>
        <w:t>月</w:t>
      </w:r>
      <w:r>
        <w:rPr>
          <w:rFonts w:hint="eastAsia"/>
          <w:color w:val="auto"/>
          <w:spacing w:val="-1"/>
          <w:highlight w:val="none"/>
          <w:lang w:val="en-US" w:eastAsia="zh-CN"/>
        </w:rPr>
        <w:t xml:space="preserve">  23</w:t>
      </w:r>
      <w:r>
        <w:rPr>
          <w:color w:val="auto"/>
          <w:spacing w:val="-1"/>
          <w:highlight w:val="none"/>
        </w:rPr>
        <w:t>日 17:</w:t>
      </w:r>
      <w:r>
        <w:rPr>
          <w:rFonts w:hint="eastAsia"/>
          <w:color w:val="auto"/>
          <w:spacing w:val="-1"/>
          <w:highlight w:val="none"/>
          <w:lang w:val="en-US" w:eastAsia="zh-CN"/>
        </w:rPr>
        <w:t>30</w:t>
      </w:r>
      <w:r>
        <w:rPr>
          <w:color w:val="auto"/>
          <w:spacing w:val="-1"/>
          <w:highlight w:val="none"/>
        </w:rPr>
        <w:t>之前送至我单位，逾期不受理（如邮寄，202</w:t>
      </w:r>
      <w:r>
        <w:rPr>
          <w:rFonts w:hint="eastAsia"/>
          <w:color w:val="auto"/>
          <w:spacing w:val="-1"/>
          <w:highlight w:val="none"/>
          <w:lang w:val="en-US" w:eastAsia="zh-CN"/>
        </w:rPr>
        <w:t>5</w:t>
      </w:r>
      <w:r>
        <w:rPr>
          <w:color w:val="auto"/>
          <w:spacing w:val="-1"/>
          <w:highlight w:val="none"/>
        </w:rPr>
        <w:t>年</w:t>
      </w:r>
      <w:r>
        <w:rPr>
          <w:rFonts w:hint="eastAsia"/>
          <w:color w:val="auto"/>
          <w:spacing w:val="-1"/>
          <w:highlight w:val="none"/>
          <w:lang w:val="en-US" w:eastAsia="zh-CN"/>
        </w:rPr>
        <w:t>05</w:t>
      </w:r>
      <w:r>
        <w:rPr>
          <w:color w:val="auto"/>
          <w:spacing w:val="-1"/>
          <w:highlight w:val="none"/>
        </w:rPr>
        <w:t>月</w:t>
      </w:r>
      <w:r>
        <w:rPr>
          <w:rFonts w:hint="eastAsia"/>
          <w:color w:val="auto"/>
          <w:spacing w:val="-1"/>
          <w:highlight w:val="none"/>
          <w:lang w:val="en-US" w:eastAsia="zh-CN"/>
        </w:rPr>
        <w:t>23</w:t>
      </w:r>
      <w:r>
        <w:rPr>
          <w:color w:val="auto"/>
          <w:spacing w:val="-1"/>
          <w:highlight w:val="none"/>
        </w:rPr>
        <w:t>日 17:</w:t>
      </w:r>
      <w:r>
        <w:rPr>
          <w:rFonts w:hint="eastAsia"/>
          <w:color w:val="auto"/>
          <w:spacing w:val="-1"/>
          <w:highlight w:val="none"/>
          <w:lang w:val="en-US" w:eastAsia="zh-CN"/>
        </w:rPr>
        <w:t>30</w:t>
      </w:r>
      <w:r>
        <w:rPr>
          <w:color w:val="auto"/>
          <w:spacing w:val="-1"/>
          <w:highlight w:val="none"/>
        </w:rPr>
        <w:t xml:space="preserve"> 之后到达本公司的邮件将不再受理</w:t>
      </w:r>
      <w:r>
        <w:rPr>
          <w:rFonts w:hint="eastAsia"/>
          <w:color w:val="auto"/>
          <w:spacing w:val="-1"/>
          <w:highlight w:val="none"/>
          <w:lang w:eastAsia="zh-CN"/>
        </w:rPr>
        <w:t>）。</w:t>
      </w:r>
    </w:p>
    <w:p w14:paraId="10B7F27B">
      <w:pPr>
        <w:pBdr>
          <w:top w:val="none" w:color="000000" w:sz="0" w:space="0"/>
          <w:left w:val="none" w:color="000000" w:sz="0" w:space="0"/>
          <w:bottom w:val="none" w:color="000000" w:sz="0" w:space="0"/>
          <w:right w:val="none" w:color="000000" w:sz="0" w:space="0"/>
        </w:pBdr>
        <w:spacing w:after="0" w:line="720" w:lineRule="atLeast"/>
        <w:jc w:val="center"/>
        <w:outlineLvl w:val="0"/>
        <w:rPr>
          <w:rFonts w:ascii="Times New Roman" w:hAnsi="Times New Roman"/>
          <w:b/>
          <w:sz w:val="30"/>
          <w:highlight w:val="none"/>
          <w:lang w:eastAsia="zh-CN"/>
        </w:rPr>
      </w:pPr>
      <w:r>
        <w:rPr>
          <w:rFonts w:ascii="Times New Roman" w:hAnsi="Times New Roman"/>
          <w:b/>
          <w:sz w:val="30"/>
          <w:highlight w:val="none"/>
          <w:lang w:eastAsia="zh-CN"/>
        </w:rPr>
        <w:t>采购需求</w:t>
      </w:r>
    </w:p>
    <w:p w14:paraId="434A9952">
      <w:pPr>
        <w:pStyle w:val="2"/>
        <w:rPr>
          <w:lang w:eastAsia="zh-CN"/>
        </w:rPr>
      </w:pPr>
    </w:p>
    <w:p w14:paraId="15B91136">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一、采购项目预算金额</w:t>
      </w:r>
    </w:p>
    <w:p w14:paraId="7623509A">
      <w:pPr>
        <w:widowControl/>
        <w:spacing w:line="360" w:lineRule="auto"/>
        <w:ind w:firstLine="440" w:firstLineChars="200"/>
        <w:jc w:val="left"/>
        <w:rPr>
          <w:rFonts w:ascii="宋体" w:hAnsi="宋体" w:cs="宋体"/>
          <w:bCs/>
          <w:kern w:val="0"/>
          <w:szCs w:val="24"/>
          <w:highlight w:val="none"/>
        </w:rPr>
      </w:pPr>
      <w:r>
        <w:rPr>
          <w:rFonts w:hint="eastAsia" w:ascii="宋体" w:hAnsi="宋体" w:cs="宋体"/>
          <w:bCs/>
          <w:kern w:val="0"/>
          <w:szCs w:val="24"/>
          <w:highlight w:val="none"/>
        </w:rPr>
        <w:t>本项目不接受超过</w:t>
      </w:r>
      <w:r>
        <w:rPr>
          <w:rFonts w:hint="eastAsia" w:ascii="宋体" w:hAnsi="宋体" w:cs="宋体"/>
          <w:bCs/>
          <w:kern w:val="0"/>
          <w:szCs w:val="24"/>
          <w:highlight w:val="none"/>
          <w:lang w:val="en-US" w:eastAsia="zh-CN"/>
        </w:rPr>
        <w:t>120</w:t>
      </w:r>
      <w:r>
        <w:rPr>
          <w:rFonts w:hint="eastAsia" w:ascii="宋体" w:hAnsi="宋体" w:cs="宋体"/>
          <w:bCs/>
          <w:kern w:val="0"/>
          <w:szCs w:val="24"/>
          <w:highlight w:val="none"/>
        </w:rPr>
        <w:t>万元人民币（采购项目预算金额）的投标报价。采购人不再支付报价以外的任何费用。</w:t>
      </w:r>
    </w:p>
    <w:p w14:paraId="1C50C109">
      <w:pPr>
        <w:widowControl/>
        <w:spacing w:line="360" w:lineRule="auto"/>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二、项目概况</w:t>
      </w:r>
    </w:p>
    <w:p w14:paraId="5CE12C88">
      <w:pPr>
        <w:widowControl/>
        <w:spacing w:line="360" w:lineRule="auto"/>
        <w:ind w:firstLine="440" w:firstLineChars="200"/>
        <w:jc w:val="left"/>
        <w:rPr>
          <w:rFonts w:hint="eastAsia" w:ascii="宋体" w:hAnsi="宋体" w:eastAsia="宋体" w:cs="宋体"/>
          <w:bCs/>
          <w:kern w:val="0"/>
          <w:szCs w:val="24"/>
          <w:highlight w:val="none"/>
          <w:lang w:eastAsia="zh-CN"/>
        </w:rPr>
      </w:pPr>
      <w:r>
        <w:rPr>
          <w:rFonts w:hint="eastAsia" w:ascii="宋体" w:hAnsi="宋体" w:eastAsia="宋体" w:cs="宋体"/>
          <w:bCs/>
          <w:kern w:val="0"/>
          <w:szCs w:val="24"/>
          <w:highlight w:val="none"/>
        </w:rPr>
        <w:t>1.项目名称：</w:t>
      </w:r>
      <w:r>
        <w:rPr>
          <w:rFonts w:hint="eastAsia" w:ascii="宋体" w:hAnsi="宋体" w:eastAsia="宋体" w:cs="宋体"/>
          <w:bCs/>
          <w:kern w:val="0"/>
          <w:szCs w:val="24"/>
          <w:highlight w:val="none"/>
          <w:lang w:eastAsia="zh-CN"/>
        </w:rPr>
        <w:t>2025年泉山区徐商路、故黄河段绿地养护项目</w:t>
      </w:r>
    </w:p>
    <w:p w14:paraId="514F99D2">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2、项目服务地点及范围：徐州市</w:t>
      </w:r>
      <w:r>
        <w:rPr>
          <w:rFonts w:hint="eastAsia" w:ascii="宋体" w:hAnsi="宋体" w:eastAsia="宋体" w:cs="宋体"/>
          <w:bCs/>
          <w:kern w:val="0"/>
          <w:szCs w:val="24"/>
          <w:highlight w:val="none"/>
          <w:lang w:eastAsia="zh-CN"/>
        </w:rPr>
        <w:t>泉山</w:t>
      </w:r>
      <w:r>
        <w:rPr>
          <w:rFonts w:hint="eastAsia" w:ascii="宋体" w:hAnsi="宋体" w:eastAsia="宋体" w:cs="宋体"/>
          <w:bCs/>
          <w:kern w:val="0"/>
          <w:szCs w:val="24"/>
          <w:highlight w:val="none"/>
          <w:lang w:val="en-US" w:eastAsia="zh-CN"/>
        </w:rPr>
        <w:t>区</w:t>
      </w:r>
    </w:p>
    <w:p w14:paraId="6165E71A">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lang w:val="en-US" w:eastAsia="zh-CN"/>
        </w:rPr>
        <w:t>3</w:t>
      </w:r>
      <w:r>
        <w:rPr>
          <w:rFonts w:hint="eastAsia" w:ascii="宋体" w:hAnsi="宋体" w:eastAsia="宋体" w:cs="宋体"/>
          <w:bCs/>
          <w:kern w:val="0"/>
          <w:szCs w:val="24"/>
          <w:highlight w:val="none"/>
        </w:rPr>
        <w:t>、项目服务期限：1年。</w:t>
      </w:r>
    </w:p>
    <w:p w14:paraId="0ED9F5F8">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4、养护内容：</w:t>
      </w:r>
    </w:p>
    <w:p w14:paraId="53DE72A1">
      <w:pPr>
        <w:widowControl/>
        <w:spacing w:line="360" w:lineRule="auto"/>
        <w:ind w:firstLine="440" w:firstLineChars="200"/>
        <w:jc w:val="left"/>
        <w:rPr>
          <w:rFonts w:hint="default"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包括但不限于修剪、除草、施肥、浇水、抹芽、除萌、病虫害防治、草坪修剪、苗木补植、防寒、防涝、防旱、防火、卫生保洁、秩序管理、设施设备维修保养、垃圾清理清运等。</w:t>
      </w:r>
    </w:p>
    <w:p w14:paraId="346F0DCA">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5、项目养护范围及面积：</w:t>
      </w:r>
    </w:p>
    <w:tbl>
      <w:tblPr>
        <w:tblStyle w:val="19"/>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577"/>
        <w:gridCol w:w="2412"/>
        <w:gridCol w:w="1300"/>
        <w:gridCol w:w="1066"/>
        <w:gridCol w:w="1600"/>
        <w:gridCol w:w="1384"/>
      </w:tblGrid>
      <w:tr w14:paraId="31BB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96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B04E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2025年-2026年徐商路、故黄河绿地养护项目</w:t>
            </w:r>
          </w:p>
        </w:tc>
      </w:tr>
      <w:tr w14:paraId="14A5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96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E364">
            <w:pPr>
              <w:jc w:val="center"/>
              <w:rPr>
                <w:rFonts w:hint="eastAsia" w:ascii="宋体" w:hAnsi="宋体" w:eastAsia="宋体" w:cs="宋体"/>
                <w:b/>
                <w:bCs/>
                <w:i w:val="0"/>
                <w:iCs w:val="0"/>
                <w:color w:val="000000"/>
                <w:sz w:val="40"/>
                <w:szCs w:val="40"/>
                <w:u w:val="none"/>
              </w:rPr>
            </w:pPr>
          </w:p>
        </w:tc>
      </w:tr>
      <w:tr w14:paraId="6F2A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578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BD1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463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养护地点</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4E8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绿地情况</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6A2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DF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养护标准</w:t>
            </w:r>
          </w:p>
        </w:tc>
      </w:tr>
      <w:tr w14:paraId="0A19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BD7D">
            <w:pPr>
              <w:jc w:val="center"/>
              <w:rPr>
                <w:rFonts w:hint="eastAsia" w:ascii="宋体" w:hAnsi="宋体" w:eastAsia="宋体" w:cs="宋体"/>
                <w:b/>
                <w:bCs/>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47D5">
            <w:pPr>
              <w:jc w:val="center"/>
              <w:rPr>
                <w:rFonts w:hint="eastAsia" w:ascii="宋体" w:hAnsi="宋体" w:eastAsia="宋体" w:cs="宋体"/>
                <w:b/>
                <w:bCs/>
                <w:i w:val="0"/>
                <w:iCs w:val="0"/>
                <w:color w:val="000000"/>
                <w:sz w:val="24"/>
                <w:szCs w:val="24"/>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70B9">
            <w:pPr>
              <w:jc w:val="center"/>
              <w:rPr>
                <w:rFonts w:hint="eastAsia" w:ascii="宋体" w:hAnsi="宋体" w:eastAsia="宋体" w:cs="宋体"/>
                <w:b/>
                <w:bCs/>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4F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绿地面积（㎡）</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46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行道树（株）</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E3F68">
            <w:pPr>
              <w:jc w:val="center"/>
              <w:rPr>
                <w:rFonts w:hint="eastAsia" w:ascii="宋体" w:hAnsi="宋体" w:eastAsia="宋体" w:cs="宋体"/>
                <w:b/>
                <w:bCs/>
                <w:i w:val="0"/>
                <w:iCs w:val="0"/>
                <w:color w:val="000000"/>
                <w:sz w:val="24"/>
                <w:szCs w:val="24"/>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F908">
            <w:pPr>
              <w:jc w:val="center"/>
              <w:rPr>
                <w:rFonts w:hint="eastAsia" w:ascii="宋体" w:hAnsi="宋体" w:eastAsia="宋体" w:cs="宋体"/>
                <w:b/>
                <w:bCs/>
                <w:i w:val="0"/>
                <w:iCs w:val="0"/>
                <w:color w:val="000000"/>
                <w:sz w:val="21"/>
                <w:szCs w:val="21"/>
                <w:u w:val="none"/>
              </w:rPr>
            </w:pPr>
          </w:p>
        </w:tc>
      </w:tr>
      <w:tr w14:paraId="6D42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DF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六标</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D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徐商路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D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E6429">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9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包括行道树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B6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0A9D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D5E78">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7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9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纵五路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6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4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F974">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8B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3E90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F5B6">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3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7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故黄河滨河绿化</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49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43458</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F3D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DE4D">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84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7066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48BB">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E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A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华美风景园门前绿地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6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443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27F4">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04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2C4A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BFF6B">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C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7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新河南村</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8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A99A9">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3A6">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CC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1194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A25B4">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8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2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自立路（支11路）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9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6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FA3F">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28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786D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0E98B">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6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西区热电厂地块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1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6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9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包括杏花路、雅居路、段庄街</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27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637E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33E96">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8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7B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新淮海西路二期绿化（雨润段）</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5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07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434E1">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15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08C3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77C56">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8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4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韩山公园</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E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42537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28BB">
            <w:pPr>
              <w:jc w:val="center"/>
              <w:rPr>
                <w:rFonts w:hint="eastAsia" w:ascii="宋体" w:hAnsi="宋体" w:eastAsia="宋体" w:cs="宋体"/>
                <w:b/>
                <w:bCs/>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D766">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D7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一级乙类</w:t>
            </w:r>
          </w:p>
        </w:tc>
      </w:tr>
      <w:tr w14:paraId="2076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C2E27">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9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8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泉润公园环湖路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7578">
            <w:pPr>
              <w:jc w:val="center"/>
              <w:rPr>
                <w:rFonts w:hint="eastAsia" w:ascii="宋体" w:hAnsi="宋体" w:eastAsia="宋体" w:cs="宋体"/>
                <w:i w:val="0"/>
                <w:iCs w:val="0"/>
                <w:color w:val="4F81BD"/>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2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D5A8">
            <w:pPr>
              <w:jc w:val="center"/>
              <w:rPr>
                <w:rFonts w:hint="eastAsia" w:ascii="宋体" w:hAnsi="宋体" w:eastAsia="宋体" w:cs="宋体"/>
                <w:i w:val="0"/>
                <w:iCs w:val="0"/>
                <w:color w:val="4F81BD"/>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FE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268A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B5248">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7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E7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卧牛山路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8CB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924</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25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333</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FD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乌桕</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FA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二级养护</w:t>
            </w:r>
          </w:p>
        </w:tc>
      </w:tr>
      <w:tr w14:paraId="70AF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ED41">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C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F0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杏山子大道</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2B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5636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15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773</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5981">
            <w:pPr>
              <w:jc w:val="center"/>
              <w:rPr>
                <w:rFonts w:hint="eastAsia" w:ascii="宋体" w:hAnsi="宋体" w:eastAsia="宋体" w:cs="宋体"/>
                <w:i w:val="0"/>
                <w:iCs w:val="0"/>
                <w:color w:val="auto"/>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41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二级养护</w:t>
            </w:r>
          </w:p>
        </w:tc>
      </w:tr>
      <w:tr w14:paraId="233A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5348B">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9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0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南三环路地铁站（2号口）</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A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E2B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6E28">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0F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2799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1BA22">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E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F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周庄路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D23D">
            <w:pPr>
              <w:jc w:val="center"/>
              <w:rPr>
                <w:rFonts w:hint="eastAsia" w:ascii="宋体" w:hAnsi="宋体" w:eastAsia="宋体" w:cs="宋体"/>
                <w:i w:val="0"/>
                <w:iCs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7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2F3B9">
            <w:pPr>
              <w:jc w:val="center"/>
              <w:rPr>
                <w:rFonts w:hint="eastAsia" w:ascii="宋体" w:hAnsi="宋体" w:eastAsia="宋体" w:cs="宋体"/>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AA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6BCF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7513">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D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D8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展览馆小游园</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4C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D367">
            <w:pPr>
              <w:jc w:val="center"/>
              <w:rPr>
                <w:rFonts w:hint="eastAsia" w:ascii="宋体" w:hAnsi="宋体" w:eastAsia="宋体" w:cs="宋体"/>
                <w:i w:val="0"/>
                <w:iCs w:val="0"/>
                <w:color w:val="auto"/>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E523">
            <w:pPr>
              <w:jc w:val="center"/>
              <w:rPr>
                <w:rFonts w:hint="eastAsia" w:ascii="宋体" w:hAnsi="宋体" w:eastAsia="宋体" w:cs="宋体"/>
                <w:i w:val="0"/>
                <w:iCs w:val="0"/>
                <w:color w:val="FF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2B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22AD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1A075">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E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5BE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雁山路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B8FC">
            <w:pPr>
              <w:jc w:val="center"/>
              <w:rPr>
                <w:rFonts w:hint="eastAsia" w:ascii="宋体" w:hAnsi="宋体" w:eastAsia="宋体" w:cs="宋体"/>
                <w:i w:val="0"/>
                <w:iCs w:val="0"/>
                <w:color w:val="auto"/>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23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925C">
            <w:pPr>
              <w:jc w:val="center"/>
              <w:rPr>
                <w:rFonts w:hint="eastAsia" w:ascii="宋体" w:hAnsi="宋体" w:eastAsia="宋体" w:cs="宋体"/>
                <w:i w:val="0"/>
                <w:iCs w:val="0"/>
                <w:color w:val="FF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DC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2576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5233">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D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CA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金山新村小游园</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77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E4D39">
            <w:pPr>
              <w:jc w:val="center"/>
              <w:rPr>
                <w:rFonts w:hint="eastAsia" w:ascii="宋体" w:hAnsi="宋体" w:eastAsia="宋体" w:cs="宋体"/>
                <w:i w:val="0"/>
                <w:iCs w:val="0"/>
                <w:color w:val="auto"/>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29FAD">
            <w:pPr>
              <w:jc w:val="center"/>
              <w:rPr>
                <w:rFonts w:hint="eastAsia" w:ascii="宋体" w:hAnsi="宋体" w:eastAsia="宋体" w:cs="宋体"/>
                <w:i w:val="0"/>
                <w:iCs w:val="0"/>
                <w:color w:val="FF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84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二级养护</w:t>
            </w:r>
          </w:p>
        </w:tc>
      </w:tr>
      <w:tr w14:paraId="77C3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5D121">
            <w:pPr>
              <w:jc w:val="center"/>
              <w:rPr>
                <w:rFonts w:hint="eastAsia" w:ascii="宋体" w:hAnsi="宋体" w:eastAsia="宋体" w:cs="宋体"/>
                <w:i w:val="0"/>
                <w:iCs w:val="0"/>
                <w:color w:val="000000"/>
                <w:sz w:val="24"/>
                <w:szCs w:val="24"/>
                <w:u w:val="none"/>
              </w:rPr>
            </w:pP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7E812E2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shd w:val="clear" w:color="FFFFFF" w:fill="D9D9D9"/>
                <w:lang w:val="en-US" w:eastAsia="zh-CN" w:bidi="ar"/>
              </w:rPr>
            </w:pPr>
            <w:r>
              <w:rPr>
                <w:rFonts w:hint="eastAsia" w:ascii="宋体" w:hAnsi="宋体" w:eastAsia="宋体" w:cs="宋体"/>
                <w:i w:val="0"/>
                <w:iCs w:val="0"/>
                <w:color w:val="auto"/>
                <w:kern w:val="0"/>
                <w:sz w:val="24"/>
                <w:szCs w:val="24"/>
                <w:u w:val="none"/>
                <w:shd w:val="clear" w:color="FFFFFF" w:fill="D9D9D9"/>
                <w:lang w:val="en-US" w:eastAsia="zh-CN" w:bidi="ar"/>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A33867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shd w:val="clear" w:color="FFFFFF" w:fill="D9D9D9"/>
                <w:lang w:val="en-US" w:eastAsia="zh-CN" w:bidi="ar"/>
              </w:rPr>
            </w:pPr>
            <w:r>
              <w:rPr>
                <w:rFonts w:hint="eastAsia" w:ascii="宋体" w:hAnsi="宋体" w:eastAsia="宋体" w:cs="宋体"/>
                <w:i w:val="0"/>
                <w:iCs w:val="0"/>
                <w:color w:val="auto"/>
                <w:kern w:val="0"/>
                <w:sz w:val="24"/>
                <w:szCs w:val="24"/>
                <w:u w:val="none"/>
                <w:shd w:val="clear" w:color="FFFFFF" w:fill="D9D9D9"/>
                <w:lang w:val="en-US" w:eastAsia="zh-CN" w:bidi="ar"/>
              </w:rPr>
              <w:t>182417</w:t>
            </w:r>
          </w:p>
        </w:tc>
        <w:tc>
          <w:tcPr>
            <w:tcW w:w="106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86D6AB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shd w:val="clear" w:color="FFFFFF" w:fill="D9D9D9"/>
                <w:lang w:val="en-US" w:eastAsia="zh-CN" w:bidi="ar"/>
              </w:rPr>
            </w:pPr>
            <w:r>
              <w:rPr>
                <w:rFonts w:hint="eastAsia" w:ascii="宋体" w:hAnsi="宋体" w:eastAsia="宋体" w:cs="宋体"/>
                <w:i w:val="0"/>
                <w:iCs w:val="0"/>
                <w:color w:val="auto"/>
                <w:kern w:val="0"/>
                <w:sz w:val="24"/>
                <w:szCs w:val="24"/>
                <w:u w:val="none"/>
                <w:shd w:val="clear" w:color="FFFFFF" w:fill="D9D9D9"/>
                <w:lang w:val="en-US" w:eastAsia="zh-CN" w:bidi="ar"/>
              </w:rPr>
              <w:t>2382</w:t>
            </w:r>
          </w:p>
        </w:tc>
        <w:tc>
          <w:tcPr>
            <w:tcW w:w="160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B7B4A6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shd w:val="clear" w:color="FFFFFF" w:fill="D9D9D9"/>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62B41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shd w:val="clear" w:color="FFFFFF" w:fill="D9D9D9"/>
                <w:lang w:val="en-US" w:eastAsia="zh-CN" w:bidi="ar"/>
              </w:rPr>
            </w:pPr>
          </w:p>
        </w:tc>
      </w:tr>
    </w:tbl>
    <w:p w14:paraId="32C4B957">
      <w:pPr>
        <w:pStyle w:val="26"/>
        <w:keepNext w:val="0"/>
        <w:keepLines w:val="0"/>
        <w:pageBreakBefore w:val="0"/>
        <w:widowControl w:val="0"/>
        <w:spacing w:line="360" w:lineRule="auto"/>
        <w:jc w:val="left"/>
        <w:rPr>
          <w:rFonts w:hint="eastAsia" w:ascii="宋体" w:hAnsi="宋体" w:eastAsia="宋体" w:cs="宋体"/>
          <w:b/>
          <w:color w:val="auto"/>
          <w:sz w:val="21"/>
          <w:szCs w:val="21"/>
          <w:highlight w:val="none"/>
        </w:rPr>
      </w:pPr>
    </w:p>
    <w:p w14:paraId="1992DA2E">
      <w:pPr>
        <w:widowControl/>
        <w:spacing w:line="360" w:lineRule="auto"/>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lang w:val="en-US" w:eastAsia="zh-CN"/>
        </w:rPr>
        <w:t>三</w:t>
      </w:r>
      <w:r>
        <w:rPr>
          <w:rFonts w:hint="eastAsia" w:ascii="宋体" w:hAnsi="宋体" w:eastAsia="宋体" w:cs="宋体"/>
          <w:bCs/>
          <w:kern w:val="0"/>
          <w:szCs w:val="24"/>
          <w:highlight w:val="none"/>
        </w:rPr>
        <w:t>、工作人员配备要求</w:t>
      </w:r>
      <w:r>
        <w:rPr>
          <w:rFonts w:hint="eastAsia" w:ascii="宋体" w:hAnsi="宋体" w:eastAsia="宋体" w:cs="宋体"/>
          <w:bCs/>
          <w:kern w:val="0"/>
          <w:szCs w:val="24"/>
          <w:highlight w:val="none"/>
          <w:lang w:val="en-US" w:eastAsia="zh-CN"/>
        </w:rPr>
        <w:t>（本条为实质性响应指标，如有任何一项不满足或负偏离则视为无效投标。）</w:t>
      </w:r>
    </w:p>
    <w:p w14:paraId="0D2C613E">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1、人数要求（以下人数为最低标准，投标人可根据自身情况增加）</w:t>
      </w:r>
    </w:p>
    <w:tbl>
      <w:tblPr>
        <w:tblStyle w:val="19"/>
        <w:tblW w:w="87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725"/>
        <w:gridCol w:w="2165"/>
        <w:gridCol w:w="3270"/>
      </w:tblGrid>
      <w:tr w14:paraId="10D1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39" w:type="dxa"/>
            <w:vMerge w:val="restart"/>
            <w:vAlign w:val="center"/>
          </w:tcPr>
          <w:p w14:paraId="6412EEAF">
            <w:pPr>
              <w:widowControl/>
              <w:spacing w:line="360" w:lineRule="auto"/>
              <w:ind w:firstLine="440" w:firstLineChars="200"/>
              <w:jc w:val="left"/>
              <w:rPr>
                <w:rFonts w:hint="eastAsia" w:ascii="宋体" w:hAnsi="宋体" w:eastAsia="宋体" w:cs="宋体"/>
                <w:bCs/>
                <w:kern w:val="0"/>
                <w:szCs w:val="24"/>
                <w:highlight w:val="none"/>
                <w:lang w:eastAsia="zh-CN"/>
              </w:rPr>
            </w:pPr>
            <w:r>
              <w:rPr>
                <w:rFonts w:hint="eastAsia" w:ascii="宋体" w:hAnsi="宋体" w:eastAsia="宋体" w:cs="宋体"/>
                <w:bCs/>
                <w:kern w:val="0"/>
                <w:szCs w:val="24"/>
                <w:highlight w:val="none"/>
              </w:rPr>
              <w:t>项目</w:t>
            </w:r>
          </w:p>
          <w:p w14:paraId="00B052FD">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负责人</w:t>
            </w:r>
          </w:p>
        </w:tc>
        <w:tc>
          <w:tcPr>
            <w:tcW w:w="1725" w:type="dxa"/>
            <w:vMerge w:val="restart"/>
            <w:vAlign w:val="center"/>
          </w:tcPr>
          <w:p w14:paraId="3EC0DA09">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现场</w:t>
            </w:r>
          </w:p>
          <w:p w14:paraId="04AB121E">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负责人</w:t>
            </w:r>
          </w:p>
        </w:tc>
        <w:tc>
          <w:tcPr>
            <w:tcW w:w="5435" w:type="dxa"/>
            <w:gridSpan w:val="2"/>
            <w:vAlign w:val="center"/>
          </w:tcPr>
          <w:p w14:paraId="75682DDE">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现场工作人员最低人数</w:t>
            </w:r>
          </w:p>
        </w:tc>
      </w:tr>
      <w:tr w14:paraId="2371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39" w:type="dxa"/>
            <w:vMerge w:val="continue"/>
            <w:vAlign w:val="center"/>
          </w:tcPr>
          <w:p w14:paraId="3A25BEF8">
            <w:pPr>
              <w:widowControl/>
              <w:spacing w:line="360" w:lineRule="auto"/>
              <w:ind w:firstLine="440" w:firstLineChars="200"/>
              <w:jc w:val="left"/>
              <w:rPr>
                <w:rFonts w:hint="eastAsia" w:ascii="宋体" w:hAnsi="宋体" w:eastAsia="宋体" w:cs="宋体"/>
                <w:bCs/>
                <w:kern w:val="0"/>
                <w:szCs w:val="24"/>
                <w:highlight w:val="none"/>
              </w:rPr>
            </w:pPr>
          </w:p>
        </w:tc>
        <w:tc>
          <w:tcPr>
            <w:tcW w:w="1725" w:type="dxa"/>
            <w:vMerge w:val="continue"/>
            <w:vAlign w:val="center"/>
          </w:tcPr>
          <w:p w14:paraId="011EB029">
            <w:pPr>
              <w:widowControl/>
              <w:spacing w:line="360" w:lineRule="auto"/>
              <w:ind w:firstLine="440" w:firstLineChars="200"/>
              <w:jc w:val="left"/>
              <w:rPr>
                <w:rFonts w:hint="eastAsia" w:ascii="宋体" w:hAnsi="宋体" w:eastAsia="宋体" w:cs="宋体"/>
                <w:bCs/>
                <w:kern w:val="0"/>
                <w:szCs w:val="24"/>
                <w:highlight w:val="none"/>
              </w:rPr>
            </w:pPr>
          </w:p>
        </w:tc>
        <w:tc>
          <w:tcPr>
            <w:tcW w:w="2165" w:type="dxa"/>
            <w:vAlign w:val="center"/>
          </w:tcPr>
          <w:p w14:paraId="4426A428">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总人数</w:t>
            </w:r>
          </w:p>
        </w:tc>
        <w:tc>
          <w:tcPr>
            <w:tcW w:w="3270" w:type="dxa"/>
            <w:vAlign w:val="center"/>
          </w:tcPr>
          <w:p w14:paraId="06A38295">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专职园林园艺修剪人数</w:t>
            </w:r>
          </w:p>
        </w:tc>
      </w:tr>
      <w:tr w14:paraId="07B0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639" w:type="dxa"/>
            <w:vAlign w:val="center"/>
          </w:tcPr>
          <w:p w14:paraId="744840E6">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1人</w:t>
            </w:r>
          </w:p>
        </w:tc>
        <w:tc>
          <w:tcPr>
            <w:tcW w:w="1725" w:type="dxa"/>
            <w:vAlign w:val="center"/>
          </w:tcPr>
          <w:p w14:paraId="66A24800">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2人</w:t>
            </w:r>
          </w:p>
        </w:tc>
        <w:tc>
          <w:tcPr>
            <w:tcW w:w="2165" w:type="dxa"/>
            <w:vAlign w:val="center"/>
          </w:tcPr>
          <w:p w14:paraId="510BD327">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lang w:val="en-US" w:eastAsia="zh-CN"/>
              </w:rPr>
              <w:t>33人</w:t>
            </w:r>
          </w:p>
        </w:tc>
        <w:tc>
          <w:tcPr>
            <w:tcW w:w="3270" w:type="dxa"/>
            <w:vAlign w:val="center"/>
          </w:tcPr>
          <w:p w14:paraId="70128CEE">
            <w:pPr>
              <w:widowControl/>
              <w:spacing w:line="360" w:lineRule="auto"/>
              <w:ind w:firstLine="440" w:firstLineChars="200"/>
              <w:jc w:val="left"/>
              <w:rPr>
                <w:rFonts w:hint="eastAsia" w:ascii="宋体" w:hAnsi="宋体" w:eastAsia="宋体" w:cs="宋体"/>
                <w:bCs/>
                <w:kern w:val="0"/>
                <w:szCs w:val="24"/>
                <w:highlight w:val="none"/>
              </w:rPr>
            </w:pPr>
            <w:r>
              <w:rPr>
                <w:rFonts w:hint="eastAsia" w:ascii="宋体" w:hAnsi="宋体" w:eastAsia="宋体" w:cs="宋体"/>
                <w:bCs/>
                <w:kern w:val="0"/>
                <w:szCs w:val="24"/>
                <w:highlight w:val="none"/>
              </w:rPr>
              <w:t>不少于10人</w:t>
            </w:r>
          </w:p>
        </w:tc>
      </w:tr>
    </w:tbl>
    <w:p w14:paraId="56ABCE1B">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拟派项目负责人须具备园林绿化类专业中级职称及以上（如职称证书反映不出园林绿化专业则必须提供园林绿化专业毕业证书或者职称评审表），且以上证书聘用企业必须为投标人，投标文件中必须提供项目负责人的证书复印件，中标后提供原件核查，未提供作废标处理。项目总负责人在项目履约过程中，不得同时担任其他任何项目的项目负责人，且项目总负责人不得随意更换。</w:t>
      </w:r>
    </w:p>
    <w:p w14:paraId="498BEBF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3.统一工作服装。</w:t>
      </w:r>
    </w:p>
    <w:p w14:paraId="36A601F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4.提供24小时应急服务，附近应有固定办公地点、值班人员及联系电话。</w:t>
      </w:r>
    </w:p>
    <w:p w14:paraId="185B81D7">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四、养护管理机械机具设备配置要求（以下数量为最低标准，投标人可根据自身情况增加）</w:t>
      </w:r>
    </w:p>
    <w:tbl>
      <w:tblPr>
        <w:tblStyle w:val="19"/>
        <w:tblW w:w="9717" w:type="dxa"/>
        <w:jc w:val="center"/>
        <w:tblLayout w:type="fixed"/>
        <w:tblCellMar>
          <w:top w:w="0" w:type="dxa"/>
          <w:left w:w="108" w:type="dxa"/>
          <w:bottom w:w="0" w:type="dxa"/>
          <w:right w:w="108" w:type="dxa"/>
        </w:tblCellMar>
      </w:tblPr>
      <w:tblGrid>
        <w:gridCol w:w="1471"/>
        <w:gridCol w:w="1063"/>
        <w:gridCol w:w="764"/>
        <w:gridCol w:w="845"/>
        <w:gridCol w:w="900"/>
        <w:gridCol w:w="668"/>
        <w:gridCol w:w="567"/>
        <w:gridCol w:w="1134"/>
        <w:gridCol w:w="992"/>
        <w:gridCol w:w="1313"/>
      </w:tblGrid>
      <w:tr w14:paraId="08244B57">
        <w:tblPrEx>
          <w:tblCellMar>
            <w:top w:w="0" w:type="dxa"/>
            <w:left w:w="108" w:type="dxa"/>
            <w:bottom w:w="0" w:type="dxa"/>
            <w:right w:w="108" w:type="dxa"/>
          </w:tblCellMar>
        </w:tblPrEx>
        <w:trPr>
          <w:trHeight w:val="866" w:hRule="atLeast"/>
          <w:jc w:val="center"/>
        </w:trPr>
        <w:tc>
          <w:tcPr>
            <w:tcW w:w="6278" w:type="dxa"/>
            <w:gridSpan w:val="7"/>
            <w:tcBorders>
              <w:top w:val="single" w:color="auto" w:sz="4" w:space="0"/>
              <w:left w:val="single" w:color="auto" w:sz="4" w:space="0"/>
              <w:bottom w:val="single" w:color="auto" w:sz="4" w:space="0"/>
              <w:right w:val="single" w:color="auto" w:sz="4" w:space="0"/>
            </w:tcBorders>
            <w:vAlign w:val="center"/>
          </w:tcPr>
          <w:p w14:paraId="435B6DB5">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绿地养护设备（辆或台）</w:t>
            </w:r>
          </w:p>
        </w:tc>
        <w:tc>
          <w:tcPr>
            <w:tcW w:w="1134" w:type="dxa"/>
            <w:tcBorders>
              <w:top w:val="single" w:color="auto" w:sz="4" w:space="0"/>
              <w:left w:val="single" w:color="auto" w:sz="4" w:space="0"/>
              <w:bottom w:val="single" w:color="auto" w:sz="4" w:space="0"/>
              <w:right w:val="single" w:color="auto" w:sz="4" w:space="0"/>
            </w:tcBorders>
            <w:vAlign w:val="center"/>
          </w:tcPr>
          <w:p w14:paraId="3C4CBA12">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树枝叶粉碎设备（台）</w:t>
            </w:r>
          </w:p>
        </w:tc>
        <w:tc>
          <w:tcPr>
            <w:tcW w:w="992" w:type="dxa"/>
            <w:tcBorders>
              <w:top w:val="single" w:color="auto" w:sz="4" w:space="0"/>
              <w:left w:val="nil"/>
              <w:bottom w:val="single" w:color="auto" w:sz="4" w:space="0"/>
              <w:right w:val="single" w:color="auto" w:sz="4" w:space="0"/>
            </w:tcBorders>
            <w:vAlign w:val="center"/>
          </w:tcPr>
          <w:p w14:paraId="58F97E3A">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保洁设备（辆）</w:t>
            </w:r>
          </w:p>
        </w:tc>
        <w:tc>
          <w:tcPr>
            <w:tcW w:w="1313" w:type="dxa"/>
            <w:tcBorders>
              <w:top w:val="single" w:color="auto" w:sz="4" w:space="0"/>
              <w:left w:val="nil"/>
              <w:bottom w:val="single" w:color="auto" w:sz="4" w:space="0"/>
              <w:right w:val="single" w:color="auto" w:sz="4" w:space="0"/>
            </w:tcBorders>
            <w:vAlign w:val="center"/>
          </w:tcPr>
          <w:p w14:paraId="529CD897">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数字化城管案件办理（部）</w:t>
            </w:r>
          </w:p>
        </w:tc>
      </w:tr>
      <w:tr w14:paraId="3115E165">
        <w:tblPrEx>
          <w:tblCellMar>
            <w:top w:w="0" w:type="dxa"/>
            <w:left w:w="108" w:type="dxa"/>
            <w:bottom w:w="0" w:type="dxa"/>
            <w:right w:w="108" w:type="dxa"/>
          </w:tblCellMar>
        </w:tblPrEx>
        <w:trPr>
          <w:trHeight w:val="1767" w:hRule="atLeast"/>
          <w:jc w:val="center"/>
        </w:trPr>
        <w:tc>
          <w:tcPr>
            <w:tcW w:w="1471" w:type="dxa"/>
            <w:tcBorders>
              <w:top w:val="nil"/>
              <w:left w:val="single" w:color="auto" w:sz="4" w:space="0"/>
              <w:bottom w:val="single" w:color="auto" w:sz="4" w:space="0"/>
              <w:right w:val="single" w:color="auto" w:sz="4" w:space="0"/>
            </w:tcBorders>
            <w:vAlign w:val="center"/>
          </w:tcPr>
          <w:p w14:paraId="4CDBB611">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水车</w:t>
            </w:r>
          </w:p>
          <w:p w14:paraId="30315CDA">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（5吨以上）</w:t>
            </w:r>
          </w:p>
        </w:tc>
        <w:tc>
          <w:tcPr>
            <w:tcW w:w="1063" w:type="dxa"/>
            <w:tcBorders>
              <w:top w:val="nil"/>
              <w:left w:val="single" w:color="auto" w:sz="4" w:space="0"/>
              <w:bottom w:val="single" w:color="auto" w:sz="4" w:space="0"/>
              <w:right w:val="single" w:color="auto" w:sz="4" w:space="0"/>
            </w:tcBorders>
            <w:vAlign w:val="center"/>
          </w:tcPr>
          <w:p w14:paraId="6D3F7C34">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喷药设备</w:t>
            </w:r>
          </w:p>
        </w:tc>
        <w:tc>
          <w:tcPr>
            <w:tcW w:w="764" w:type="dxa"/>
            <w:tcBorders>
              <w:top w:val="nil"/>
              <w:left w:val="single" w:color="auto" w:sz="4" w:space="0"/>
              <w:bottom w:val="single" w:color="auto" w:sz="4" w:space="0"/>
              <w:right w:val="single" w:color="auto" w:sz="4" w:space="0"/>
            </w:tcBorders>
            <w:vAlign w:val="center"/>
          </w:tcPr>
          <w:p w14:paraId="423E9121">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水泵</w:t>
            </w:r>
          </w:p>
        </w:tc>
        <w:tc>
          <w:tcPr>
            <w:tcW w:w="845" w:type="dxa"/>
            <w:tcBorders>
              <w:top w:val="nil"/>
              <w:left w:val="single" w:color="auto" w:sz="4" w:space="0"/>
              <w:bottom w:val="single" w:color="auto" w:sz="4" w:space="0"/>
              <w:right w:val="single" w:color="auto" w:sz="4" w:space="0"/>
            </w:tcBorders>
            <w:vAlign w:val="center"/>
          </w:tcPr>
          <w:p w14:paraId="7C989871">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绿篱修剪机</w:t>
            </w:r>
          </w:p>
        </w:tc>
        <w:tc>
          <w:tcPr>
            <w:tcW w:w="900" w:type="dxa"/>
            <w:tcBorders>
              <w:top w:val="nil"/>
              <w:left w:val="single" w:color="auto" w:sz="4" w:space="0"/>
              <w:bottom w:val="single" w:color="auto" w:sz="4" w:space="0"/>
              <w:right w:val="single" w:color="auto" w:sz="4" w:space="0"/>
            </w:tcBorders>
            <w:vAlign w:val="center"/>
          </w:tcPr>
          <w:p w14:paraId="59842394">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草坪修剪机</w:t>
            </w:r>
          </w:p>
        </w:tc>
        <w:tc>
          <w:tcPr>
            <w:tcW w:w="668" w:type="dxa"/>
            <w:tcBorders>
              <w:top w:val="nil"/>
              <w:left w:val="single" w:color="auto" w:sz="4" w:space="0"/>
              <w:bottom w:val="single" w:color="auto" w:sz="4" w:space="0"/>
              <w:right w:val="single" w:color="auto" w:sz="4" w:space="0"/>
            </w:tcBorders>
            <w:vAlign w:val="center"/>
          </w:tcPr>
          <w:p w14:paraId="21F819E5">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割灌机</w:t>
            </w:r>
          </w:p>
        </w:tc>
        <w:tc>
          <w:tcPr>
            <w:tcW w:w="567" w:type="dxa"/>
            <w:tcBorders>
              <w:top w:val="nil"/>
              <w:left w:val="single" w:color="auto" w:sz="4" w:space="0"/>
              <w:bottom w:val="single" w:color="auto" w:sz="4" w:space="0"/>
              <w:right w:val="single" w:color="auto" w:sz="4" w:space="0"/>
            </w:tcBorders>
            <w:vAlign w:val="center"/>
          </w:tcPr>
          <w:p w14:paraId="2560A966">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疏草机</w:t>
            </w:r>
          </w:p>
        </w:tc>
        <w:tc>
          <w:tcPr>
            <w:tcW w:w="1134" w:type="dxa"/>
            <w:tcBorders>
              <w:top w:val="nil"/>
              <w:left w:val="single" w:color="auto" w:sz="4" w:space="0"/>
              <w:bottom w:val="single" w:color="auto" w:sz="4" w:space="0"/>
              <w:right w:val="single" w:color="auto" w:sz="4" w:space="0"/>
            </w:tcBorders>
            <w:vAlign w:val="center"/>
          </w:tcPr>
          <w:p w14:paraId="0E4E22BA">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可移动铡切揉碎机</w:t>
            </w:r>
          </w:p>
        </w:tc>
        <w:tc>
          <w:tcPr>
            <w:tcW w:w="992" w:type="dxa"/>
            <w:tcBorders>
              <w:top w:val="nil"/>
              <w:left w:val="single" w:color="auto" w:sz="4" w:space="0"/>
              <w:bottom w:val="single" w:color="000000" w:sz="4" w:space="0"/>
              <w:right w:val="single" w:color="auto" w:sz="4" w:space="0"/>
            </w:tcBorders>
            <w:vAlign w:val="center"/>
          </w:tcPr>
          <w:p w14:paraId="096B4FD6">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电动</w:t>
            </w:r>
          </w:p>
          <w:p w14:paraId="4580C8D3">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保洁车</w:t>
            </w:r>
          </w:p>
        </w:tc>
        <w:tc>
          <w:tcPr>
            <w:tcW w:w="1313" w:type="dxa"/>
            <w:tcBorders>
              <w:top w:val="nil"/>
              <w:left w:val="single" w:color="auto" w:sz="4" w:space="0"/>
              <w:bottom w:val="single" w:color="auto" w:sz="4" w:space="0"/>
              <w:right w:val="single" w:color="auto" w:sz="4" w:space="0"/>
            </w:tcBorders>
            <w:vAlign w:val="center"/>
          </w:tcPr>
          <w:p w14:paraId="44B4E896">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处置通</w:t>
            </w:r>
          </w:p>
        </w:tc>
      </w:tr>
      <w:tr w14:paraId="40BA1BCA">
        <w:tblPrEx>
          <w:tblCellMar>
            <w:top w:w="0" w:type="dxa"/>
            <w:left w:w="108" w:type="dxa"/>
            <w:bottom w:w="0" w:type="dxa"/>
            <w:right w:w="108" w:type="dxa"/>
          </w:tblCellMar>
        </w:tblPrEx>
        <w:trPr>
          <w:trHeight w:val="514" w:hRule="exact"/>
          <w:jc w:val="center"/>
        </w:trPr>
        <w:tc>
          <w:tcPr>
            <w:tcW w:w="1471" w:type="dxa"/>
            <w:tcBorders>
              <w:top w:val="single" w:color="auto" w:sz="4" w:space="0"/>
              <w:left w:val="single" w:color="auto" w:sz="4" w:space="0"/>
              <w:bottom w:val="single" w:color="auto" w:sz="4" w:space="0"/>
              <w:right w:val="single" w:color="auto" w:sz="4" w:space="0"/>
            </w:tcBorders>
            <w:vAlign w:val="bottom"/>
          </w:tcPr>
          <w:p w14:paraId="793D9446">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w:t>
            </w:r>
          </w:p>
        </w:tc>
        <w:tc>
          <w:tcPr>
            <w:tcW w:w="1063" w:type="dxa"/>
            <w:tcBorders>
              <w:top w:val="single" w:color="auto" w:sz="4" w:space="0"/>
              <w:left w:val="nil"/>
              <w:bottom w:val="single" w:color="auto" w:sz="4" w:space="0"/>
              <w:right w:val="single" w:color="auto" w:sz="4" w:space="0"/>
            </w:tcBorders>
            <w:vAlign w:val="bottom"/>
          </w:tcPr>
          <w:p w14:paraId="43C24905">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w:t>
            </w:r>
          </w:p>
        </w:tc>
        <w:tc>
          <w:tcPr>
            <w:tcW w:w="764" w:type="dxa"/>
            <w:tcBorders>
              <w:top w:val="single" w:color="auto" w:sz="4" w:space="0"/>
              <w:left w:val="nil"/>
              <w:bottom w:val="single" w:color="auto" w:sz="4" w:space="0"/>
              <w:right w:val="single" w:color="auto" w:sz="4" w:space="0"/>
            </w:tcBorders>
            <w:vAlign w:val="bottom"/>
          </w:tcPr>
          <w:p w14:paraId="75B649D1">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w:t>
            </w:r>
          </w:p>
        </w:tc>
        <w:tc>
          <w:tcPr>
            <w:tcW w:w="845" w:type="dxa"/>
            <w:tcBorders>
              <w:top w:val="single" w:color="auto" w:sz="4" w:space="0"/>
              <w:left w:val="nil"/>
              <w:bottom w:val="single" w:color="auto" w:sz="4" w:space="0"/>
              <w:right w:val="single" w:color="auto" w:sz="4" w:space="0"/>
            </w:tcBorders>
            <w:vAlign w:val="bottom"/>
          </w:tcPr>
          <w:p w14:paraId="125FC9F0">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w:t>
            </w:r>
          </w:p>
        </w:tc>
        <w:tc>
          <w:tcPr>
            <w:tcW w:w="900" w:type="dxa"/>
            <w:tcBorders>
              <w:top w:val="single" w:color="auto" w:sz="4" w:space="0"/>
              <w:left w:val="nil"/>
              <w:bottom w:val="single" w:color="auto" w:sz="4" w:space="0"/>
              <w:right w:val="single" w:color="auto" w:sz="4" w:space="0"/>
            </w:tcBorders>
            <w:vAlign w:val="bottom"/>
          </w:tcPr>
          <w:p w14:paraId="72DE5A2D">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w:t>
            </w:r>
          </w:p>
        </w:tc>
        <w:tc>
          <w:tcPr>
            <w:tcW w:w="668" w:type="dxa"/>
            <w:tcBorders>
              <w:top w:val="single" w:color="auto" w:sz="4" w:space="0"/>
              <w:left w:val="nil"/>
              <w:bottom w:val="single" w:color="auto" w:sz="4" w:space="0"/>
              <w:right w:val="single" w:color="auto" w:sz="4" w:space="0"/>
            </w:tcBorders>
            <w:vAlign w:val="bottom"/>
          </w:tcPr>
          <w:p w14:paraId="73819AB0">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w:t>
            </w:r>
          </w:p>
        </w:tc>
        <w:tc>
          <w:tcPr>
            <w:tcW w:w="567" w:type="dxa"/>
            <w:tcBorders>
              <w:top w:val="single" w:color="auto" w:sz="4" w:space="0"/>
              <w:left w:val="nil"/>
              <w:bottom w:val="single" w:color="auto" w:sz="4" w:space="0"/>
              <w:right w:val="single" w:color="auto" w:sz="4" w:space="0"/>
            </w:tcBorders>
            <w:vAlign w:val="bottom"/>
          </w:tcPr>
          <w:p w14:paraId="19EBFEEC">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w:t>
            </w:r>
          </w:p>
        </w:tc>
        <w:tc>
          <w:tcPr>
            <w:tcW w:w="1134" w:type="dxa"/>
            <w:tcBorders>
              <w:top w:val="single" w:color="auto" w:sz="4" w:space="0"/>
              <w:left w:val="nil"/>
              <w:bottom w:val="single" w:color="auto" w:sz="4" w:space="0"/>
              <w:right w:val="single" w:color="auto" w:sz="4" w:space="0"/>
            </w:tcBorders>
            <w:vAlign w:val="bottom"/>
          </w:tcPr>
          <w:p w14:paraId="0C8B2120">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w:t>
            </w:r>
          </w:p>
        </w:tc>
        <w:tc>
          <w:tcPr>
            <w:tcW w:w="992" w:type="dxa"/>
            <w:tcBorders>
              <w:top w:val="single" w:color="auto" w:sz="4" w:space="0"/>
              <w:left w:val="nil"/>
              <w:bottom w:val="single" w:color="auto" w:sz="4" w:space="0"/>
              <w:right w:val="single" w:color="auto" w:sz="4" w:space="0"/>
            </w:tcBorders>
            <w:vAlign w:val="bottom"/>
          </w:tcPr>
          <w:p w14:paraId="24D56A43">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w:t>
            </w:r>
          </w:p>
        </w:tc>
        <w:tc>
          <w:tcPr>
            <w:tcW w:w="1313" w:type="dxa"/>
            <w:tcBorders>
              <w:top w:val="single" w:color="auto" w:sz="4" w:space="0"/>
              <w:left w:val="nil"/>
              <w:bottom w:val="single" w:color="auto" w:sz="4" w:space="0"/>
              <w:right w:val="single" w:color="auto" w:sz="4" w:space="0"/>
            </w:tcBorders>
            <w:vAlign w:val="bottom"/>
          </w:tcPr>
          <w:p w14:paraId="0AFDB62F">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w:t>
            </w:r>
          </w:p>
        </w:tc>
      </w:tr>
    </w:tbl>
    <w:p w14:paraId="76B67F46">
      <w:pPr>
        <w:widowControl/>
        <w:spacing w:line="360" w:lineRule="auto"/>
        <w:jc w:val="left"/>
        <w:rPr>
          <w:rFonts w:hint="eastAsia" w:ascii="宋体" w:hAnsi="宋体" w:eastAsia="宋体" w:cs="宋体"/>
          <w:bCs/>
          <w:kern w:val="0"/>
          <w:szCs w:val="24"/>
          <w:highlight w:val="none"/>
          <w:lang w:val="en-US" w:eastAsia="zh-CN"/>
        </w:rPr>
      </w:pPr>
    </w:p>
    <w:p w14:paraId="3DA425B0">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五、养护管理要求</w:t>
      </w:r>
    </w:p>
    <w:p w14:paraId="35F5DDA2">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（一）园艺部分</w:t>
      </w:r>
    </w:p>
    <w:p w14:paraId="49B0A2D4">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1、树木</w:t>
      </w:r>
    </w:p>
    <w:p w14:paraId="7F796B65">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1.1生长旺盛，树干挺直，倾斜度不超过10度，树冠圆整，主侧枝分枝均匀，内膛通风透光；行道树分枝点统一、整齐；花灌木修剪及时合理。</w:t>
      </w:r>
    </w:p>
    <w:p w14:paraId="087C8FBC">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1.2叶色正常，无卷叶、黄叶（生长季节），无病虫害；枝干健壮，无枯死枝，无蛀干害虫危害。</w:t>
      </w:r>
    </w:p>
    <w:p w14:paraId="1BFE6884">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1.3无死树枯枝，缺株率在2%以下（含2%）。</w:t>
      </w:r>
    </w:p>
    <w:p w14:paraId="4C96C65D">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1.4树干伤口及时处理，树洞及时修补。</w:t>
      </w:r>
    </w:p>
    <w:p w14:paraId="0A0FCE67">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1.5树池规格一致，池缘整齐，完好无损。</w:t>
      </w:r>
    </w:p>
    <w:p w14:paraId="5AF6B89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1.6涂白均匀，上口平齐，距地面1.2米。</w:t>
      </w:r>
    </w:p>
    <w:p w14:paraId="67288E52">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1.7苗木扶正，要求对道路及绿地内歪斜苗木进行及时扶正。</w:t>
      </w:r>
    </w:p>
    <w:p w14:paraId="4668C5BB">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1.8生长季节连续20天无降雨需及时浇水或喷雾除尘，喷雾除尘时需结合使用植物清洗剂，提高植物鲜洁度。</w:t>
      </w:r>
    </w:p>
    <w:p w14:paraId="6020A920">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1.9、5-10月每月修剪（或剥芽）二次，冬天整形修剪一次。</w:t>
      </w:r>
    </w:p>
    <w:p w14:paraId="2D02437C">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1.10 每年施厩肥一次。</w:t>
      </w:r>
    </w:p>
    <w:p w14:paraId="3D5503D4">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2、草坪、地被</w:t>
      </w:r>
    </w:p>
    <w:p w14:paraId="20D9E4B1">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2.1生长旺盛，色泽正常，覆盖率不低于95%，单块空秃面积不超过0.1平方米（0.3m*0.3m）。草坪绿色期：冷季型草坪不得少于300天，暖季型草坪不得少于210天。</w:t>
      </w:r>
    </w:p>
    <w:p w14:paraId="61A29E1A">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2.2、5-10月每半月清除杂草一遍，冬季前再清除一遍，确保绿地内基本无杂草，杂草率不超过10%</w:t>
      </w:r>
    </w:p>
    <w:p w14:paraId="42049028">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2.3、修剪及时，4月修剪一次，5-10月份冷季型草坪一月修剪两次，暖季型一个月一次，11月上旬一次。修剪高度符合要求，净高度冷季型草坪冬季不超过8cm，夏季不超过10cm，暖季型草坪夏季不超过8cm，冬季尽量低剪。</w:t>
      </w:r>
    </w:p>
    <w:p w14:paraId="6CEEF475">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2.4、地形平整，无坑，不积水。</w:t>
      </w:r>
    </w:p>
    <w:p w14:paraId="3247F273">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2.5、草坪与模纹及苗木树穴之间界限清晰，切边线条流畅。</w:t>
      </w:r>
    </w:p>
    <w:p w14:paraId="43A34E37">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2.6、生长季节连续15天无降雨需及时浇水，确保无旱情；进入冬季前全面灌冬水一遍。</w:t>
      </w:r>
    </w:p>
    <w:p w14:paraId="3E536BFA">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2.7、每年施尿素、复合肥等4次以上，确保长势良好。</w:t>
      </w:r>
    </w:p>
    <w:p w14:paraId="0D6D230B">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3、绿篱色块及球类</w:t>
      </w:r>
    </w:p>
    <w:p w14:paraId="39D0BDD0">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3.1生长旺盛，枝条茂密，色泽正常。</w:t>
      </w:r>
    </w:p>
    <w:p w14:paraId="186AA71B">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3.2、“五一”前全面修剪一次，5—1 0月生长旺季随时修剪，新生萌蘖枝条不得高于2cm；修剪线条整齐划一，按设计要求严格控制高度，同一地段球类的形状、规格一致。</w:t>
      </w:r>
    </w:p>
    <w:p w14:paraId="59E03851">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3.3、完整无缺，缺株空秃应及时补齐。</w:t>
      </w:r>
    </w:p>
    <w:p w14:paraId="144D02EA">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3.4、生长季节连续1 5天无降雨需及时浇水，并结合使用植物清洗剂，冲刷除尘一次，确保植物无旱情并保持清洁度；进入冬季前全面灌冬水一遍。</w:t>
      </w:r>
    </w:p>
    <w:p w14:paraId="72B8B305">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3.5、冬、春季及时清理越冬杂草，5—1 0月杂草生长旺季，随时清除，确保无明显杂草；冬季前再彻底清除一遍。</w:t>
      </w:r>
    </w:p>
    <w:p w14:paraId="6F62077D">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3.6、生长季节每月叶面施肥一次；绿篱、色块、球类每年施厩肥二次，确保生长旺盛。</w:t>
      </w:r>
    </w:p>
    <w:p w14:paraId="5E6C733A">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4、花坛</w:t>
      </w:r>
    </w:p>
    <w:p w14:paraId="08B7766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4.1、根据季节，及时更换草花。</w:t>
      </w:r>
    </w:p>
    <w:p w14:paraId="051BBE8D">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4.2、栽植草花整齐、高度一致，无残花败叶，花色鲜艳。</w:t>
      </w:r>
    </w:p>
    <w:p w14:paraId="780EED48">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4.3、花坛和周围地被之间有明显边界。</w:t>
      </w:r>
    </w:p>
    <w:p w14:paraId="7A6D9E7B">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4.4、及时清理杂草，确保无明显杂草。</w:t>
      </w:r>
    </w:p>
    <w:p w14:paraId="4023AED0">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4.5、及时进行草花浇水，确保整体效果。</w:t>
      </w:r>
    </w:p>
    <w:p w14:paraId="38E25B4D">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(二)病虫害防治部分</w:t>
      </w:r>
    </w:p>
    <w:p w14:paraId="14A21856">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病虫害控制在不影响观赏效果的程度内，防治费用由乙方承担。</w:t>
      </w:r>
    </w:p>
    <w:p w14:paraId="1F130E7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1、树木基本无明显的病虫害危害迹象，危害率在8％以下。</w:t>
      </w:r>
    </w:p>
    <w:p w14:paraId="43AF4B34">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2、草坪、地被类地上地下无明显病虫危害迹象，危害率8％以下。</w:t>
      </w:r>
    </w:p>
    <w:p w14:paraId="235D680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3、花坛内无严重地上地下无明显病虫危害现象，危害率8％以下。</w:t>
      </w:r>
    </w:p>
    <w:p w14:paraId="3FAA0398">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4、绿篱色块及球类基本无明显病虫危害迹象，危害率5％以下。</w:t>
      </w:r>
    </w:p>
    <w:p w14:paraId="6C2FA6D3">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(三)其他</w:t>
      </w:r>
    </w:p>
    <w:p w14:paraId="2CB27F2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1、绿化生产垃圾能及时清运。</w:t>
      </w:r>
    </w:p>
    <w:p w14:paraId="7AD710C3">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2、秩序管理绿地内无设摊摆卖，无拴挂，无践踏绿地和其他破坏绿化的行为。</w:t>
      </w:r>
    </w:p>
    <w:p w14:paraId="1722A262">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3、台账记录详细如实。</w:t>
      </w:r>
    </w:p>
    <w:p w14:paraId="0714B006">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4、确保采购人在上级各种检查以及各类创建评比活动中不失分，做到批评投诉少。</w:t>
      </w:r>
    </w:p>
    <w:p w14:paraId="4CBC58BE">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5、履行合同承诺，每分区绿地内有固定养护人员进行日常养护。</w:t>
      </w:r>
    </w:p>
    <w:p w14:paraId="2B9179E0">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6、养护单位须配备必要的种植、运输工具，负责养护范围内的树木修补、种植、迁移工作。</w:t>
      </w:r>
    </w:p>
    <w:p w14:paraId="52A6F5B3">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7、负责养护范围内的盆花、盆景及水生植物的修剪、施肥、除草、浇水等日常养护工作。</w:t>
      </w:r>
    </w:p>
    <w:p w14:paraId="227F3FC4">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8、按要求每月将苗木生长情况及日常养护计划，人员安排计划上报业主 。</w:t>
      </w:r>
    </w:p>
    <w:p w14:paraId="1B63309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9、遭遇市政工程、重大活动时，供应商应派人员做好绿地的维护管理工作，保证绿化完好。</w:t>
      </w:r>
    </w:p>
    <w:p w14:paraId="04B132E8">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六、服务要求：</w:t>
      </w:r>
    </w:p>
    <w:p w14:paraId="2ED7D2EF">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（一）工作人员要求：</w:t>
      </w:r>
    </w:p>
    <w:p w14:paraId="3F7A4D73">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1、工作人员应穿戴统一服装，施工现场有明显标志，有管理人员管理。</w:t>
      </w:r>
    </w:p>
    <w:p w14:paraId="32A77EB4">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2、每天工作不低于8小时，提供全天24小时应急服务，值班人员及联系电话。</w:t>
      </w:r>
    </w:p>
    <w:p w14:paraId="15C116E9">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3、年龄不低于18周岁，最大年龄男不得超过65周岁，女不得超过60周岁。</w:t>
      </w:r>
    </w:p>
    <w:p w14:paraId="5E96878F">
      <w:pPr>
        <w:widowControl/>
        <w:spacing w:line="360" w:lineRule="auto"/>
        <w:ind w:firstLine="440" w:firstLineChars="200"/>
        <w:jc w:val="left"/>
        <w:rPr>
          <w:rFonts w:hint="default"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4、负责本项目的项目经理（或项目负责人）不得同时担任其他任何项目的项目负责人。</w:t>
      </w:r>
    </w:p>
    <w:p w14:paraId="55478BB7">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5、工作人员必须严格执行安全操作规程，加强安全防护，妥善保管和使用农药等，供应商绿化维护工作造成的一切安全责任由供应商承担。</w:t>
      </w:r>
    </w:p>
    <w:p w14:paraId="41C7532B">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5、预上岗人员须有县（区）级以上医院进行体检合格，无传染病。</w:t>
      </w:r>
    </w:p>
    <w:p w14:paraId="14D90AFF">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（二）养护机械设备要求：</w:t>
      </w:r>
    </w:p>
    <w:p w14:paraId="7F8F32EC">
      <w:pPr>
        <w:widowControl/>
        <w:spacing w:line="360" w:lineRule="auto"/>
        <w:ind w:firstLine="440" w:firstLineChars="200"/>
        <w:jc w:val="left"/>
        <w:rPr>
          <w:rFonts w:hint="default"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1、养护机械设备应能满足本项目需求。</w:t>
      </w:r>
    </w:p>
    <w:p w14:paraId="3FC1DAD5">
      <w:pPr>
        <w:widowControl/>
        <w:spacing w:line="360" w:lineRule="auto"/>
        <w:ind w:firstLine="440" w:firstLineChars="200"/>
        <w:jc w:val="left"/>
        <w:rPr>
          <w:rFonts w:hint="default"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2、在养护过程中，工作人员应按照机械设备使用手册正确使用养护机械设备。</w:t>
      </w:r>
    </w:p>
    <w:p w14:paraId="12A696E3">
      <w:pPr>
        <w:widowControl/>
        <w:spacing w:line="360" w:lineRule="auto"/>
        <w:ind w:firstLine="44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3、因设备使用不当对树木、绿篱造成伤害的，供应商应承担相应责任。</w:t>
      </w:r>
    </w:p>
    <w:p w14:paraId="30BEB3BD">
      <w:pPr>
        <w:widowControl/>
        <w:spacing w:line="360" w:lineRule="auto"/>
        <w:jc w:val="left"/>
        <w:rPr>
          <w:rFonts w:hint="eastAsia" w:ascii="宋体" w:hAnsi="宋体" w:eastAsia="宋体" w:cs="宋体"/>
          <w:bCs/>
          <w:kern w:val="0"/>
          <w:szCs w:val="24"/>
          <w:highlight w:val="none"/>
          <w:lang w:val="en-US" w:eastAsia="zh-CN"/>
        </w:rPr>
      </w:pPr>
      <w:bookmarkStart w:id="0" w:name="_GoBack"/>
      <w:bookmarkEnd w:id="0"/>
      <w:r>
        <w:rPr>
          <w:rFonts w:hint="eastAsia" w:ascii="宋体" w:hAnsi="宋体" w:eastAsia="宋体" w:cs="宋体"/>
          <w:bCs/>
          <w:kern w:val="0"/>
          <w:szCs w:val="24"/>
          <w:highlight w:val="none"/>
          <w:lang w:val="en-US" w:eastAsia="zh-CN"/>
        </w:rPr>
        <w:t>七、其他要求：见《磋商文件》附件：《拟签订的合同文本》。</w:t>
      </w:r>
    </w:p>
    <w:p w14:paraId="3129BC42">
      <w:pPr>
        <w:widowControl/>
        <w:spacing w:line="360" w:lineRule="auto"/>
        <w:ind w:firstLine="440" w:firstLineChars="200"/>
        <w:jc w:val="left"/>
        <w:rPr>
          <w:rFonts w:hint="eastAsia" w:ascii="宋体" w:hAnsi="宋体" w:eastAsia="宋体" w:cs="宋体"/>
          <w:bCs/>
          <w:kern w:val="0"/>
          <w:szCs w:val="24"/>
          <w:highlight w:val="none"/>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8AE9">
    <w:pPr>
      <w:kinsoku w:val="0"/>
      <w:autoSpaceDE w:val="0"/>
      <w:autoSpaceDN w:val="0"/>
      <w:adjustRightInd w:val="0"/>
      <w:snapToGrid w:val="0"/>
      <w:spacing w:after="0" w:line="14" w:lineRule="auto"/>
      <w:textAlignment w:val="baseline"/>
      <w:rPr>
        <w:rFonts w:eastAsia="Arial" w:cs="Arial"/>
        <w:snapToGrid w:val="0"/>
        <w:color w:val="000000"/>
        <w:sz w:val="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YTkxZDE2NDY1NGJkNDM4YjgwMGRhOGU5YmFkNDkifQ=="/>
  </w:docVars>
  <w:rsids>
    <w:rsidRoot w:val="00000000"/>
    <w:rsid w:val="000A5AFE"/>
    <w:rsid w:val="132C437C"/>
    <w:rsid w:val="13E13286"/>
    <w:rsid w:val="143A5DF6"/>
    <w:rsid w:val="1C344B05"/>
    <w:rsid w:val="1DC771FF"/>
    <w:rsid w:val="3886633D"/>
    <w:rsid w:val="4E3A42BE"/>
    <w:rsid w:val="55A13144"/>
    <w:rsid w:val="5BF64F5F"/>
    <w:rsid w:val="717F6C52"/>
    <w:rsid w:val="72620249"/>
    <w:rsid w:val="742A55C9"/>
    <w:rsid w:val="76D31445"/>
    <w:rsid w:val="7F1F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Arial" w:hAnsi="Arial" w:eastAsia="宋体" w:cs="Times New Roman"/>
      <w:sz w:val="22"/>
      <w:szCs w:val="22"/>
      <w:lang w:val="en-US" w:eastAsia="en-US" w:bidi="ar-SA"/>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pPr>
  </w:style>
  <w:style w:type="paragraph" w:styleId="3">
    <w:name w:val="Body Text"/>
    <w:basedOn w:val="1"/>
    <w:next w:val="4"/>
    <w:qFormat/>
    <w:uiPriority w:val="0"/>
    <w:rPr>
      <w:rFonts w:ascii="Verdana" w:hAnsi="Verdana"/>
      <w:sz w:val="24"/>
      <w:szCs w:val="18"/>
    </w:rPr>
  </w:style>
  <w:style w:type="paragraph" w:customStyle="1" w:styleId="4">
    <w:name w:val="一级条标题"/>
    <w:basedOn w:val="5"/>
    <w:next w:val="1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basedOn w:val="6"/>
    <w:next w:val="1"/>
    <w:qFormat/>
    <w:uiPriority w:val="0"/>
    <w:pPr>
      <w:widowControl/>
      <w:spacing w:before="158" w:after="153" w:line="1292" w:lineRule="atLeast"/>
      <w:jc w:val="center"/>
    </w:pPr>
    <w:rPr>
      <w:rFonts w:ascii="Arial" w:hAnsi="Calibri" w:eastAsia="黑体"/>
      <w:sz w:val="31"/>
      <w:szCs w:val="22"/>
      <w:lang w:eastAsia="en-US" w:bidi="en-US"/>
    </w:rPr>
  </w:style>
  <w:style w:type="paragraph" w:customStyle="1" w:styleId="6">
    <w:name w:val="正文1"/>
    <w:basedOn w:val="7"/>
    <w:next w:val="10"/>
    <w:link w:val="24"/>
    <w:qFormat/>
    <w:uiPriority w:val="0"/>
    <w:pPr>
      <w:spacing w:line="360" w:lineRule="atLeast"/>
      <w:jc w:val="left"/>
    </w:pPr>
  </w:style>
  <w:style w:type="paragraph" w:customStyle="1" w:styleId="7">
    <w:name w:val="正文11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脚注文本11"/>
    <w:basedOn w:val="1"/>
    <w:next w:val="9"/>
    <w:unhideWhenUsed/>
    <w:qFormat/>
    <w:uiPriority w:val="0"/>
    <w:pPr>
      <w:spacing w:after="40"/>
    </w:pPr>
    <w:rPr>
      <w:sz w:val="18"/>
    </w:rPr>
  </w:style>
  <w:style w:type="paragraph" w:customStyle="1" w:styleId="9">
    <w:name w:val="索引 511"/>
    <w:basedOn w:val="1"/>
    <w:next w:val="7"/>
    <w:qFormat/>
    <w:uiPriority w:val="0"/>
    <w:pPr>
      <w:ind w:left="798"/>
    </w:pPr>
  </w:style>
  <w:style w:type="paragraph" w:customStyle="1" w:styleId="10">
    <w:name w:val="目录 11"/>
    <w:basedOn w:val="11"/>
    <w:next w:val="6"/>
    <w:qFormat/>
    <w:uiPriority w:val="0"/>
  </w:style>
  <w:style w:type="paragraph" w:customStyle="1" w:styleId="11">
    <w:name w:val="正文12"/>
    <w:next w:val="12"/>
    <w:autoRedefine/>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12">
    <w:name w:val="正文文本111"/>
    <w:basedOn w:val="11"/>
    <w:next w:val="11"/>
    <w:qFormat/>
    <w:uiPriority w:val="0"/>
  </w:style>
  <w:style w:type="paragraph" w:customStyle="1" w:styleId="13">
    <w:name w:val="段"/>
    <w:basedOn w:val="6"/>
    <w:next w:val="1"/>
    <w:qFormat/>
    <w:uiPriority w:val="0"/>
    <w:pPr>
      <w:widowControl/>
      <w:ind w:firstLine="200"/>
    </w:pPr>
    <w:rPr>
      <w:rFonts w:ascii="宋体"/>
    </w:rPr>
  </w:style>
  <w:style w:type="paragraph" w:styleId="14">
    <w:name w:val="Block Text"/>
    <w:basedOn w:val="1"/>
    <w:autoRedefine/>
    <w:qFormat/>
    <w:uiPriority w:val="6"/>
    <w:pPr>
      <w:widowControl w:val="0"/>
      <w:spacing w:after="0" w:line="274" w:lineRule="auto"/>
      <w:ind w:left="256" w:right="6" w:firstLine="624"/>
      <w:jc w:val="both"/>
    </w:pPr>
    <w:rPr>
      <w:rFonts w:ascii="Times New Roman" w:hAnsi="Times New Roman" w:eastAsia="仿宋"/>
      <w:sz w:val="28"/>
      <w:szCs w:val="20"/>
      <w:lang w:eastAsia="zh-CN"/>
    </w:rPr>
  </w:style>
  <w:style w:type="paragraph" w:styleId="15">
    <w:name w:val="envelope return"/>
    <w:basedOn w:val="1"/>
    <w:unhideWhenUsed/>
    <w:qFormat/>
    <w:uiPriority w:val="99"/>
    <w:pPr>
      <w:snapToGrid w:val="0"/>
    </w:pPr>
    <w:rPr>
      <w:rFonts w:ascii="Arial" w:hAnsi="Arial" w:cs="Arial"/>
    </w:rPr>
  </w:style>
  <w:style w:type="paragraph" w:styleId="16">
    <w:name w:val="Normal (Web)"/>
    <w:basedOn w:val="1"/>
    <w:autoRedefine/>
    <w:semiHidden/>
    <w:unhideWhenUsed/>
    <w:qFormat/>
    <w:uiPriority w:val="99"/>
    <w:rPr>
      <w:sz w:val="24"/>
    </w:rPr>
  </w:style>
  <w:style w:type="paragraph" w:styleId="17">
    <w:name w:val="Body Text First Indent"/>
    <w:basedOn w:val="3"/>
    <w:next w:val="18"/>
    <w:qFormat/>
    <w:uiPriority w:val="99"/>
    <w:pPr>
      <w:spacing w:after="120" w:line="440" w:lineRule="exact"/>
      <w:ind w:firstLine="420"/>
    </w:pPr>
    <w:rPr>
      <w:rFonts w:ascii="宋体"/>
    </w:rPr>
  </w:style>
  <w:style w:type="paragraph" w:styleId="18">
    <w:name w:val="Body Text First Indent 2"/>
    <w:basedOn w:val="2"/>
    <w:next w:val="1"/>
    <w:autoRedefine/>
    <w:qFormat/>
    <w:uiPriority w:val="99"/>
    <w:pPr>
      <w:ind w:firstLine="420"/>
    </w:pPr>
  </w:style>
  <w:style w:type="paragraph" w:customStyle="1" w:styleId="21">
    <w:name w:val="无间隔1"/>
    <w:autoRedefine/>
    <w:qFormat/>
    <w:uiPriority w:val="0"/>
    <w:rPr>
      <w:rFonts w:ascii="Calibri" w:hAnsi="Calibri" w:eastAsia="宋体" w:cs="Times New Roman"/>
      <w:sz w:val="22"/>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41"/>
    <w:basedOn w:val="20"/>
    <w:autoRedefine/>
    <w:qFormat/>
    <w:uiPriority w:val="0"/>
    <w:rPr>
      <w:rFonts w:hint="eastAsia" w:ascii="宋体" w:hAnsi="宋体" w:eastAsia="宋体" w:cs="宋体"/>
      <w:color w:val="000000"/>
      <w:sz w:val="20"/>
      <w:szCs w:val="20"/>
      <w:u w:val="none"/>
      <w:vertAlign w:val="subscript"/>
    </w:rPr>
  </w:style>
  <w:style w:type="character" w:customStyle="1" w:styleId="24">
    <w:name w:val="NormalCharacter"/>
    <w:link w:val="6"/>
    <w:semiHidden/>
    <w:qFormat/>
    <w:uiPriority w:val="0"/>
  </w:style>
  <w:style w:type="paragraph" w:customStyle="1" w:styleId="25">
    <w:name w:val="首行缩进"/>
    <w:basedOn w:val="6"/>
    <w:next w:val="1"/>
    <w:qFormat/>
    <w:uiPriority w:val="0"/>
    <w:pPr>
      <w:spacing w:line="360" w:lineRule="auto"/>
      <w:ind w:firstLine="420" w:firstLineChars="200"/>
    </w:pPr>
  </w:style>
  <w:style w:type="paragraph" w:customStyle="1" w:styleId="26">
    <w:name w:val="正文11"/>
    <w:next w:val="27"/>
    <w:qFormat/>
    <w:uiPriority w:val="0"/>
    <w:pPr>
      <w:widowControl w:val="0"/>
      <w:spacing w:after="160" w:line="278" w:lineRule="auto"/>
      <w:jc w:val="both"/>
    </w:pPr>
    <w:rPr>
      <w:rFonts w:ascii="Times New Roman" w:hAnsi="Times New Roman" w:eastAsia="宋体" w:cs="Times New Roman"/>
      <w:sz w:val="21"/>
      <w:szCs w:val="24"/>
      <w:lang w:val="en-US" w:eastAsia="zh-CN" w:bidi="ar-SA"/>
    </w:rPr>
  </w:style>
  <w:style w:type="paragraph" w:customStyle="1" w:styleId="27">
    <w:name w:val="文本块1"/>
    <w:basedOn w:val="6"/>
    <w:qFormat/>
    <w:uiPriority w:val="0"/>
    <w:pPr>
      <w:spacing w:after="120"/>
      <w:ind w:left="1440" w:right="1440"/>
    </w:pPr>
  </w:style>
  <w:style w:type="paragraph" w:customStyle="1" w:styleId="28">
    <w:name w:val="目录 111"/>
    <w:basedOn w:val="6"/>
    <w:next w:val="1"/>
    <w:qFormat/>
    <w:uiPriority w:val="0"/>
  </w:style>
  <w:style w:type="paragraph" w:customStyle="1" w:styleId="29">
    <w:name w:val="标题 411"/>
    <w:basedOn w:val="11"/>
    <w:next w:val="26"/>
    <w:qFormat/>
    <w:uiPriority w:val="0"/>
    <w:pPr>
      <w:keepNext/>
      <w:keepLines/>
      <w:spacing w:before="280" w:after="290" w:line="376" w:lineRule="auto"/>
      <w:outlineLvl w:val="3"/>
    </w:pPr>
    <w:rPr>
      <w:rFonts w:ascii="Arial" w:hAnsi="Arial" w:eastAsia="黑体"/>
      <w:b/>
      <w:bCs/>
      <w:sz w:val="28"/>
      <w:szCs w:val="28"/>
    </w:rPr>
  </w:style>
  <w:style w:type="paragraph" w:customStyle="1" w:styleId="30">
    <w:name w:val="脚注文本1"/>
    <w:basedOn w:val="6"/>
    <w:next w:val="31"/>
    <w:qFormat/>
    <w:uiPriority w:val="0"/>
    <w:pPr>
      <w:jc w:val="left"/>
    </w:pPr>
    <w:rPr>
      <w:rFonts w:ascii="宋体" w:eastAsia="Times New Roman"/>
      <w:sz w:val="18"/>
      <w:szCs w:val="18"/>
    </w:rPr>
  </w:style>
  <w:style w:type="paragraph" w:customStyle="1" w:styleId="31">
    <w:name w:val="索引 51"/>
    <w:basedOn w:val="6"/>
    <w:next w:val="6"/>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1955</Words>
  <Characters>1996</Characters>
  <Lines>0</Lines>
  <Paragraphs>0</Paragraphs>
  <TotalTime>3</TotalTime>
  <ScaleCrop>false</ScaleCrop>
  <LinksUpToDate>false</LinksUpToDate>
  <CharactersWithSpaces>2002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2023-09-15T07:32:00Z</dcterms:created>
  <dc:creator>Administrator</dc:creator>
  <cp:lastModifiedBy>Administrator</cp:lastModifiedBy>
  <dcterms:modified xsi:type="dcterms:W3CDTF">2025-05-20T01:45:52Z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23044FF756BA4E88B2F5F2A60F41DAC4_12</vt:lpwstr>
  </property>
  <property fmtid="{D5CDD505-2E9C-101B-9397-08002B2CF9AE}" pid="4" name="KSOTemplateDocerSaveRecord">
    <vt:lpwstr>eyJoZGlkIjoiOWUwYjZiMDc4YjZiYWEyMDZjZmI0MDM1NjM2YmUyNzkifQ==</vt:lpwstr>
  </property>
</Properties>
</file>