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7F58">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rPr>
          <w:sz w:val="28"/>
          <w:szCs w:val="28"/>
        </w:rPr>
      </w:pPr>
      <w:r>
        <w:rPr>
          <w:rFonts w:hint="eastAsia" w:ascii="宋体" w:hAnsi="宋体" w:eastAsia="宋体" w:cs="宋体"/>
          <w:color w:val="000000"/>
          <w:sz w:val="28"/>
          <w:szCs w:val="28"/>
        </w:rPr>
        <w:t>如有建议或意见，请以书面形式并加盖公章、注明联系人、联系方式，于2025年5月</w:t>
      </w:r>
      <w:r>
        <w:rPr>
          <w:rFonts w:hint="eastAsia" w:ascii="宋体" w:hAnsi="宋体" w:eastAsia="宋体" w:cs="宋体"/>
          <w:color w:val="000000"/>
          <w:sz w:val="28"/>
          <w:szCs w:val="28"/>
          <w:lang w:val="en-US" w:eastAsia="zh-CN"/>
        </w:rPr>
        <w:t>13</w:t>
      </w:r>
      <w:r>
        <w:rPr>
          <w:rFonts w:hint="eastAsia" w:ascii="宋体" w:hAnsi="宋体" w:eastAsia="宋体" w:cs="宋体"/>
          <w:color w:val="000000"/>
          <w:sz w:val="28"/>
          <w:szCs w:val="28"/>
        </w:rPr>
        <w:t>日17:00之前送至我单位，逾期不受理（如邮寄，2025年5月</w:t>
      </w:r>
      <w:r>
        <w:rPr>
          <w:rFonts w:hint="eastAsia" w:ascii="宋体" w:hAnsi="宋体" w:eastAsia="宋体" w:cs="宋体"/>
          <w:color w:val="000000"/>
          <w:sz w:val="28"/>
          <w:szCs w:val="28"/>
          <w:lang w:val="en-US" w:eastAsia="zh-CN"/>
        </w:rPr>
        <w:t>13</w:t>
      </w:r>
      <w:r>
        <w:rPr>
          <w:rFonts w:hint="eastAsia" w:ascii="宋体" w:hAnsi="宋体" w:eastAsia="宋体" w:cs="宋体"/>
          <w:color w:val="000000"/>
          <w:sz w:val="28"/>
          <w:szCs w:val="28"/>
        </w:rPr>
        <w:t>日17:00之后到达本公司的邮件将不再受理）。</w:t>
      </w:r>
    </w:p>
    <w:p w14:paraId="0901947C">
      <w:pPr>
        <w:spacing w:line="520" w:lineRule="exact"/>
        <w:ind w:firstLine="3300" w:firstLineChars="1100"/>
        <w:rPr>
          <w:rFonts w:hint="eastAsia" w:ascii="宋体" w:hAnsi="宋体" w:eastAsia="宋体" w:cs="宋体"/>
          <w:sz w:val="30"/>
          <w:szCs w:val="30"/>
        </w:rPr>
      </w:pPr>
    </w:p>
    <w:p w14:paraId="1C76F611">
      <w:pPr>
        <w:spacing w:line="520" w:lineRule="exact"/>
        <w:ind w:firstLine="3300" w:firstLineChars="1100"/>
        <w:rPr>
          <w:rFonts w:hint="eastAsia" w:ascii="宋体" w:hAnsi="宋体" w:eastAsia="宋体" w:cs="宋体"/>
          <w:sz w:val="30"/>
          <w:szCs w:val="30"/>
        </w:rPr>
      </w:pPr>
    </w:p>
    <w:p w14:paraId="3B9ED13F">
      <w:pPr>
        <w:spacing w:line="520" w:lineRule="exact"/>
        <w:ind w:firstLine="3300" w:firstLineChars="1100"/>
        <w:rPr>
          <w:rFonts w:hint="eastAsia" w:ascii="宋体" w:hAnsi="宋体" w:eastAsia="宋体" w:cs="宋体"/>
          <w:sz w:val="30"/>
          <w:szCs w:val="30"/>
        </w:rPr>
      </w:pPr>
    </w:p>
    <w:p w14:paraId="2B62C686">
      <w:pPr>
        <w:spacing w:line="520" w:lineRule="exact"/>
        <w:ind w:firstLine="3300" w:firstLineChars="1100"/>
        <w:rPr>
          <w:rFonts w:hint="eastAsia" w:ascii="宋体" w:hAnsi="宋体" w:eastAsia="宋体" w:cs="宋体"/>
          <w:sz w:val="30"/>
          <w:szCs w:val="30"/>
        </w:rPr>
      </w:pPr>
    </w:p>
    <w:p w14:paraId="6A2B9203">
      <w:pPr>
        <w:spacing w:line="520" w:lineRule="exact"/>
        <w:ind w:firstLine="3300" w:firstLineChars="1100"/>
        <w:rPr>
          <w:rFonts w:hint="eastAsia" w:ascii="宋体" w:hAnsi="宋体" w:eastAsia="宋体" w:cs="宋体"/>
          <w:sz w:val="30"/>
          <w:szCs w:val="30"/>
        </w:rPr>
      </w:pPr>
    </w:p>
    <w:p w14:paraId="5151E4F1">
      <w:pPr>
        <w:spacing w:line="520" w:lineRule="exact"/>
        <w:ind w:firstLine="3300" w:firstLineChars="1100"/>
        <w:rPr>
          <w:rFonts w:hint="eastAsia" w:ascii="宋体" w:hAnsi="宋体" w:eastAsia="宋体" w:cs="宋体"/>
          <w:sz w:val="30"/>
          <w:szCs w:val="30"/>
        </w:rPr>
      </w:pPr>
    </w:p>
    <w:p w14:paraId="1EF7FF1A">
      <w:pPr>
        <w:spacing w:line="520" w:lineRule="exact"/>
        <w:ind w:firstLine="3300" w:firstLineChars="1100"/>
        <w:rPr>
          <w:rFonts w:hint="eastAsia" w:ascii="宋体" w:hAnsi="宋体" w:eastAsia="宋体" w:cs="宋体"/>
          <w:sz w:val="30"/>
          <w:szCs w:val="30"/>
        </w:rPr>
      </w:pPr>
    </w:p>
    <w:p w14:paraId="778B291F">
      <w:pPr>
        <w:spacing w:line="520" w:lineRule="exact"/>
        <w:ind w:firstLine="3300" w:firstLineChars="1100"/>
        <w:rPr>
          <w:rFonts w:hint="eastAsia" w:ascii="宋体" w:hAnsi="宋体" w:eastAsia="宋体" w:cs="宋体"/>
          <w:sz w:val="30"/>
          <w:szCs w:val="30"/>
        </w:rPr>
      </w:pPr>
    </w:p>
    <w:p w14:paraId="519C9AE7">
      <w:pPr>
        <w:spacing w:line="520" w:lineRule="exact"/>
        <w:ind w:firstLine="3300" w:firstLineChars="1100"/>
        <w:rPr>
          <w:rFonts w:hint="eastAsia" w:ascii="宋体" w:hAnsi="宋体" w:eastAsia="宋体" w:cs="宋体"/>
          <w:sz w:val="30"/>
          <w:szCs w:val="30"/>
        </w:rPr>
      </w:pPr>
    </w:p>
    <w:p w14:paraId="0251CFEF">
      <w:pPr>
        <w:spacing w:line="520" w:lineRule="exact"/>
        <w:ind w:firstLine="3300" w:firstLineChars="1100"/>
        <w:rPr>
          <w:rFonts w:hint="eastAsia" w:ascii="宋体" w:hAnsi="宋体" w:eastAsia="宋体" w:cs="宋体"/>
          <w:sz w:val="30"/>
          <w:szCs w:val="30"/>
        </w:rPr>
      </w:pPr>
    </w:p>
    <w:p w14:paraId="008E4854">
      <w:pPr>
        <w:spacing w:line="520" w:lineRule="exact"/>
        <w:ind w:firstLine="3300" w:firstLineChars="1100"/>
        <w:rPr>
          <w:rFonts w:hint="eastAsia" w:ascii="宋体" w:hAnsi="宋体" w:eastAsia="宋体" w:cs="宋体"/>
          <w:sz w:val="30"/>
          <w:szCs w:val="30"/>
        </w:rPr>
      </w:pPr>
    </w:p>
    <w:p w14:paraId="3D5AC15B">
      <w:pPr>
        <w:spacing w:line="520" w:lineRule="exact"/>
        <w:ind w:firstLine="3300" w:firstLineChars="1100"/>
        <w:rPr>
          <w:rFonts w:hint="eastAsia" w:ascii="宋体" w:hAnsi="宋体" w:eastAsia="宋体" w:cs="宋体"/>
          <w:sz w:val="30"/>
          <w:szCs w:val="30"/>
        </w:rPr>
      </w:pPr>
    </w:p>
    <w:p w14:paraId="588AA02B">
      <w:pPr>
        <w:spacing w:line="520" w:lineRule="exact"/>
        <w:ind w:firstLine="3300" w:firstLineChars="1100"/>
        <w:rPr>
          <w:rFonts w:hint="eastAsia" w:ascii="宋体" w:hAnsi="宋体" w:eastAsia="宋体" w:cs="宋体"/>
          <w:sz w:val="30"/>
          <w:szCs w:val="30"/>
        </w:rPr>
      </w:pPr>
    </w:p>
    <w:p w14:paraId="277F276F">
      <w:pPr>
        <w:spacing w:line="520" w:lineRule="exact"/>
        <w:ind w:firstLine="3300" w:firstLineChars="1100"/>
        <w:rPr>
          <w:rFonts w:hint="eastAsia" w:ascii="宋体" w:hAnsi="宋体" w:eastAsia="宋体" w:cs="宋体"/>
          <w:sz w:val="30"/>
          <w:szCs w:val="30"/>
        </w:rPr>
      </w:pPr>
    </w:p>
    <w:p w14:paraId="594297C5">
      <w:pPr>
        <w:spacing w:line="520" w:lineRule="exact"/>
        <w:ind w:firstLine="3300" w:firstLineChars="1100"/>
        <w:rPr>
          <w:rFonts w:hint="eastAsia" w:ascii="宋体" w:hAnsi="宋体" w:eastAsia="宋体" w:cs="宋体"/>
          <w:sz w:val="30"/>
          <w:szCs w:val="30"/>
        </w:rPr>
      </w:pPr>
    </w:p>
    <w:p w14:paraId="1E6DCDB1">
      <w:pPr>
        <w:spacing w:line="520" w:lineRule="exact"/>
        <w:ind w:firstLine="3300" w:firstLineChars="1100"/>
        <w:rPr>
          <w:rFonts w:hint="eastAsia" w:ascii="宋体" w:hAnsi="宋体" w:eastAsia="宋体" w:cs="宋体"/>
          <w:sz w:val="30"/>
          <w:szCs w:val="30"/>
        </w:rPr>
      </w:pPr>
    </w:p>
    <w:p w14:paraId="70AF2017">
      <w:pPr>
        <w:spacing w:line="520" w:lineRule="exact"/>
        <w:ind w:firstLine="3300" w:firstLineChars="1100"/>
        <w:rPr>
          <w:rFonts w:hint="eastAsia" w:ascii="宋体" w:hAnsi="宋体" w:eastAsia="宋体" w:cs="宋体"/>
          <w:sz w:val="30"/>
          <w:szCs w:val="30"/>
        </w:rPr>
      </w:pPr>
    </w:p>
    <w:p w14:paraId="2C6B4AE9">
      <w:pPr>
        <w:spacing w:line="520" w:lineRule="exact"/>
        <w:ind w:firstLine="3300" w:firstLineChars="1100"/>
        <w:rPr>
          <w:rFonts w:hint="eastAsia" w:ascii="宋体" w:hAnsi="宋体" w:eastAsia="宋体" w:cs="宋体"/>
          <w:sz w:val="30"/>
          <w:szCs w:val="30"/>
        </w:rPr>
      </w:pPr>
    </w:p>
    <w:p w14:paraId="5D30EB70">
      <w:pPr>
        <w:spacing w:line="520" w:lineRule="exact"/>
        <w:ind w:firstLine="3300" w:firstLineChars="1100"/>
        <w:rPr>
          <w:rFonts w:hint="eastAsia" w:ascii="宋体" w:hAnsi="宋体" w:eastAsia="宋体" w:cs="宋体"/>
          <w:sz w:val="30"/>
          <w:szCs w:val="30"/>
        </w:rPr>
      </w:pPr>
    </w:p>
    <w:p w14:paraId="608E59B0">
      <w:pPr>
        <w:spacing w:line="520" w:lineRule="exact"/>
        <w:ind w:firstLine="3300" w:firstLineChars="1100"/>
        <w:rPr>
          <w:rFonts w:hint="eastAsia" w:ascii="宋体" w:hAnsi="宋体" w:eastAsia="宋体" w:cs="宋体"/>
          <w:sz w:val="30"/>
          <w:szCs w:val="30"/>
        </w:rPr>
      </w:pPr>
    </w:p>
    <w:p w14:paraId="63685630">
      <w:pPr>
        <w:spacing w:line="520" w:lineRule="exact"/>
        <w:ind w:firstLine="3300" w:firstLineChars="1100"/>
        <w:rPr>
          <w:rFonts w:hint="eastAsia" w:ascii="宋体" w:hAnsi="宋体" w:eastAsia="宋体" w:cs="宋体"/>
          <w:sz w:val="30"/>
          <w:szCs w:val="30"/>
        </w:rPr>
      </w:pPr>
    </w:p>
    <w:p w14:paraId="12C922D4">
      <w:pPr>
        <w:spacing w:line="520" w:lineRule="exact"/>
        <w:ind w:firstLine="3300" w:firstLineChars="1100"/>
        <w:rPr>
          <w:rFonts w:hint="eastAsia" w:ascii="宋体" w:hAnsi="宋体" w:eastAsia="宋体" w:cs="宋体"/>
          <w:sz w:val="30"/>
          <w:szCs w:val="30"/>
        </w:rPr>
      </w:pPr>
    </w:p>
    <w:p w14:paraId="0CBE0F3C">
      <w:pPr>
        <w:spacing w:line="520" w:lineRule="exact"/>
        <w:ind w:firstLine="3300" w:firstLineChars="1100"/>
        <w:rPr>
          <w:rFonts w:hint="eastAsia" w:ascii="宋体" w:hAnsi="宋体" w:eastAsia="宋体" w:cs="宋体"/>
          <w:sz w:val="30"/>
          <w:szCs w:val="30"/>
        </w:rPr>
      </w:pPr>
    </w:p>
    <w:p w14:paraId="2304387B">
      <w:pPr>
        <w:spacing w:line="520" w:lineRule="exact"/>
        <w:ind w:firstLine="3300" w:firstLineChars="1100"/>
        <w:rPr>
          <w:rFonts w:hint="eastAsia" w:ascii="宋体" w:hAnsi="宋体" w:eastAsia="宋体" w:cs="宋体"/>
          <w:sz w:val="30"/>
          <w:szCs w:val="30"/>
        </w:rPr>
      </w:pPr>
    </w:p>
    <w:p w14:paraId="467BE97E">
      <w:pPr>
        <w:spacing w:line="520" w:lineRule="exact"/>
        <w:ind w:firstLine="3300" w:firstLineChars="1100"/>
        <w:rPr>
          <w:rFonts w:hint="eastAsia" w:ascii="宋体" w:hAnsi="宋体" w:eastAsia="宋体" w:cs="宋体"/>
          <w:sz w:val="30"/>
          <w:szCs w:val="30"/>
        </w:rPr>
      </w:pPr>
    </w:p>
    <w:p w14:paraId="30E9DF96">
      <w:pPr>
        <w:spacing w:line="520" w:lineRule="exact"/>
        <w:ind w:firstLine="3300" w:firstLineChars="1100"/>
        <w:rPr>
          <w:rFonts w:hint="eastAsia" w:ascii="宋体" w:hAnsi="宋体" w:eastAsia="宋体" w:cs="宋体"/>
          <w:sz w:val="30"/>
          <w:szCs w:val="30"/>
        </w:rPr>
      </w:pPr>
    </w:p>
    <w:p w14:paraId="31A2C422">
      <w:pPr>
        <w:spacing w:line="520" w:lineRule="exact"/>
        <w:ind w:firstLine="3300" w:firstLineChars="1100"/>
        <w:rPr>
          <w:rFonts w:ascii="宋体" w:hAnsi="宋体" w:eastAsia="宋体"/>
          <w:sz w:val="32"/>
          <w:szCs w:val="32"/>
        </w:rPr>
      </w:pPr>
      <w:r>
        <w:rPr>
          <w:rFonts w:hint="eastAsia" w:ascii="宋体" w:hAnsi="宋体" w:eastAsia="宋体" w:cs="宋体"/>
          <w:sz w:val="30"/>
          <w:szCs w:val="30"/>
        </w:rPr>
        <w:t>采购需求</w:t>
      </w:r>
    </w:p>
    <w:p w14:paraId="37B9B5D9">
      <w:pPr>
        <w:pStyle w:val="9"/>
        <w:numPr>
          <w:ilvl w:val="0"/>
          <w:numId w:val="1"/>
        </w:numPr>
        <w:rPr>
          <w:rFonts w:ascii="宋体" w:hAnsi="宋体" w:eastAsia="宋体"/>
          <w:b/>
          <w:bCs/>
          <w:sz w:val="24"/>
          <w:szCs w:val="24"/>
        </w:rPr>
      </w:pPr>
      <w:r>
        <w:rPr>
          <w:rFonts w:ascii="宋体" w:hAnsi="宋体" w:eastAsia="宋体"/>
          <w:b/>
          <w:bCs/>
          <w:sz w:val="24"/>
          <w:szCs w:val="24"/>
        </w:rPr>
        <w:t>项目</w:t>
      </w:r>
      <w:r>
        <w:rPr>
          <w:rFonts w:hint="eastAsia" w:ascii="宋体" w:hAnsi="宋体" w:eastAsia="宋体"/>
          <w:b/>
          <w:bCs/>
          <w:sz w:val="24"/>
          <w:szCs w:val="24"/>
        </w:rPr>
        <w:t>概况</w:t>
      </w:r>
    </w:p>
    <w:p w14:paraId="7C03F84D">
      <w:pPr>
        <w:numPr>
          <w:ilvl w:val="0"/>
          <w:numId w:val="2"/>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项目名称：2025年食品安全抽检服务</w:t>
      </w:r>
    </w:p>
    <w:p w14:paraId="41F3951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2、项目预算：</w:t>
      </w:r>
      <w:r>
        <w:rPr>
          <w:rFonts w:hint="eastAsia" w:ascii="宋体" w:hAnsi="宋体" w:eastAsia="宋体" w:cs="宋体"/>
          <w:sz w:val="24"/>
          <w:szCs w:val="24"/>
          <w:lang w:val="en-US" w:eastAsia="zh-CN"/>
        </w:rPr>
        <w:t>317万元</w:t>
      </w:r>
      <w:bookmarkStart w:id="1" w:name="_GoBack"/>
      <w:bookmarkEnd w:id="1"/>
    </w:p>
    <w:p w14:paraId="049C8800">
      <w:pPr>
        <w:pStyle w:val="13"/>
        <w:pBdr>
          <w:top w:val="none" w:color="000000" w:sz="0" w:space="0"/>
          <w:left w:val="none" w:color="000000" w:sz="0" w:space="0"/>
          <w:bottom w:val="none" w:color="000000" w:sz="0" w:space="0"/>
          <w:right w:val="none" w:color="000000" w:sz="0" w:space="0"/>
        </w:pBdr>
        <w:spacing w:line="360" w:lineRule="auto"/>
        <w:ind w:firstLine="480" w:firstLineChars="200"/>
        <w:jc w:val="left"/>
        <w:rPr>
          <w:rFonts w:ascii="宋体" w:hAnsi="宋体" w:cs="宋体"/>
          <w:sz w:val="24"/>
        </w:rPr>
      </w:pPr>
      <w:r>
        <w:rPr>
          <w:rFonts w:hint="eastAsia" w:ascii="宋体" w:hAnsi="宋体" w:cs="宋体"/>
          <w:sz w:val="24"/>
        </w:rPr>
        <w:t>上半年食品安全监督抽检（标段一）预算金额97万元人民币，不接受单批次报价超过849元人民币、总任务量低于1143批次的投标报价；上半年食品安全监督抽检（标段二）预算金额30万元人民币，不接受单批次报价超过849元人民币、总任务量低于354批次的投标报价；上半年食品安全监督抽检（标段三）预算金额29万元人民币，不接受单批次报价超过849元人民币、总任务量低于342批次的投标报价；下半年食品安全监督抽检（标段四）预算金额94万元人民币，不接受单批次报价超过849元人民币、总任务量低于1108批次的投标报价；下半年食品安全监督抽检（标段五）预算金额29万元人民币，不接受单批次报价超过849元人民币、总任务量低于342批次的投标报价；下半年食品安全监督抽检（标段六）预算金额28万元人民币，不接受单批次报价超过849元人民币、总任务量低于330批次的投标报价；承检机构考核（标段七）预算金额10万元人民币。</w:t>
      </w:r>
    </w:p>
    <w:p w14:paraId="02B6F9F0">
      <w:pPr>
        <w:pStyle w:val="13"/>
        <w:pBdr>
          <w:top w:val="none" w:color="000000" w:sz="0" w:space="0"/>
          <w:left w:val="none" w:color="000000" w:sz="0" w:space="0"/>
          <w:bottom w:val="none" w:color="000000" w:sz="0" w:space="0"/>
          <w:right w:val="none" w:color="000000" w:sz="0" w:space="0"/>
        </w:pBdr>
        <w:spacing w:line="360" w:lineRule="auto"/>
        <w:ind w:firstLine="480" w:firstLineChars="200"/>
        <w:jc w:val="left"/>
        <w:rPr>
          <w:rFonts w:ascii="宋体" w:hAnsi="宋体" w:cs="宋体"/>
          <w:sz w:val="24"/>
        </w:rPr>
      </w:pPr>
      <w:r>
        <w:rPr>
          <w:rFonts w:hint="eastAsia" w:ascii="宋体" w:hAnsi="宋体" w:cs="宋体"/>
          <w:sz w:val="24"/>
        </w:rPr>
        <w:t>（报价包含包括采样费、检测费、买样费、各种税费、交通费、人工、保险、利润、税金、复检合格应支付给复检机构的复检费用及合同包含的所有风险、责任等各项应有的全部费用，采购人不再支付报价以外的任何费用。）</w:t>
      </w:r>
    </w:p>
    <w:p w14:paraId="175148CE">
      <w:pPr>
        <w:pStyle w:val="12"/>
        <w:spacing w:line="360" w:lineRule="auto"/>
        <w:ind w:firstLine="480" w:firstLineChars="200"/>
        <w:jc w:val="left"/>
        <w:rPr>
          <w:rFonts w:hAnsi="宋体" w:cs="宋体"/>
          <w:b/>
          <w:bCs/>
          <w:szCs w:val="24"/>
        </w:rPr>
      </w:pPr>
      <w:r>
        <w:rPr>
          <w:rFonts w:hint="eastAsia" w:hAnsi="宋体" w:cs="宋体"/>
        </w:rPr>
        <w:t>3、项目属性：服务，</w:t>
      </w:r>
      <w:r>
        <w:rPr>
          <w:rFonts w:hint="eastAsia" w:hAnsi="宋体" w:cs="宋体"/>
          <w:b/>
          <w:bCs/>
          <w:szCs w:val="24"/>
        </w:rPr>
        <w:t>本项目是不</w:t>
      </w:r>
      <w:r>
        <w:rPr>
          <w:rFonts w:hint="eastAsia" w:hAnsi="宋体" w:cs="宋体"/>
          <w:b/>
          <w:bCs/>
          <w:szCs w:val="24"/>
          <w:lang w:val="en-US" w:eastAsia="zh-CN"/>
        </w:rPr>
        <w:t>属于</w:t>
      </w:r>
      <w:r>
        <w:rPr>
          <w:rFonts w:hint="eastAsia" w:hAnsi="宋体" w:cs="宋体"/>
          <w:b/>
          <w:bCs/>
          <w:szCs w:val="24"/>
        </w:rPr>
        <w:t>专门面向中小微企业采购的项目</w:t>
      </w:r>
    </w:p>
    <w:p w14:paraId="4544029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4、项目地点：徐州市</w:t>
      </w:r>
    </w:p>
    <w:p w14:paraId="7A43EBCC">
      <w:pPr>
        <w:spacing w:line="360" w:lineRule="auto"/>
        <w:ind w:firstLine="480" w:firstLineChars="200"/>
        <w:rPr>
          <w:rFonts w:ascii="宋体" w:hAnsi="宋体" w:eastAsia="宋体" w:cs="宋体"/>
          <w:b/>
          <w:color w:val="000000"/>
          <w:sz w:val="24"/>
        </w:rPr>
      </w:pPr>
      <w:r>
        <w:rPr>
          <w:rFonts w:hint="eastAsia" w:ascii="宋体" w:hAnsi="宋体" w:eastAsia="宋体" w:cs="宋体"/>
          <w:sz w:val="24"/>
          <w:szCs w:val="24"/>
        </w:rPr>
        <w:t>5、服务期限：</w:t>
      </w:r>
      <w:r>
        <w:rPr>
          <w:rFonts w:hint="eastAsia" w:ascii="宋体" w:hAnsi="宋体" w:eastAsia="宋体" w:cs="宋体"/>
          <w:b/>
          <w:color w:val="000000"/>
          <w:sz w:val="24"/>
        </w:rPr>
        <w:t>自合同签</w:t>
      </w:r>
      <w:r>
        <w:rPr>
          <w:rFonts w:hint="eastAsia" w:ascii="宋体" w:hAnsi="宋体" w:eastAsia="宋体" w:cs="宋体"/>
          <w:b/>
          <w:color w:val="000000"/>
          <w:sz w:val="24"/>
          <w:lang w:val="en-US" w:eastAsia="zh-CN"/>
        </w:rPr>
        <w:t>定</w:t>
      </w:r>
      <w:r>
        <w:rPr>
          <w:rFonts w:hint="eastAsia" w:ascii="宋体" w:hAnsi="宋体" w:eastAsia="宋体" w:cs="宋体"/>
          <w:b/>
          <w:color w:val="000000"/>
          <w:sz w:val="24"/>
        </w:rPr>
        <w:t>之日起至2025年12月31日</w:t>
      </w:r>
    </w:p>
    <w:p w14:paraId="65F6F2F8">
      <w:pPr>
        <w:pStyle w:val="12"/>
        <w:spacing w:line="360" w:lineRule="auto"/>
        <w:ind w:firstLine="480" w:firstLineChars="200"/>
        <w:jc w:val="left"/>
        <w:rPr>
          <w:rFonts w:hAnsi="宋体" w:cs="宋体"/>
          <w:color w:val="000000"/>
          <w:szCs w:val="24"/>
          <w:highlight w:val="yellow"/>
        </w:rPr>
      </w:pPr>
      <w:r>
        <w:rPr>
          <w:rFonts w:hint="eastAsia" w:hAnsi="宋体" w:cs="宋体"/>
          <w:szCs w:val="24"/>
        </w:rPr>
        <w:t>6、项目背景：</w:t>
      </w:r>
      <w:r>
        <w:rPr>
          <w:rFonts w:hint="eastAsia" w:hAnsi="宋体" w:cs="宋体"/>
          <w:color w:val="000000"/>
          <w:szCs w:val="24"/>
        </w:rPr>
        <w:t>为确保徐州市食品安全抽检监测工作顺利开展，现向全国范围内进行检验机构招标，承担2025年徐州市食品安全抽检监测任务。</w:t>
      </w:r>
    </w:p>
    <w:p w14:paraId="1D727E97">
      <w:pPr>
        <w:pStyle w:val="14"/>
        <w:ind w:firstLine="0"/>
      </w:pPr>
      <w:r>
        <w:rPr>
          <w:rFonts w:hint="eastAsia"/>
          <w:b/>
          <w:bCs/>
          <w:color w:val="000000"/>
          <w:sz w:val="24"/>
          <w:szCs w:val="24"/>
        </w:rPr>
        <w:t>二、</w:t>
      </w:r>
      <w:r>
        <w:rPr>
          <w:b/>
          <w:bCs/>
          <w:color w:val="000000"/>
          <w:sz w:val="24"/>
          <w:szCs w:val="24"/>
        </w:rPr>
        <w:t>服务范围</w:t>
      </w:r>
    </w:p>
    <w:p w14:paraId="618E1F53">
      <w:pPr>
        <w:pStyle w:val="14"/>
        <w:ind w:firstLine="480" w:firstLineChars="200"/>
        <w:rPr>
          <w:color w:val="000000"/>
          <w:sz w:val="24"/>
          <w:szCs w:val="24"/>
        </w:rPr>
      </w:pPr>
      <w:r>
        <w:rPr>
          <w:rFonts w:hint="eastAsia"/>
          <w:color w:val="000000"/>
          <w:sz w:val="24"/>
          <w:szCs w:val="24"/>
        </w:rPr>
        <w:t>1、</w:t>
      </w:r>
      <w:r>
        <w:rPr>
          <w:rFonts w:hint="eastAsia" w:cs="宋体"/>
          <w:sz w:val="24"/>
        </w:rPr>
        <w:t>上半年食品安全监督抽检（标段一）</w:t>
      </w:r>
      <w:r>
        <w:rPr>
          <w:rFonts w:hint="eastAsia"/>
          <w:color w:val="000000"/>
          <w:sz w:val="24"/>
          <w:szCs w:val="24"/>
        </w:rPr>
        <w:t>服务范围</w:t>
      </w:r>
      <w:r>
        <w:rPr>
          <w:color w:val="000000"/>
          <w:sz w:val="24"/>
          <w:szCs w:val="24"/>
        </w:rPr>
        <w:t>：</w:t>
      </w:r>
    </w:p>
    <w:p w14:paraId="260D5865">
      <w:pPr>
        <w:pStyle w:val="14"/>
        <w:ind w:firstLine="480" w:firstLineChars="200"/>
        <w:jc w:val="left"/>
        <w:rPr>
          <w:bCs/>
          <w:color w:val="000000"/>
          <w:sz w:val="24"/>
          <w:szCs w:val="24"/>
        </w:rPr>
      </w:pPr>
      <w:r>
        <w:rPr>
          <w:bCs/>
          <w:color w:val="000000"/>
          <w:sz w:val="24"/>
          <w:szCs w:val="24"/>
        </w:rPr>
        <w:t>对徐州市开展</w:t>
      </w:r>
      <w:r>
        <w:rPr>
          <w:rFonts w:hint="eastAsia"/>
          <w:color w:val="000000"/>
          <w:sz w:val="24"/>
          <w:szCs w:val="24"/>
        </w:rPr>
        <w:t>集中配餐、食用农产品专项一、食品添加剂、校园食品专项（春季）、生产企业跟踪抽检(不合格食品专项)、端午节食品及应急投</w:t>
      </w:r>
      <w:r>
        <w:rPr>
          <w:rFonts w:hint="eastAsia"/>
          <w:bCs/>
          <w:color w:val="000000"/>
          <w:sz w:val="24"/>
          <w:szCs w:val="24"/>
        </w:rPr>
        <w:t>诉等食品安全</w:t>
      </w:r>
      <w:r>
        <w:rPr>
          <w:bCs/>
          <w:color w:val="000000"/>
          <w:sz w:val="24"/>
          <w:szCs w:val="24"/>
        </w:rPr>
        <w:t>监督抽检。</w:t>
      </w:r>
    </w:p>
    <w:p w14:paraId="7DBC8E39">
      <w:pPr>
        <w:pStyle w:val="14"/>
        <w:ind w:firstLine="480" w:firstLineChars="200"/>
        <w:rPr>
          <w:color w:val="000000"/>
          <w:sz w:val="24"/>
          <w:szCs w:val="24"/>
        </w:rPr>
      </w:pPr>
      <w:r>
        <w:rPr>
          <w:rFonts w:hint="eastAsia"/>
          <w:color w:val="000000"/>
          <w:sz w:val="24"/>
          <w:szCs w:val="24"/>
        </w:rPr>
        <w:t>2、</w:t>
      </w:r>
      <w:r>
        <w:rPr>
          <w:rFonts w:hint="eastAsia" w:cs="宋体"/>
          <w:sz w:val="24"/>
        </w:rPr>
        <w:t>上半年食品安全监督抽检（标段二）</w:t>
      </w:r>
      <w:r>
        <w:rPr>
          <w:rFonts w:hint="eastAsia"/>
          <w:color w:val="000000"/>
          <w:sz w:val="24"/>
          <w:szCs w:val="24"/>
        </w:rPr>
        <w:t>服务范围</w:t>
      </w:r>
      <w:r>
        <w:rPr>
          <w:color w:val="000000"/>
          <w:sz w:val="24"/>
          <w:szCs w:val="24"/>
        </w:rPr>
        <w:t>：</w:t>
      </w:r>
    </w:p>
    <w:p w14:paraId="4CBCA00B">
      <w:pPr>
        <w:pStyle w:val="14"/>
        <w:ind w:firstLine="480" w:firstLineChars="200"/>
        <w:rPr>
          <w:bCs/>
          <w:color w:val="000000"/>
          <w:sz w:val="24"/>
          <w:szCs w:val="24"/>
        </w:rPr>
      </w:pPr>
      <w:r>
        <w:rPr>
          <w:bCs/>
          <w:color w:val="000000"/>
          <w:sz w:val="24"/>
          <w:szCs w:val="24"/>
        </w:rPr>
        <w:t>对徐州市开展</w:t>
      </w:r>
      <w:r>
        <w:rPr>
          <w:rFonts w:hint="eastAsia"/>
          <w:color w:val="000000"/>
          <w:sz w:val="24"/>
          <w:szCs w:val="24"/>
        </w:rPr>
        <w:t>肉制品</w:t>
      </w:r>
      <w:r>
        <w:rPr>
          <w:rFonts w:hint="eastAsia"/>
          <w:bCs/>
          <w:color w:val="000000"/>
          <w:sz w:val="24"/>
          <w:szCs w:val="24"/>
        </w:rPr>
        <w:t>、中型、小型餐饮食品</w:t>
      </w:r>
      <w:r>
        <w:rPr>
          <w:bCs/>
          <w:color w:val="000000"/>
          <w:sz w:val="24"/>
          <w:szCs w:val="24"/>
        </w:rPr>
        <w:t>安全</w:t>
      </w:r>
      <w:r>
        <w:rPr>
          <w:rFonts w:hint="eastAsia"/>
          <w:bCs/>
          <w:color w:val="000000"/>
          <w:sz w:val="24"/>
          <w:szCs w:val="24"/>
        </w:rPr>
        <w:t>专项</w:t>
      </w:r>
      <w:r>
        <w:rPr>
          <w:bCs/>
          <w:color w:val="000000"/>
          <w:sz w:val="24"/>
          <w:szCs w:val="24"/>
        </w:rPr>
        <w:t>监督抽检。</w:t>
      </w:r>
    </w:p>
    <w:p w14:paraId="2F93C61F">
      <w:pPr>
        <w:pStyle w:val="14"/>
        <w:ind w:firstLine="480" w:firstLineChars="200"/>
        <w:rPr>
          <w:color w:val="000000"/>
          <w:sz w:val="24"/>
          <w:szCs w:val="24"/>
        </w:rPr>
      </w:pPr>
      <w:r>
        <w:rPr>
          <w:rFonts w:hint="eastAsia"/>
          <w:color w:val="000000"/>
          <w:sz w:val="24"/>
          <w:szCs w:val="24"/>
        </w:rPr>
        <w:t>3、</w:t>
      </w:r>
      <w:r>
        <w:rPr>
          <w:rFonts w:hint="eastAsia" w:cs="宋体"/>
          <w:sz w:val="24"/>
        </w:rPr>
        <w:t>上半年食品安全监督抽检（标段三）</w:t>
      </w:r>
      <w:r>
        <w:rPr>
          <w:rFonts w:hint="eastAsia"/>
          <w:color w:val="000000"/>
          <w:sz w:val="24"/>
          <w:szCs w:val="24"/>
        </w:rPr>
        <w:t>服务范围</w:t>
      </w:r>
      <w:r>
        <w:rPr>
          <w:color w:val="000000"/>
          <w:sz w:val="24"/>
          <w:szCs w:val="24"/>
        </w:rPr>
        <w:t>：</w:t>
      </w:r>
    </w:p>
    <w:p w14:paraId="383B97BC">
      <w:pPr>
        <w:pStyle w:val="14"/>
        <w:ind w:firstLine="480" w:firstLineChars="200"/>
        <w:rPr>
          <w:bCs/>
          <w:color w:val="000000"/>
          <w:sz w:val="24"/>
          <w:szCs w:val="24"/>
        </w:rPr>
      </w:pPr>
      <w:r>
        <w:rPr>
          <w:bCs/>
          <w:color w:val="000000"/>
          <w:sz w:val="24"/>
          <w:szCs w:val="24"/>
        </w:rPr>
        <w:t>对徐州市开展</w:t>
      </w:r>
      <w:r>
        <w:rPr>
          <w:rFonts w:hint="eastAsia"/>
          <w:bCs/>
          <w:color w:val="000000"/>
          <w:sz w:val="24"/>
          <w:szCs w:val="24"/>
        </w:rPr>
        <w:t>食用农产品专项二、旅游景点景区食品</w:t>
      </w:r>
      <w:r>
        <w:rPr>
          <w:bCs/>
          <w:color w:val="000000"/>
          <w:sz w:val="24"/>
          <w:szCs w:val="24"/>
        </w:rPr>
        <w:t>安全</w:t>
      </w:r>
      <w:r>
        <w:rPr>
          <w:rFonts w:hint="eastAsia"/>
          <w:bCs/>
          <w:color w:val="000000"/>
          <w:sz w:val="24"/>
          <w:szCs w:val="24"/>
        </w:rPr>
        <w:t>专项</w:t>
      </w:r>
      <w:r>
        <w:rPr>
          <w:bCs/>
          <w:color w:val="000000"/>
          <w:sz w:val="24"/>
          <w:szCs w:val="24"/>
        </w:rPr>
        <w:t>监督抽检。</w:t>
      </w:r>
    </w:p>
    <w:p w14:paraId="71BED8A2">
      <w:pPr>
        <w:pStyle w:val="14"/>
        <w:ind w:firstLine="480" w:firstLineChars="200"/>
        <w:rPr>
          <w:color w:val="000000"/>
          <w:sz w:val="24"/>
          <w:szCs w:val="24"/>
        </w:rPr>
      </w:pPr>
      <w:r>
        <w:rPr>
          <w:rFonts w:hint="eastAsia"/>
          <w:color w:val="000000"/>
          <w:sz w:val="24"/>
          <w:szCs w:val="24"/>
        </w:rPr>
        <w:t>4、</w:t>
      </w:r>
      <w:r>
        <w:rPr>
          <w:rFonts w:hint="eastAsia" w:cs="宋体"/>
          <w:sz w:val="24"/>
        </w:rPr>
        <w:t>下半年食品安全监督抽检（标段四）</w:t>
      </w:r>
      <w:r>
        <w:rPr>
          <w:rFonts w:hint="eastAsia"/>
          <w:color w:val="000000"/>
          <w:sz w:val="24"/>
          <w:szCs w:val="24"/>
        </w:rPr>
        <w:t>服务范围</w:t>
      </w:r>
      <w:r>
        <w:rPr>
          <w:color w:val="000000"/>
          <w:sz w:val="24"/>
          <w:szCs w:val="24"/>
        </w:rPr>
        <w:t>：</w:t>
      </w:r>
    </w:p>
    <w:p w14:paraId="267A6291">
      <w:pPr>
        <w:pStyle w:val="14"/>
        <w:ind w:firstLine="480" w:firstLineChars="200"/>
        <w:jc w:val="left"/>
        <w:rPr>
          <w:bCs/>
          <w:color w:val="000000"/>
          <w:sz w:val="24"/>
          <w:szCs w:val="24"/>
        </w:rPr>
      </w:pPr>
      <w:r>
        <w:rPr>
          <w:bCs/>
          <w:color w:val="000000"/>
          <w:sz w:val="24"/>
          <w:szCs w:val="24"/>
        </w:rPr>
        <w:t>对徐州市开展</w:t>
      </w:r>
      <w:r>
        <w:rPr>
          <w:rFonts w:hint="eastAsia"/>
          <w:bCs/>
          <w:color w:val="000000"/>
          <w:sz w:val="24"/>
          <w:szCs w:val="24"/>
        </w:rPr>
        <w:t>夏季食品、网络食品、秋季校园、农村食品专项、中秋国庆、元旦春节</w:t>
      </w:r>
      <w:r>
        <w:rPr>
          <w:rFonts w:hint="eastAsia"/>
          <w:color w:val="000000"/>
          <w:sz w:val="24"/>
          <w:szCs w:val="24"/>
        </w:rPr>
        <w:t>及应急投</w:t>
      </w:r>
      <w:r>
        <w:rPr>
          <w:rFonts w:hint="eastAsia"/>
          <w:bCs/>
          <w:color w:val="000000"/>
          <w:sz w:val="24"/>
          <w:szCs w:val="24"/>
        </w:rPr>
        <w:t>诉等食品安全</w:t>
      </w:r>
      <w:r>
        <w:rPr>
          <w:bCs/>
          <w:color w:val="000000"/>
          <w:sz w:val="24"/>
          <w:szCs w:val="24"/>
        </w:rPr>
        <w:t>监督抽检。</w:t>
      </w:r>
    </w:p>
    <w:p w14:paraId="3FA92B4F">
      <w:pPr>
        <w:pStyle w:val="14"/>
        <w:ind w:firstLine="480" w:firstLineChars="200"/>
        <w:rPr>
          <w:color w:val="000000"/>
          <w:sz w:val="24"/>
          <w:szCs w:val="24"/>
        </w:rPr>
      </w:pPr>
      <w:r>
        <w:rPr>
          <w:rFonts w:hint="eastAsia"/>
          <w:color w:val="000000"/>
          <w:sz w:val="24"/>
          <w:szCs w:val="24"/>
        </w:rPr>
        <w:t>5、</w:t>
      </w:r>
      <w:r>
        <w:rPr>
          <w:rFonts w:hint="eastAsia" w:cs="宋体"/>
          <w:sz w:val="24"/>
        </w:rPr>
        <w:t>下半年食品安全监督抽检（标段五）</w:t>
      </w:r>
      <w:r>
        <w:rPr>
          <w:rFonts w:hint="eastAsia"/>
          <w:color w:val="000000"/>
          <w:sz w:val="24"/>
          <w:szCs w:val="24"/>
        </w:rPr>
        <w:t>服务范围</w:t>
      </w:r>
      <w:r>
        <w:rPr>
          <w:color w:val="000000"/>
          <w:sz w:val="24"/>
          <w:szCs w:val="24"/>
        </w:rPr>
        <w:t>：</w:t>
      </w:r>
    </w:p>
    <w:p w14:paraId="4849EDA3">
      <w:pPr>
        <w:pStyle w:val="14"/>
        <w:ind w:firstLine="480" w:firstLineChars="200"/>
        <w:rPr>
          <w:bCs/>
          <w:color w:val="000000"/>
          <w:sz w:val="24"/>
          <w:szCs w:val="24"/>
        </w:rPr>
      </w:pPr>
      <w:r>
        <w:rPr>
          <w:bCs/>
          <w:color w:val="000000"/>
          <w:sz w:val="24"/>
          <w:szCs w:val="24"/>
        </w:rPr>
        <w:t>对徐州市开展</w:t>
      </w:r>
      <w:r>
        <w:rPr>
          <w:rFonts w:hint="eastAsia"/>
          <w:bCs/>
          <w:color w:val="000000"/>
          <w:sz w:val="24"/>
          <w:szCs w:val="24"/>
        </w:rPr>
        <w:t>保健食品、重点食用农产品</w:t>
      </w:r>
      <w:r>
        <w:rPr>
          <w:bCs/>
          <w:color w:val="000000"/>
          <w:sz w:val="24"/>
          <w:szCs w:val="24"/>
        </w:rPr>
        <w:t>安全</w:t>
      </w:r>
      <w:r>
        <w:rPr>
          <w:rFonts w:hint="eastAsia"/>
          <w:bCs/>
          <w:color w:val="000000"/>
          <w:sz w:val="24"/>
          <w:szCs w:val="24"/>
        </w:rPr>
        <w:t>专项</w:t>
      </w:r>
      <w:r>
        <w:rPr>
          <w:bCs/>
          <w:color w:val="000000"/>
          <w:sz w:val="24"/>
          <w:szCs w:val="24"/>
        </w:rPr>
        <w:t>监督抽检。</w:t>
      </w:r>
    </w:p>
    <w:p w14:paraId="3BD22E52">
      <w:pPr>
        <w:pStyle w:val="14"/>
        <w:ind w:firstLine="480" w:firstLineChars="200"/>
        <w:rPr>
          <w:color w:val="000000"/>
          <w:sz w:val="24"/>
          <w:szCs w:val="24"/>
        </w:rPr>
      </w:pPr>
      <w:r>
        <w:rPr>
          <w:rFonts w:hint="eastAsia"/>
          <w:color w:val="000000"/>
          <w:sz w:val="24"/>
          <w:szCs w:val="24"/>
        </w:rPr>
        <w:t>6、</w:t>
      </w:r>
      <w:r>
        <w:rPr>
          <w:rFonts w:hint="eastAsia" w:cs="宋体"/>
          <w:sz w:val="24"/>
        </w:rPr>
        <w:t>下半年食品安全监督抽检（标段六）</w:t>
      </w:r>
      <w:r>
        <w:rPr>
          <w:rFonts w:hint="eastAsia"/>
          <w:color w:val="000000"/>
          <w:sz w:val="24"/>
          <w:szCs w:val="24"/>
        </w:rPr>
        <w:t>服务范围</w:t>
      </w:r>
      <w:r>
        <w:rPr>
          <w:color w:val="000000"/>
          <w:sz w:val="24"/>
          <w:szCs w:val="24"/>
        </w:rPr>
        <w:t>：</w:t>
      </w:r>
    </w:p>
    <w:p w14:paraId="28FFF077">
      <w:pPr>
        <w:pStyle w:val="14"/>
        <w:ind w:firstLine="480" w:firstLineChars="200"/>
        <w:rPr>
          <w:bCs/>
          <w:color w:val="000000"/>
          <w:sz w:val="24"/>
          <w:szCs w:val="24"/>
        </w:rPr>
      </w:pPr>
      <w:r>
        <w:rPr>
          <w:bCs/>
          <w:color w:val="000000"/>
          <w:sz w:val="24"/>
          <w:szCs w:val="24"/>
        </w:rPr>
        <w:t>对徐州市开展</w:t>
      </w:r>
      <w:r>
        <w:rPr>
          <w:rFonts w:hint="eastAsia"/>
          <w:bCs/>
          <w:color w:val="000000"/>
          <w:sz w:val="24"/>
          <w:szCs w:val="24"/>
        </w:rPr>
        <w:t>散装食品、交通场所食品</w:t>
      </w:r>
      <w:r>
        <w:rPr>
          <w:bCs/>
          <w:color w:val="000000"/>
          <w:sz w:val="24"/>
          <w:szCs w:val="24"/>
        </w:rPr>
        <w:t>安全</w:t>
      </w:r>
      <w:r>
        <w:rPr>
          <w:rFonts w:hint="eastAsia"/>
          <w:bCs/>
          <w:color w:val="000000"/>
          <w:sz w:val="24"/>
          <w:szCs w:val="24"/>
        </w:rPr>
        <w:t>专项</w:t>
      </w:r>
      <w:r>
        <w:rPr>
          <w:bCs/>
          <w:color w:val="000000"/>
          <w:sz w:val="24"/>
          <w:szCs w:val="24"/>
        </w:rPr>
        <w:t>监督抽检。</w:t>
      </w:r>
    </w:p>
    <w:p w14:paraId="2DD0B1D3">
      <w:pPr>
        <w:numPr>
          <w:ilvl w:val="0"/>
          <w:numId w:val="3"/>
        </w:numPr>
        <w:spacing w:line="360" w:lineRule="auto"/>
        <w:ind w:firstLine="480" w:firstLineChars="200"/>
        <w:rPr>
          <w:rFonts w:ascii="宋体" w:hAnsi="宋体" w:eastAsia="宋体"/>
          <w:color w:val="000000"/>
          <w:sz w:val="24"/>
          <w:szCs w:val="24"/>
        </w:rPr>
      </w:pPr>
      <w:r>
        <w:rPr>
          <w:rFonts w:hint="eastAsia" w:ascii="宋体" w:hAnsi="宋体" w:cs="宋体"/>
          <w:sz w:val="24"/>
        </w:rPr>
        <w:t>承检机构考核（</w:t>
      </w:r>
      <w:r>
        <w:rPr>
          <w:rFonts w:hint="eastAsia" w:ascii="宋体" w:hAnsi="宋体" w:eastAsia="宋体" w:cs="宋体"/>
          <w:sz w:val="24"/>
        </w:rPr>
        <w:t>标段七</w:t>
      </w:r>
      <w:r>
        <w:rPr>
          <w:rFonts w:hint="eastAsia" w:ascii="宋体" w:hAnsi="宋体" w:cs="宋体"/>
          <w:sz w:val="24"/>
        </w:rPr>
        <w:t>）</w:t>
      </w:r>
      <w:r>
        <w:rPr>
          <w:rFonts w:hint="eastAsia" w:ascii="宋体" w:hAnsi="宋体" w:eastAsia="宋体"/>
          <w:color w:val="000000"/>
          <w:sz w:val="24"/>
          <w:szCs w:val="24"/>
        </w:rPr>
        <w:t>服务范围：</w:t>
      </w:r>
    </w:p>
    <w:p w14:paraId="54FC3789">
      <w:pPr>
        <w:pStyle w:val="14"/>
        <w:ind w:firstLine="480" w:firstLineChars="200"/>
        <w:rPr>
          <w:bCs/>
          <w:color w:val="000000"/>
          <w:sz w:val="24"/>
          <w:szCs w:val="24"/>
        </w:rPr>
      </w:pPr>
      <w:r>
        <w:rPr>
          <w:rFonts w:hint="eastAsia"/>
          <w:bCs/>
          <w:color w:val="000000"/>
          <w:sz w:val="24"/>
          <w:szCs w:val="24"/>
        </w:rPr>
        <w:t xml:space="preserve"> 对2025年度全市食品安全承检机构进行考核。</w:t>
      </w:r>
    </w:p>
    <w:p w14:paraId="30341871">
      <w:pPr>
        <w:pStyle w:val="14"/>
        <w:ind w:firstLine="480" w:firstLineChars="200"/>
        <w:rPr>
          <w:bCs/>
          <w:color w:val="000000"/>
          <w:sz w:val="24"/>
          <w:szCs w:val="24"/>
        </w:rPr>
      </w:pPr>
      <w:r>
        <w:rPr>
          <w:rFonts w:hint="eastAsia"/>
          <w:bCs/>
          <w:color w:val="000000"/>
          <w:sz w:val="24"/>
          <w:szCs w:val="24"/>
        </w:rPr>
        <w:t>考核内容包括：盲样考核、现场考核、报告考核、留样再测。</w:t>
      </w:r>
    </w:p>
    <w:p w14:paraId="1E25F02A">
      <w:pPr>
        <w:pStyle w:val="18"/>
        <w:spacing w:line="360" w:lineRule="auto"/>
        <w:ind w:firstLine="480"/>
        <w:rPr>
          <w:rFonts w:ascii="宋体" w:hAnsi="宋体"/>
          <w:b/>
          <w:bCs/>
          <w:sz w:val="24"/>
        </w:rPr>
      </w:pPr>
      <w:r>
        <w:rPr>
          <w:rFonts w:ascii="宋体" w:hAnsi="宋体"/>
          <w:b/>
          <w:bCs/>
          <w:sz w:val="24"/>
        </w:rPr>
        <w:t>注：</w:t>
      </w:r>
      <w:r>
        <w:rPr>
          <w:rFonts w:hint="eastAsia" w:ascii="宋体" w:hAnsi="宋体"/>
          <w:b/>
          <w:bCs/>
          <w:sz w:val="24"/>
        </w:rPr>
        <w:t>各标段的总任务量，</w:t>
      </w:r>
      <w:r>
        <w:rPr>
          <w:rFonts w:ascii="宋体" w:hAnsi="宋体"/>
          <w:b/>
          <w:bCs/>
          <w:sz w:val="24"/>
        </w:rPr>
        <w:t>是采购人根据工作计划初步测算的结果，实际履约时</w:t>
      </w:r>
      <w:r>
        <w:rPr>
          <w:rFonts w:hint="eastAsia" w:ascii="宋体" w:hAnsi="宋体"/>
          <w:b/>
          <w:bCs/>
          <w:sz w:val="24"/>
        </w:rPr>
        <w:t>各监督抽检专项</w:t>
      </w:r>
      <w:r>
        <w:rPr>
          <w:rFonts w:ascii="宋体" w:hAnsi="宋体"/>
          <w:b/>
          <w:bCs/>
          <w:sz w:val="24"/>
        </w:rPr>
        <w:t>的批次数由采购人根据工作任务动态调整。在执行招标文件规定的计价原则和最高限价的前提下，实际履约过程中当实际结算支付的所有费用总金额达到预算金额时，采购人不再安排抽检任务批次。</w:t>
      </w:r>
    </w:p>
    <w:p w14:paraId="05B517EF">
      <w:pPr>
        <w:pStyle w:val="18"/>
        <w:spacing w:line="360" w:lineRule="auto"/>
        <w:ind w:firstLine="0"/>
        <w:rPr>
          <w:rFonts w:ascii="宋体" w:hAnsi="宋体"/>
          <w:b/>
          <w:bCs/>
          <w:sz w:val="24"/>
        </w:rPr>
      </w:pPr>
      <w:r>
        <w:rPr>
          <w:rFonts w:hint="eastAsia" w:ascii="宋体" w:hAnsi="宋体"/>
          <w:b/>
          <w:bCs/>
          <w:sz w:val="24"/>
        </w:rPr>
        <w:t>三、</w:t>
      </w:r>
      <w:r>
        <w:rPr>
          <w:rFonts w:ascii="宋体" w:hAnsi="宋体"/>
          <w:b/>
          <w:bCs/>
          <w:sz w:val="24"/>
        </w:rPr>
        <w:t>项目要求：</w:t>
      </w:r>
    </w:p>
    <w:p w14:paraId="06F608EC">
      <w:pPr>
        <w:pStyle w:val="18"/>
        <w:spacing w:line="360" w:lineRule="auto"/>
        <w:ind w:firstLine="480"/>
        <w:rPr>
          <w:rFonts w:ascii="宋体" w:hAnsi="宋体"/>
          <w:sz w:val="24"/>
        </w:rPr>
      </w:pPr>
      <w:r>
        <w:rPr>
          <w:rFonts w:ascii="宋体" w:hAnsi="宋体"/>
          <w:sz w:val="24"/>
        </w:rPr>
        <w:t>1、抽检范围及品种</w:t>
      </w:r>
    </w:p>
    <w:p w14:paraId="54D79DD7">
      <w:pPr>
        <w:pStyle w:val="18"/>
        <w:spacing w:line="360" w:lineRule="auto"/>
        <w:ind w:firstLine="480"/>
        <w:rPr>
          <w:rFonts w:ascii="宋体" w:hAnsi="宋体"/>
          <w:sz w:val="24"/>
        </w:rPr>
      </w:pPr>
      <w:r>
        <w:rPr>
          <w:rFonts w:ascii="宋体" w:hAnsi="宋体"/>
          <w:sz w:val="24"/>
        </w:rPr>
        <w:t>食用农产品，在抽样品种上，应结合季节供应特点、当地食用习惯合理确定各类食用农产品的抽样比例和批次，不得同一农产品反复抽检，重点抽检当季食用农产品，对不合格较多的食用农产品适当增加抽检频次。</w:t>
      </w:r>
    </w:p>
    <w:p w14:paraId="00A20E81">
      <w:pPr>
        <w:pStyle w:val="18"/>
        <w:spacing w:line="360" w:lineRule="auto"/>
        <w:ind w:firstLine="480"/>
        <w:rPr>
          <w:rFonts w:ascii="宋体" w:hAnsi="宋体"/>
          <w:sz w:val="24"/>
        </w:rPr>
      </w:pPr>
      <w:r>
        <w:rPr>
          <w:rFonts w:ascii="宋体" w:hAnsi="宋体"/>
          <w:sz w:val="24"/>
        </w:rPr>
        <w:t>2、检测项目</w:t>
      </w:r>
    </w:p>
    <w:p w14:paraId="4F094BA9">
      <w:pPr>
        <w:pStyle w:val="18"/>
        <w:spacing w:line="360" w:lineRule="auto"/>
        <w:ind w:firstLine="480"/>
        <w:rPr>
          <w:rFonts w:ascii="宋体" w:hAnsi="宋体"/>
          <w:sz w:val="24"/>
        </w:rPr>
      </w:pPr>
      <w:r>
        <w:rPr>
          <w:rFonts w:ascii="宋体" w:hAnsi="宋体"/>
          <w:sz w:val="24"/>
        </w:rPr>
        <w:t>食用农产品检测项目包括必检项目及可选项目，</w:t>
      </w:r>
      <w:r>
        <w:rPr>
          <w:rFonts w:ascii="宋体" w:hAnsi="宋体"/>
          <w:b/>
          <w:bCs/>
          <w:sz w:val="24"/>
        </w:rPr>
        <w:t>按</w:t>
      </w:r>
      <w:r>
        <w:rPr>
          <w:rFonts w:hint="eastAsia" w:ascii="宋体" w:hAnsi="宋体"/>
          <w:b/>
          <w:bCs/>
          <w:sz w:val="24"/>
        </w:rPr>
        <w:t>附件1</w:t>
      </w:r>
      <w:r>
        <w:rPr>
          <w:rFonts w:ascii="宋体" w:hAnsi="宋体"/>
          <w:sz w:val="24"/>
        </w:rPr>
        <w:t>：《</w:t>
      </w:r>
      <w:r>
        <w:rPr>
          <w:rFonts w:hint="eastAsia" w:ascii="宋体" w:hAnsi="宋体"/>
          <w:sz w:val="24"/>
        </w:rPr>
        <w:t>2025</w:t>
      </w:r>
      <w:r>
        <w:rPr>
          <w:rFonts w:ascii="宋体" w:hAnsi="宋体"/>
          <w:sz w:val="24"/>
        </w:rPr>
        <w:t>年徐州市级食用农产品安全监督抽检品种及项目表》执行。</w:t>
      </w:r>
    </w:p>
    <w:p w14:paraId="18C6E4AD">
      <w:pPr>
        <w:pStyle w:val="18"/>
        <w:numPr>
          <w:ilvl w:val="0"/>
          <w:numId w:val="4"/>
        </w:numPr>
        <w:spacing w:line="360" w:lineRule="auto"/>
        <w:ind w:firstLine="480"/>
        <w:rPr>
          <w:rFonts w:ascii="宋体" w:hAnsi="宋体"/>
          <w:sz w:val="24"/>
        </w:rPr>
      </w:pPr>
      <w:r>
        <w:rPr>
          <w:rFonts w:ascii="宋体" w:hAnsi="宋体"/>
          <w:sz w:val="24"/>
        </w:rPr>
        <w:t>食用农产品其他抽检要求</w:t>
      </w:r>
    </w:p>
    <w:p w14:paraId="6E413679">
      <w:pPr>
        <w:pStyle w:val="18"/>
        <w:spacing w:line="360" w:lineRule="auto"/>
        <w:ind w:firstLine="480"/>
        <w:rPr>
          <w:rFonts w:ascii="宋体" w:hAnsi="宋体"/>
          <w:sz w:val="24"/>
        </w:rPr>
      </w:pPr>
      <w:r>
        <w:rPr>
          <w:rFonts w:ascii="宋体" w:hAnsi="宋体"/>
          <w:sz w:val="24"/>
        </w:rPr>
        <w:t>食用农产品其他抽检要求按江苏省市场监督管理局《2022年江苏省食品安全抽检</w:t>
      </w:r>
      <w:r>
        <w:rPr>
          <w:rFonts w:hint="eastAsia" w:ascii="宋体" w:hAnsi="宋体"/>
          <w:sz w:val="24"/>
        </w:rPr>
        <w:t>监</w:t>
      </w:r>
      <w:r>
        <w:rPr>
          <w:rFonts w:ascii="宋体" w:hAnsi="宋体"/>
          <w:sz w:val="24"/>
        </w:rPr>
        <w:t>测工作计划》（苏市监食检【2022】53号）</w:t>
      </w:r>
      <w:r>
        <w:rPr>
          <w:rFonts w:ascii="宋体" w:hAnsi="宋体"/>
          <w:b/>
          <w:bCs/>
          <w:sz w:val="24"/>
        </w:rPr>
        <w:t>附件</w:t>
      </w:r>
      <w:r>
        <w:rPr>
          <w:rFonts w:hint="eastAsia" w:ascii="宋体" w:hAnsi="宋体"/>
          <w:b/>
          <w:bCs/>
          <w:sz w:val="24"/>
          <w:lang w:val="en-US" w:eastAsia="zh-CN"/>
        </w:rPr>
        <w:t>2</w:t>
      </w:r>
      <w:r>
        <w:rPr>
          <w:rFonts w:ascii="宋体" w:hAnsi="宋体"/>
          <w:sz w:val="24"/>
        </w:rPr>
        <w:t>“2022年食用农产品监督抽检工作要求”执行。</w:t>
      </w:r>
    </w:p>
    <w:p w14:paraId="1FA2167E">
      <w:pPr>
        <w:pStyle w:val="18"/>
        <w:numPr>
          <w:ilvl w:val="0"/>
          <w:numId w:val="4"/>
        </w:numPr>
        <w:spacing w:line="360" w:lineRule="auto"/>
        <w:ind w:firstLine="480"/>
        <w:rPr>
          <w:rFonts w:ascii="宋体" w:hAnsi="宋体"/>
          <w:sz w:val="24"/>
        </w:rPr>
      </w:pPr>
      <w:r>
        <w:rPr>
          <w:rFonts w:ascii="宋体" w:hAnsi="宋体"/>
          <w:sz w:val="24"/>
        </w:rPr>
        <w:t>食品安全监督抽检品种、项目</w:t>
      </w:r>
    </w:p>
    <w:p w14:paraId="19103115">
      <w:pPr>
        <w:pStyle w:val="18"/>
        <w:spacing w:line="360" w:lineRule="auto"/>
        <w:ind w:firstLine="482"/>
        <w:rPr>
          <w:rFonts w:ascii="宋体" w:hAnsi="宋体"/>
          <w:sz w:val="24"/>
        </w:rPr>
      </w:pPr>
      <w:r>
        <w:rPr>
          <w:rFonts w:ascii="宋体" w:hAnsi="宋体"/>
          <w:sz w:val="24"/>
        </w:rPr>
        <w:t>食品细类检验项目按照《国家食品安全监督抽检实施细则》</w:t>
      </w:r>
      <w:r>
        <w:rPr>
          <w:rFonts w:hint="eastAsia" w:ascii="宋体" w:hAnsi="宋体"/>
          <w:sz w:val="24"/>
        </w:rPr>
        <w:t>2025</w:t>
      </w:r>
      <w:r>
        <w:rPr>
          <w:rFonts w:ascii="宋体" w:hAnsi="宋体"/>
          <w:sz w:val="24"/>
        </w:rPr>
        <w:t>版为基准，该细则细类检验项目少于8个项目按实际项目检验，8个项目以上按60%项目检验，但不得少于8个项目。</w:t>
      </w:r>
    </w:p>
    <w:p w14:paraId="27F0FB8D">
      <w:pPr>
        <w:pStyle w:val="18"/>
        <w:numPr>
          <w:ilvl w:val="0"/>
          <w:numId w:val="4"/>
        </w:numPr>
        <w:spacing w:line="360" w:lineRule="auto"/>
        <w:ind w:firstLine="480"/>
        <w:rPr>
          <w:rFonts w:ascii="宋体" w:hAnsi="宋体"/>
          <w:sz w:val="24"/>
        </w:rPr>
      </w:pPr>
      <w:r>
        <w:rPr>
          <w:rFonts w:hint="eastAsia" w:ascii="宋体" w:hAnsi="宋体"/>
          <w:sz w:val="24"/>
        </w:rPr>
        <w:t>承检机构在抽检工作开始前将抽检计划、方案（含具体检测项目）报委托方备案。</w:t>
      </w:r>
    </w:p>
    <w:p w14:paraId="454C54A8">
      <w:pPr>
        <w:pStyle w:val="13"/>
        <w:spacing w:line="360" w:lineRule="auto"/>
        <w:rPr>
          <w:rFonts w:ascii="宋体" w:hAnsi="宋体"/>
          <w:b/>
          <w:color w:val="000000"/>
          <w:sz w:val="24"/>
        </w:rPr>
      </w:pPr>
    </w:p>
    <w:p w14:paraId="2EF35366">
      <w:pPr>
        <w:pStyle w:val="13"/>
        <w:spacing w:line="360" w:lineRule="auto"/>
        <w:rPr>
          <w:b/>
        </w:rPr>
      </w:pPr>
      <w:r>
        <w:rPr>
          <w:rFonts w:hint="eastAsia" w:ascii="宋体" w:hAnsi="宋体"/>
          <w:b/>
          <w:color w:val="000000"/>
          <w:sz w:val="24"/>
        </w:rPr>
        <w:t>四、</w:t>
      </w:r>
      <w:r>
        <w:rPr>
          <w:rFonts w:ascii="宋体" w:hAnsi="宋体"/>
          <w:b/>
          <w:color w:val="000000"/>
          <w:sz w:val="24"/>
        </w:rPr>
        <w:t>工作要求</w:t>
      </w:r>
    </w:p>
    <w:p w14:paraId="0A49204F">
      <w:pPr>
        <w:pStyle w:val="13"/>
        <w:spacing w:line="360" w:lineRule="auto"/>
        <w:ind w:firstLine="480"/>
        <w:rPr>
          <w:rFonts w:ascii="宋体" w:hAnsi="宋体"/>
          <w:color w:val="000000"/>
          <w:sz w:val="24"/>
        </w:rPr>
      </w:pPr>
      <w:r>
        <w:rPr>
          <w:rFonts w:ascii="宋体" w:hAnsi="宋体"/>
          <w:color w:val="000000"/>
          <w:sz w:val="24"/>
        </w:rPr>
        <w:t>1. 承检机构应严格按照《食品安全法》及其《实施条例》，以及《国家食品安全监督抽检实施细则》、</w:t>
      </w:r>
      <w:r>
        <w:rPr>
          <w:rFonts w:hint="eastAsia" w:ascii="宋体" w:hAnsi="宋体"/>
          <w:color w:val="000000"/>
          <w:sz w:val="24"/>
        </w:rPr>
        <w:t>《食品安全抽样检验工作规范》、《食品安全抽样检验管理办法》、《食用农产品抽样检验和核查处置规定》</w:t>
      </w:r>
      <w:r>
        <w:rPr>
          <w:rFonts w:ascii="宋体" w:hAnsi="宋体"/>
          <w:color w:val="000000"/>
          <w:sz w:val="24"/>
        </w:rPr>
        <w:t>等相关规定和要求实施抽样检验工作，对检测报告承担法律责任。</w:t>
      </w:r>
    </w:p>
    <w:p w14:paraId="6596AB0E">
      <w:pPr>
        <w:pStyle w:val="13"/>
        <w:spacing w:line="360" w:lineRule="auto"/>
        <w:ind w:firstLine="480"/>
        <w:rPr>
          <w:rFonts w:ascii="宋体" w:hAnsi="宋体"/>
          <w:color w:val="000000"/>
          <w:sz w:val="24"/>
        </w:rPr>
      </w:pPr>
      <w:r>
        <w:rPr>
          <w:rFonts w:ascii="宋体" w:hAnsi="宋体"/>
          <w:color w:val="000000"/>
          <w:sz w:val="24"/>
        </w:rPr>
        <w:t>2. 承检机构对抽检信息、数据等负有保密义务，未经委托方授权，不得向除委托方外的任何单位与个人透露情况。</w:t>
      </w:r>
    </w:p>
    <w:p w14:paraId="32B3D04A">
      <w:pPr>
        <w:pStyle w:val="13"/>
        <w:spacing w:line="360" w:lineRule="auto"/>
        <w:ind w:firstLine="480"/>
        <w:rPr>
          <w:rFonts w:ascii="宋体" w:hAnsi="宋体"/>
          <w:color w:val="000000"/>
          <w:sz w:val="24"/>
        </w:rPr>
      </w:pPr>
      <w:r>
        <w:rPr>
          <w:rFonts w:ascii="宋体" w:hAnsi="宋体"/>
          <w:color w:val="000000"/>
          <w:sz w:val="24"/>
        </w:rPr>
        <w:t>3. 检验项目由委托方确定，承检机构应按照委托方要求，及时将抽样检验相关资料准确录入委托方指定的信息管理系统。</w:t>
      </w:r>
    </w:p>
    <w:p w14:paraId="73939FE4">
      <w:pPr>
        <w:pStyle w:val="13"/>
        <w:spacing w:line="360" w:lineRule="auto"/>
        <w:ind w:firstLine="480"/>
        <w:rPr>
          <w:rFonts w:ascii="宋体" w:hAnsi="宋体"/>
          <w:color w:val="000000"/>
          <w:sz w:val="24"/>
        </w:rPr>
      </w:pPr>
      <w:r>
        <w:rPr>
          <w:rFonts w:ascii="宋体" w:hAnsi="宋体"/>
          <w:color w:val="000000"/>
          <w:sz w:val="24"/>
        </w:rPr>
        <w:t>4. 承检机构不得将检验任务外包或分包给其他检验机构，一经发现，立即终止承检任务。</w:t>
      </w:r>
    </w:p>
    <w:p w14:paraId="78D8CB4A">
      <w:pPr>
        <w:pStyle w:val="13"/>
        <w:spacing w:line="360" w:lineRule="auto"/>
        <w:ind w:firstLine="480"/>
        <w:rPr>
          <w:rFonts w:ascii="宋体" w:hAnsi="宋体"/>
          <w:color w:val="000000"/>
          <w:sz w:val="24"/>
        </w:rPr>
      </w:pPr>
      <w:r>
        <w:rPr>
          <w:rFonts w:ascii="宋体" w:hAnsi="宋体"/>
          <w:color w:val="000000"/>
          <w:sz w:val="24"/>
        </w:rPr>
        <w:t>5. 承检机构必须保证抽检过程公平、公正，出现较严重检验事故的，立即终止承检任务。</w:t>
      </w:r>
    </w:p>
    <w:p w14:paraId="4EA5058B">
      <w:pPr>
        <w:pStyle w:val="13"/>
        <w:spacing w:line="360" w:lineRule="auto"/>
        <w:ind w:firstLine="480"/>
        <w:rPr>
          <w:rFonts w:ascii="宋体" w:hAnsi="宋体"/>
          <w:color w:val="000000"/>
          <w:sz w:val="24"/>
        </w:rPr>
      </w:pPr>
      <w:r>
        <w:rPr>
          <w:rFonts w:ascii="宋体" w:hAnsi="宋体"/>
          <w:color w:val="000000"/>
          <w:sz w:val="24"/>
        </w:rPr>
        <w:t>6. 承检机构应按照委托方要求，严格遵守抽样工作规范，保证抽样工作有效。样品抽取要由专门人员完成，样品运输要符合样品管理规定，鼓励派专人专车送达。</w:t>
      </w:r>
    </w:p>
    <w:p w14:paraId="3BB4D4F3">
      <w:pPr>
        <w:pStyle w:val="13"/>
        <w:spacing w:line="360" w:lineRule="auto"/>
        <w:ind w:firstLine="480"/>
        <w:rPr>
          <w:rFonts w:ascii="宋体" w:hAnsi="宋体"/>
          <w:color w:val="000000"/>
          <w:sz w:val="24"/>
        </w:rPr>
      </w:pPr>
      <w:r>
        <w:rPr>
          <w:rFonts w:ascii="宋体" w:hAnsi="宋体"/>
          <w:color w:val="000000"/>
          <w:sz w:val="24"/>
        </w:rPr>
        <w:t>7. 承检机构应在规定时间内完成委托方部署的抽样检验工作，依法出具检验报告，汇总样品抽检结果信息，提交抽检工作分析总结报告。</w:t>
      </w:r>
    </w:p>
    <w:p w14:paraId="3ECD4085">
      <w:pPr>
        <w:pStyle w:val="13"/>
        <w:spacing w:line="360" w:lineRule="auto"/>
        <w:ind w:firstLine="480"/>
        <w:rPr>
          <w:rFonts w:ascii="宋体" w:hAnsi="宋体"/>
          <w:color w:val="000000"/>
          <w:sz w:val="24"/>
        </w:rPr>
      </w:pPr>
      <w:r>
        <w:rPr>
          <w:rFonts w:ascii="宋体" w:hAnsi="宋体"/>
          <w:color w:val="000000"/>
          <w:sz w:val="24"/>
        </w:rPr>
        <w:t>8．为保证检验任务高效优质地完成，承检机构须接受委托方组织的各种形式的检查和考核，对于委托方在考核中提出的问题要及时进行整改，并提交整改报告。整改不到位的，委托方有权终止其任务并保留追究其经济赔偿责任和法律责任的权利。</w:t>
      </w:r>
    </w:p>
    <w:p w14:paraId="1CD0B72B">
      <w:pPr>
        <w:pStyle w:val="13"/>
        <w:spacing w:line="360" w:lineRule="auto"/>
        <w:ind w:firstLine="480"/>
        <w:rPr>
          <w:rFonts w:ascii="宋体" w:hAnsi="宋体"/>
          <w:color w:val="000000"/>
          <w:sz w:val="24"/>
        </w:rPr>
      </w:pPr>
      <w:r>
        <w:rPr>
          <w:rFonts w:ascii="宋体" w:hAnsi="宋体"/>
          <w:color w:val="000000"/>
          <w:sz w:val="24"/>
        </w:rPr>
        <w:t>9. 因违反抽样、检验、信息披露等相关规定的，委托方有权取消其承检任务并追究其经济赔偿责任和法律责任。</w:t>
      </w:r>
    </w:p>
    <w:p w14:paraId="113AFC95">
      <w:pPr>
        <w:pStyle w:val="13"/>
        <w:spacing w:line="360" w:lineRule="auto"/>
        <w:ind w:firstLine="480"/>
        <w:rPr>
          <w:rFonts w:ascii="宋体" w:hAnsi="宋体"/>
          <w:color w:val="000000"/>
          <w:sz w:val="24"/>
        </w:rPr>
      </w:pPr>
      <w:r>
        <w:rPr>
          <w:rFonts w:ascii="宋体" w:hAnsi="宋体"/>
          <w:color w:val="000000"/>
          <w:sz w:val="24"/>
        </w:rPr>
        <w:t>10. 中标承检机构不得拒绝委托方委托的抽检任务，否则视为违约。</w:t>
      </w:r>
      <w:bookmarkStart w:id="0" w:name="_Toc459319303"/>
      <w:bookmarkEnd w:id="0"/>
    </w:p>
    <w:p w14:paraId="007C2B89">
      <w:pPr>
        <w:pStyle w:val="14"/>
        <w:rPr>
          <w:color w:val="000000"/>
          <w:sz w:val="24"/>
          <w:szCs w:val="24"/>
        </w:rPr>
      </w:pPr>
      <w:r>
        <w:rPr>
          <w:rFonts w:hint="eastAsia"/>
          <w:color w:val="000000"/>
          <w:sz w:val="24"/>
          <w:szCs w:val="24"/>
        </w:rPr>
        <w:t>11.承检机构需配备熟练的专业人员组成食品抽检数据核查工作组及核查处置专家库，为委托方提供数据核查及不合格食品生产企业的现场核查等其他配套服务。</w:t>
      </w:r>
    </w:p>
    <w:p w14:paraId="317A87D7">
      <w:pPr>
        <w:pStyle w:val="13"/>
        <w:spacing w:line="360" w:lineRule="auto"/>
        <w:rPr>
          <w:rFonts w:ascii="宋体" w:hAnsi="宋体"/>
          <w:b/>
          <w:color w:val="000000"/>
          <w:sz w:val="24"/>
        </w:rPr>
      </w:pPr>
      <w:r>
        <w:rPr>
          <w:rFonts w:hint="eastAsia" w:ascii="宋体" w:hAnsi="宋体"/>
          <w:b/>
          <w:color w:val="000000"/>
          <w:sz w:val="24"/>
        </w:rPr>
        <w:t>五、</w:t>
      </w:r>
      <w:r>
        <w:rPr>
          <w:rFonts w:ascii="宋体" w:hAnsi="宋体"/>
          <w:b/>
          <w:color w:val="000000"/>
          <w:sz w:val="24"/>
        </w:rPr>
        <w:t>服务考核</w:t>
      </w:r>
    </w:p>
    <w:p w14:paraId="09782608">
      <w:pPr>
        <w:pStyle w:val="13"/>
        <w:spacing w:line="360" w:lineRule="auto"/>
        <w:ind w:firstLine="480"/>
        <w:rPr>
          <w:rFonts w:ascii="宋体" w:hAnsi="宋体"/>
          <w:color w:val="000000"/>
          <w:sz w:val="24"/>
        </w:rPr>
      </w:pPr>
      <w:r>
        <w:rPr>
          <w:rFonts w:ascii="宋体" w:hAnsi="宋体"/>
          <w:color w:val="000000"/>
          <w:sz w:val="24"/>
        </w:rPr>
        <w:t>1、食品抽检数据质量考核：徐州市市场监督管理局每月随机抽取承检机构食品抽检数据，按照评分标准，评价数据质量。被国家总局、省局通报数据质量问题的，酌情扣款。</w:t>
      </w:r>
    </w:p>
    <w:p w14:paraId="35460573">
      <w:pPr>
        <w:pStyle w:val="13"/>
        <w:spacing w:line="360" w:lineRule="auto"/>
        <w:ind w:firstLine="480"/>
        <w:rPr>
          <w:rFonts w:ascii="宋体" w:hAnsi="宋体"/>
          <w:color w:val="000000"/>
          <w:sz w:val="24"/>
        </w:rPr>
      </w:pPr>
      <w:r>
        <w:rPr>
          <w:rFonts w:ascii="宋体" w:hAnsi="宋体"/>
          <w:color w:val="000000"/>
          <w:sz w:val="24"/>
        </w:rPr>
        <w:t>2、抽检问题发现率考核：食品及食用农产品监督抽检问题发现率指市、县级食品及食用农产品监督抽检发现食品安全问题能力。食品及食用农产品监督抽检不合格率=累计食品及食用农产品监督抽检不合格样品数（食品细类单一品种不合格数不超过不合格总数的10%，超出数值不计算）/食品及食用农产品监督抽检样品数。达不到</w:t>
      </w:r>
      <w:r>
        <w:rPr>
          <w:rFonts w:hint="eastAsia" w:ascii="宋体" w:hAnsi="宋体"/>
          <w:color w:val="000000"/>
          <w:sz w:val="24"/>
        </w:rPr>
        <w:t>江苏省市场监管局要求的指标</w:t>
      </w:r>
      <w:r>
        <w:rPr>
          <w:rFonts w:ascii="宋体" w:hAnsi="宋体"/>
          <w:color w:val="000000"/>
          <w:sz w:val="24"/>
        </w:rPr>
        <w:t>，酌情扣款。</w:t>
      </w:r>
    </w:p>
    <w:p w14:paraId="30B37E87">
      <w:pPr>
        <w:pStyle w:val="13"/>
        <w:spacing w:line="360" w:lineRule="auto"/>
        <w:ind w:firstLine="480"/>
        <w:rPr>
          <w:rFonts w:ascii="宋体" w:hAnsi="宋体"/>
          <w:color w:val="000000"/>
          <w:sz w:val="24"/>
        </w:rPr>
      </w:pPr>
      <w:r>
        <w:rPr>
          <w:rFonts w:ascii="宋体" w:hAnsi="宋体"/>
          <w:color w:val="000000"/>
          <w:sz w:val="24"/>
        </w:rPr>
        <w:t>3、抽检任务推进考核：按照采购方下达的不同任务要求均衡推进抽检，按任务要求完成的时间阶段进行考核。</w:t>
      </w:r>
    </w:p>
    <w:p w14:paraId="242DF630">
      <w:pPr>
        <w:pStyle w:val="14"/>
        <w:rPr>
          <w:color w:val="000000"/>
          <w:sz w:val="24"/>
          <w:szCs w:val="24"/>
        </w:rPr>
      </w:pPr>
      <w:r>
        <w:rPr>
          <w:rFonts w:hint="eastAsia"/>
          <w:color w:val="000000"/>
          <w:sz w:val="24"/>
          <w:szCs w:val="24"/>
        </w:rPr>
        <w:t>4、因抽样、检验过程不规范，影响核查处置工作推进的及初检结论被推翻的，酌情扣款。</w:t>
      </w:r>
    </w:p>
    <w:p w14:paraId="52C10D6F">
      <w:pPr>
        <w:pStyle w:val="13"/>
        <w:spacing w:line="360" w:lineRule="auto"/>
        <w:jc w:val="left"/>
        <w:rPr>
          <w:rFonts w:ascii="宋体" w:hAnsi="宋体"/>
          <w:b/>
          <w:color w:val="000000"/>
          <w:sz w:val="24"/>
        </w:rPr>
      </w:pPr>
      <w:r>
        <w:rPr>
          <w:rFonts w:hint="eastAsia" w:ascii="宋体" w:hAnsi="宋体"/>
          <w:b/>
          <w:color w:val="000000"/>
          <w:sz w:val="24"/>
        </w:rPr>
        <w:t>六</w:t>
      </w:r>
      <w:r>
        <w:rPr>
          <w:rFonts w:ascii="宋体" w:hAnsi="宋体"/>
          <w:b/>
          <w:color w:val="000000"/>
          <w:sz w:val="24"/>
        </w:rPr>
        <w:t>、其他要求</w:t>
      </w:r>
    </w:p>
    <w:p w14:paraId="69B9A730">
      <w:pPr>
        <w:pStyle w:val="13"/>
        <w:spacing w:line="360" w:lineRule="auto"/>
        <w:ind w:firstLine="480"/>
        <w:rPr>
          <w:rFonts w:ascii="宋体" w:hAnsi="宋体"/>
          <w:color w:val="000000"/>
          <w:sz w:val="24"/>
        </w:rPr>
      </w:pPr>
      <w:r>
        <w:rPr>
          <w:rFonts w:ascii="宋体" w:hAnsi="宋体"/>
          <w:color w:val="000000"/>
          <w:sz w:val="24"/>
        </w:rPr>
        <w:t>本次项目各标段中标人负责对采购人根据上级部署任务和实际工作需要而确定的项目进行委托抽检工作，按实际完成量据实支付。</w:t>
      </w:r>
    </w:p>
    <w:p w14:paraId="3021928C">
      <w:pPr>
        <w:pStyle w:val="18"/>
        <w:spacing w:line="360" w:lineRule="auto"/>
        <w:ind w:firstLine="480"/>
        <w:rPr>
          <w:rFonts w:ascii="宋体" w:hAnsi="宋体"/>
          <w:sz w:val="24"/>
        </w:rPr>
      </w:pPr>
    </w:p>
    <w:p w14:paraId="420C966C">
      <w:pPr>
        <w:pStyle w:val="18"/>
        <w:spacing w:line="360" w:lineRule="auto"/>
        <w:ind w:firstLine="480"/>
        <w:rPr>
          <w:rFonts w:ascii="宋体" w:hAnsi="宋体"/>
          <w:sz w:val="24"/>
        </w:rPr>
      </w:pPr>
    </w:p>
    <w:p w14:paraId="43422E58">
      <w:pPr>
        <w:pStyle w:val="2"/>
        <w:sectPr>
          <w:footerReference r:id="rId3" w:type="default"/>
          <w:pgSz w:w="11900" w:h="16838"/>
          <w:pgMar w:top="1039" w:right="1440" w:bottom="639" w:left="1440" w:header="0" w:footer="0" w:gutter="0"/>
          <w:cols w:equalWidth="0" w:num="1">
            <w:col w:w="9026"/>
          </w:cols>
          <w:docGrid w:linePitch="360" w:charSpace="0"/>
        </w:sectPr>
      </w:pPr>
    </w:p>
    <w:p w14:paraId="310BD0DC">
      <w:pPr>
        <w:spacing w:line="760" w:lineRule="exact"/>
        <w:ind w:right="528"/>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144145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a:noFill/>
                        </a:ln>
                        <a:effectLst/>
                      </wps:spPr>
                      <wps:bodyPr/>
                    </wps:wsp>
                  </a:graphicData>
                </a:graphic>
              </wp:anchor>
            </w:drawing>
          </mc:Choice>
          <mc:Fallback>
            <w:pict>
              <v:line id="_x0000_s1026" o:spid="_x0000_s1026" o:spt="20" style="position:absolute;left:0pt;margin-left:-19.85pt;margin-top:11.35pt;height:0pt;width:481.9pt;z-index:251659264;mso-width-relative:page;mso-height-relative:page;" filled="f" stroked="f" coordsize="21600,21600" o:gfxdata="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kkePdgAAAAJAQAADwAAAAAAAAABACAAAAAiAAAAZHJzL2Rvd25y&#10;ZXYueG1sUEsBAhQAFAAAAAgAh07iQFkDtILFAQAAfAMAAA4AAAAAAAAAAQAgAAAAJwEAAGRycy9l&#10;Mm9Eb2MueG1sUEsFBgAAAAAGAAYAWQEAAF4FAAAAAA==&#10;">
                <v:fill on="f" focussize="0,0"/>
                <v:stroke on="f"/>
                <v:imagedata o:title=""/>
                <o:lock v:ext="edit" aspectratio="f"/>
              </v:line>
            </w:pict>
          </mc:Fallback>
        </mc:AlternateContent>
      </w:r>
    </w:p>
    <w:p w14:paraId="36EC2458">
      <w:pPr>
        <w:rPr>
          <w:rFonts w:ascii="方正仿宋_GBK" w:eastAsia="方正仿宋_GBK"/>
          <w:sz w:val="32"/>
          <w:szCs w:val="32"/>
        </w:rPr>
      </w:pPr>
      <w:r>
        <w:rPr>
          <w:rFonts w:hint="eastAsia" w:ascii="方正黑体_GBK" w:hAnsi="方正黑体_GBK" w:eastAsia="方正黑体_GBK" w:cs="方正黑体_GBK"/>
          <w:sz w:val="32"/>
          <w:szCs w:val="32"/>
        </w:rPr>
        <w:t>附件1</w:t>
      </w:r>
    </w:p>
    <w:p w14:paraId="16B27DF2">
      <w:pPr>
        <w:spacing w:before="120" w:beforeLines="50" w:after="120" w:afterLines="50" w:line="560" w:lineRule="exact"/>
        <w:jc w:val="center"/>
        <w:rPr>
          <w:rFonts w:eastAsia="方正小标宋_GBK"/>
          <w:sz w:val="44"/>
          <w:szCs w:val="44"/>
        </w:rPr>
      </w:pPr>
      <w:r>
        <w:rPr>
          <w:rFonts w:hint="eastAsia" w:ascii="方正小标宋_GBK" w:hAnsi="方正小标宋_GBK" w:eastAsia="方正小标宋_GBK" w:cs="方正小标宋_GBK"/>
          <w:sz w:val="44"/>
          <w:szCs w:val="44"/>
        </w:rPr>
        <w:t>2025年徐州市级食用农产品监督抽检品种及项目表</w:t>
      </w:r>
    </w:p>
    <w:tbl>
      <w:tblPr>
        <w:tblStyle w:val="7"/>
        <w:tblW w:w="51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8"/>
        <w:gridCol w:w="1518"/>
        <w:gridCol w:w="1474"/>
        <w:gridCol w:w="1559"/>
        <w:gridCol w:w="2818"/>
        <w:gridCol w:w="1719"/>
      </w:tblGrid>
      <w:tr w14:paraId="63A61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blHeader/>
          <w:jc w:val="center"/>
        </w:trPr>
        <w:tc>
          <w:tcPr>
            <w:tcW w:w="260" w:type="pct"/>
            <w:vAlign w:val="center"/>
          </w:tcPr>
          <w:p w14:paraId="7138DB61">
            <w:pPr>
              <w:spacing w:line="260" w:lineRule="exact"/>
              <w:jc w:val="center"/>
              <w:textAlignment w:val="top"/>
              <w:rPr>
                <w:rFonts w:ascii="宋体" w:hAnsi="宋体" w:cs="宋体"/>
                <w:b/>
                <w:bCs/>
                <w:color w:val="000000"/>
                <w:sz w:val="20"/>
                <w:szCs w:val="20"/>
                <w:lang w:bidi="ar"/>
              </w:rPr>
            </w:pPr>
            <w:r>
              <w:rPr>
                <w:rFonts w:hint="eastAsia" w:ascii="宋体" w:hAnsi="宋体" w:cs="宋体"/>
                <w:b/>
                <w:bCs/>
                <w:color w:val="000000"/>
                <w:sz w:val="20"/>
                <w:szCs w:val="20"/>
                <w:lang w:bidi="ar"/>
              </w:rPr>
              <w:t>序号</w:t>
            </w:r>
          </w:p>
        </w:tc>
        <w:tc>
          <w:tcPr>
            <w:tcW w:w="792" w:type="pct"/>
            <w:vAlign w:val="center"/>
          </w:tcPr>
          <w:p w14:paraId="13C3797F">
            <w:pPr>
              <w:spacing w:line="260" w:lineRule="exact"/>
              <w:jc w:val="center"/>
              <w:textAlignment w:val="top"/>
              <w:rPr>
                <w:rFonts w:ascii="宋体" w:hAnsi="宋体" w:cs="宋体"/>
                <w:b/>
                <w:bCs/>
                <w:color w:val="000000"/>
                <w:sz w:val="20"/>
                <w:szCs w:val="20"/>
              </w:rPr>
            </w:pPr>
            <w:r>
              <w:rPr>
                <w:rFonts w:ascii="宋体" w:hAnsi="宋体" w:cs="宋体"/>
                <w:b/>
                <w:bCs/>
                <w:color w:val="000000"/>
                <w:sz w:val="20"/>
                <w:szCs w:val="20"/>
                <w:lang w:bidi="ar"/>
              </w:rPr>
              <w:t>食品亚类</w:t>
            </w:r>
            <w:r>
              <w:rPr>
                <w:rFonts w:hint="eastAsia" w:ascii="宋体" w:hAnsi="宋体" w:cs="宋体"/>
                <w:b/>
                <w:bCs/>
                <w:color w:val="000000"/>
                <w:sz w:val="20"/>
                <w:szCs w:val="20"/>
                <w:lang w:bidi="ar"/>
              </w:rPr>
              <w:t>（</w:t>
            </w:r>
            <w:r>
              <w:rPr>
                <w:rFonts w:ascii="宋体" w:hAnsi="宋体" w:cs="宋体"/>
                <w:b/>
                <w:bCs/>
                <w:color w:val="000000"/>
                <w:sz w:val="20"/>
                <w:szCs w:val="20"/>
                <w:lang w:bidi="ar"/>
              </w:rPr>
              <w:t>二级</w:t>
            </w:r>
            <w:r>
              <w:rPr>
                <w:rFonts w:hint="eastAsia" w:ascii="宋体" w:hAnsi="宋体" w:cs="宋体"/>
                <w:b/>
                <w:bCs/>
                <w:color w:val="000000"/>
                <w:sz w:val="20"/>
                <w:szCs w:val="20"/>
                <w:lang w:bidi="ar"/>
              </w:rPr>
              <w:t>）</w:t>
            </w:r>
          </w:p>
        </w:tc>
        <w:tc>
          <w:tcPr>
            <w:tcW w:w="769" w:type="pct"/>
            <w:vAlign w:val="center"/>
          </w:tcPr>
          <w:p w14:paraId="704B1664">
            <w:pPr>
              <w:spacing w:line="260" w:lineRule="exact"/>
              <w:jc w:val="center"/>
              <w:textAlignment w:val="top"/>
              <w:rPr>
                <w:rFonts w:ascii="宋体" w:hAnsi="宋体" w:cs="宋体"/>
                <w:b/>
                <w:bCs/>
                <w:color w:val="000000"/>
                <w:sz w:val="20"/>
                <w:szCs w:val="20"/>
              </w:rPr>
            </w:pPr>
            <w:r>
              <w:rPr>
                <w:rFonts w:ascii="宋体" w:hAnsi="宋体" w:cs="宋体"/>
                <w:b/>
                <w:bCs/>
                <w:color w:val="000000"/>
                <w:sz w:val="20"/>
                <w:szCs w:val="20"/>
                <w:lang w:bidi="ar"/>
              </w:rPr>
              <w:t>食品品种</w:t>
            </w:r>
            <w:r>
              <w:rPr>
                <w:rFonts w:hint="eastAsia" w:ascii="宋体" w:hAnsi="宋体" w:cs="宋体"/>
                <w:b/>
                <w:bCs/>
                <w:color w:val="000000"/>
                <w:sz w:val="20"/>
                <w:szCs w:val="20"/>
                <w:lang w:bidi="ar"/>
              </w:rPr>
              <w:t>（</w:t>
            </w:r>
            <w:r>
              <w:rPr>
                <w:rFonts w:ascii="宋体" w:hAnsi="宋体" w:cs="宋体"/>
                <w:b/>
                <w:bCs/>
                <w:color w:val="000000"/>
                <w:sz w:val="20"/>
                <w:szCs w:val="20"/>
                <w:lang w:bidi="ar"/>
              </w:rPr>
              <w:t>三级</w:t>
            </w:r>
            <w:r>
              <w:rPr>
                <w:rFonts w:hint="eastAsia" w:ascii="宋体" w:hAnsi="宋体" w:cs="宋体"/>
                <w:b/>
                <w:bCs/>
                <w:color w:val="000000"/>
                <w:sz w:val="20"/>
                <w:szCs w:val="20"/>
                <w:lang w:bidi="ar"/>
              </w:rPr>
              <w:t>）</w:t>
            </w:r>
          </w:p>
        </w:tc>
        <w:tc>
          <w:tcPr>
            <w:tcW w:w="813" w:type="pct"/>
            <w:vAlign w:val="center"/>
          </w:tcPr>
          <w:p w14:paraId="3A9C1DF8">
            <w:pPr>
              <w:spacing w:line="260" w:lineRule="exact"/>
              <w:jc w:val="center"/>
              <w:textAlignment w:val="top"/>
              <w:rPr>
                <w:rFonts w:ascii="宋体" w:hAnsi="宋体" w:cs="宋体"/>
                <w:b/>
                <w:bCs/>
                <w:color w:val="000000"/>
                <w:sz w:val="20"/>
                <w:szCs w:val="20"/>
              </w:rPr>
            </w:pPr>
            <w:r>
              <w:rPr>
                <w:rFonts w:ascii="宋体" w:hAnsi="宋体" w:cs="宋体"/>
                <w:b/>
                <w:bCs/>
                <w:color w:val="000000"/>
                <w:sz w:val="20"/>
                <w:szCs w:val="20"/>
                <w:lang w:bidi="ar"/>
              </w:rPr>
              <w:t>食品细类</w:t>
            </w:r>
            <w:r>
              <w:rPr>
                <w:rFonts w:hint="eastAsia" w:ascii="宋体" w:hAnsi="宋体" w:cs="宋体"/>
                <w:b/>
                <w:bCs/>
                <w:color w:val="000000"/>
                <w:sz w:val="20"/>
                <w:szCs w:val="20"/>
                <w:lang w:bidi="ar"/>
              </w:rPr>
              <w:t>（</w:t>
            </w:r>
            <w:r>
              <w:rPr>
                <w:rFonts w:ascii="宋体" w:hAnsi="宋体" w:cs="宋体"/>
                <w:b/>
                <w:bCs/>
                <w:color w:val="000000"/>
                <w:sz w:val="20"/>
                <w:szCs w:val="20"/>
                <w:lang w:bidi="ar"/>
              </w:rPr>
              <w:t>四级</w:t>
            </w:r>
            <w:r>
              <w:rPr>
                <w:rFonts w:hint="eastAsia" w:ascii="宋体" w:hAnsi="宋体" w:cs="宋体"/>
                <w:b/>
                <w:bCs/>
                <w:color w:val="000000"/>
                <w:sz w:val="20"/>
                <w:szCs w:val="20"/>
                <w:lang w:bidi="ar"/>
              </w:rPr>
              <w:t>）</w:t>
            </w:r>
          </w:p>
        </w:tc>
        <w:tc>
          <w:tcPr>
            <w:tcW w:w="1470" w:type="pct"/>
            <w:vAlign w:val="center"/>
          </w:tcPr>
          <w:p w14:paraId="3733DC55">
            <w:pPr>
              <w:spacing w:line="260" w:lineRule="exact"/>
              <w:jc w:val="center"/>
              <w:textAlignment w:val="center"/>
              <w:rPr>
                <w:rFonts w:ascii="宋体" w:hAnsi="宋体" w:cs="宋体"/>
                <w:b/>
                <w:bCs/>
                <w:color w:val="000000"/>
                <w:sz w:val="20"/>
                <w:szCs w:val="20"/>
              </w:rPr>
            </w:pPr>
            <w:r>
              <w:rPr>
                <w:rFonts w:ascii="宋体" w:hAnsi="宋体" w:cs="宋体"/>
                <w:b/>
                <w:bCs/>
                <w:color w:val="000000"/>
                <w:sz w:val="20"/>
                <w:szCs w:val="20"/>
                <w:lang w:bidi="ar"/>
              </w:rPr>
              <w:t>必检项目</w:t>
            </w:r>
          </w:p>
        </w:tc>
        <w:tc>
          <w:tcPr>
            <w:tcW w:w="896" w:type="pct"/>
            <w:vAlign w:val="center"/>
          </w:tcPr>
          <w:p w14:paraId="1247B70C">
            <w:pPr>
              <w:spacing w:line="260" w:lineRule="exact"/>
              <w:jc w:val="center"/>
              <w:textAlignment w:val="center"/>
              <w:rPr>
                <w:rFonts w:ascii="宋体" w:hAnsi="宋体" w:cs="宋体"/>
                <w:b/>
                <w:bCs/>
                <w:color w:val="000000"/>
                <w:sz w:val="20"/>
                <w:szCs w:val="20"/>
                <w:lang w:bidi="ar"/>
              </w:rPr>
            </w:pPr>
            <w:r>
              <w:rPr>
                <w:rFonts w:ascii="宋体" w:hAnsi="宋体" w:cs="宋体"/>
                <w:b/>
                <w:bCs/>
                <w:color w:val="000000"/>
                <w:sz w:val="20"/>
                <w:szCs w:val="20"/>
                <w:lang w:bidi="ar"/>
              </w:rPr>
              <w:t>可选项目</w:t>
            </w:r>
            <w:r>
              <w:rPr>
                <w:rFonts w:hint="eastAsia" w:ascii="宋体" w:hAnsi="宋体" w:cs="宋体"/>
                <w:b/>
                <w:bCs/>
                <w:color w:val="000000"/>
                <w:sz w:val="20"/>
                <w:szCs w:val="20"/>
                <w:lang w:bidi="ar"/>
              </w:rPr>
              <w:t>（不少于2个）</w:t>
            </w:r>
          </w:p>
        </w:tc>
      </w:tr>
      <w:tr w14:paraId="265C1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restart"/>
            <w:vAlign w:val="center"/>
          </w:tcPr>
          <w:p w14:paraId="7A5C7DED">
            <w:pPr>
              <w:spacing w:line="260" w:lineRule="exact"/>
              <w:jc w:val="center"/>
              <w:textAlignment w:val="center"/>
              <w:rPr>
                <w:color w:val="000000"/>
                <w:sz w:val="20"/>
                <w:szCs w:val="20"/>
                <w:lang w:bidi="ar"/>
              </w:rPr>
            </w:pPr>
            <w:r>
              <w:rPr>
                <w:rFonts w:hint="eastAsia"/>
                <w:color w:val="000000"/>
                <w:sz w:val="20"/>
                <w:szCs w:val="20"/>
                <w:lang w:bidi="ar"/>
              </w:rPr>
              <w:t>1</w:t>
            </w:r>
          </w:p>
        </w:tc>
        <w:tc>
          <w:tcPr>
            <w:tcW w:w="792" w:type="pct"/>
            <w:vMerge w:val="restart"/>
            <w:vAlign w:val="center"/>
          </w:tcPr>
          <w:p w14:paraId="107207FA">
            <w:pPr>
              <w:spacing w:line="260" w:lineRule="exact"/>
              <w:jc w:val="center"/>
              <w:textAlignment w:val="center"/>
              <w:rPr>
                <w:color w:val="000000"/>
                <w:sz w:val="20"/>
                <w:szCs w:val="20"/>
              </w:rPr>
            </w:pPr>
            <w:r>
              <w:rPr>
                <w:color w:val="000000"/>
                <w:sz w:val="20"/>
                <w:szCs w:val="20"/>
                <w:lang w:bidi="ar"/>
              </w:rPr>
              <w:t>畜禽肉及副产品</w:t>
            </w:r>
          </w:p>
        </w:tc>
        <w:tc>
          <w:tcPr>
            <w:tcW w:w="769" w:type="pct"/>
            <w:vMerge w:val="restart"/>
            <w:vAlign w:val="center"/>
          </w:tcPr>
          <w:p w14:paraId="18F1803C">
            <w:pPr>
              <w:spacing w:line="260" w:lineRule="exact"/>
              <w:jc w:val="center"/>
              <w:textAlignment w:val="center"/>
              <w:rPr>
                <w:color w:val="000000"/>
                <w:sz w:val="20"/>
                <w:szCs w:val="20"/>
              </w:rPr>
            </w:pPr>
            <w:r>
              <w:rPr>
                <w:color w:val="000000"/>
                <w:sz w:val="20"/>
                <w:szCs w:val="20"/>
                <w:lang w:bidi="ar"/>
              </w:rPr>
              <w:t>畜肉</w:t>
            </w:r>
          </w:p>
        </w:tc>
        <w:tc>
          <w:tcPr>
            <w:tcW w:w="813" w:type="pct"/>
            <w:vAlign w:val="center"/>
          </w:tcPr>
          <w:p w14:paraId="701107D8">
            <w:pPr>
              <w:spacing w:line="260" w:lineRule="exact"/>
              <w:jc w:val="center"/>
              <w:textAlignment w:val="center"/>
              <w:rPr>
                <w:color w:val="000000"/>
                <w:sz w:val="20"/>
                <w:szCs w:val="20"/>
              </w:rPr>
            </w:pPr>
            <w:r>
              <w:rPr>
                <w:color w:val="000000"/>
                <w:sz w:val="20"/>
                <w:szCs w:val="20"/>
                <w:lang w:bidi="ar"/>
              </w:rPr>
              <w:t>猪肉</w:t>
            </w:r>
          </w:p>
        </w:tc>
        <w:tc>
          <w:tcPr>
            <w:tcW w:w="1470" w:type="pct"/>
            <w:vAlign w:val="center"/>
          </w:tcPr>
          <w:p w14:paraId="1FCDCB22">
            <w:pPr>
              <w:spacing w:line="260" w:lineRule="exact"/>
              <w:jc w:val="center"/>
              <w:textAlignment w:val="center"/>
              <w:rPr>
                <w:color w:val="000000"/>
                <w:sz w:val="20"/>
                <w:szCs w:val="20"/>
              </w:rPr>
            </w:pPr>
            <w:r>
              <w:rPr>
                <w:color w:val="000000"/>
                <w:sz w:val="20"/>
                <w:szCs w:val="20"/>
                <w:lang w:bidi="ar"/>
              </w:rPr>
              <w:t>氯霉素、替米考星、恩诺沙星</w:t>
            </w:r>
          </w:p>
        </w:tc>
        <w:tc>
          <w:tcPr>
            <w:tcW w:w="896" w:type="pct"/>
            <w:vAlign w:val="center"/>
          </w:tcPr>
          <w:p w14:paraId="75B40F02">
            <w:pPr>
              <w:spacing w:line="260" w:lineRule="exact"/>
              <w:textAlignment w:val="center"/>
              <w:rPr>
                <w:color w:val="000000"/>
                <w:sz w:val="20"/>
                <w:szCs w:val="20"/>
              </w:rPr>
            </w:pPr>
            <w:r>
              <w:rPr>
                <w:rFonts w:hint="eastAsia"/>
                <w:color w:val="000000"/>
                <w:sz w:val="20"/>
                <w:szCs w:val="20"/>
                <w:lang w:bidi="ar"/>
              </w:rPr>
              <w:t>林可霉素、克伦特罗、莱克多巴胺、沙丁胺醇、磺胺类（总量）、甲氧苄啶、多西环素、土霉素、土霉素/金霉素/四环素（组合含量）</w:t>
            </w:r>
          </w:p>
        </w:tc>
      </w:tr>
      <w:tr w14:paraId="132E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05DCC2EB">
            <w:pPr>
              <w:spacing w:line="260" w:lineRule="exact"/>
              <w:jc w:val="center"/>
              <w:rPr>
                <w:color w:val="000000"/>
                <w:sz w:val="20"/>
                <w:szCs w:val="20"/>
              </w:rPr>
            </w:pPr>
          </w:p>
        </w:tc>
        <w:tc>
          <w:tcPr>
            <w:tcW w:w="792" w:type="pct"/>
            <w:vMerge w:val="continue"/>
            <w:vAlign w:val="center"/>
          </w:tcPr>
          <w:p w14:paraId="594B4574">
            <w:pPr>
              <w:spacing w:line="260" w:lineRule="exact"/>
              <w:jc w:val="center"/>
              <w:rPr>
                <w:color w:val="000000"/>
                <w:sz w:val="20"/>
                <w:szCs w:val="20"/>
              </w:rPr>
            </w:pPr>
          </w:p>
        </w:tc>
        <w:tc>
          <w:tcPr>
            <w:tcW w:w="769" w:type="pct"/>
            <w:vMerge w:val="continue"/>
            <w:vAlign w:val="center"/>
          </w:tcPr>
          <w:p w14:paraId="3D9B2B54">
            <w:pPr>
              <w:spacing w:line="260" w:lineRule="exact"/>
              <w:jc w:val="center"/>
              <w:rPr>
                <w:color w:val="000000"/>
                <w:sz w:val="20"/>
                <w:szCs w:val="20"/>
              </w:rPr>
            </w:pPr>
          </w:p>
        </w:tc>
        <w:tc>
          <w:tcPr>
            <w:tcW w:w="813" w:type="pct"/>
            <w:vAlign w:val="center"/>
          </w:tcPr>
          <w:p w14:paraId="3F95207F">
            <w:pPr>
              <w:spacing w:line="260" w:lineRule="exact"/>
              <w:jc w:val="center"/>
              <w:textAlignment w:val="center"/>
              <w:rPr>
                <w:color w:val="000000"/>
                <w:sz w:val="20"/>
                <w:szCs w:val="20"/>
              </w:rPr>
            </w:pPr>
            <w:r>
              <w:rPr>
                <w:color w:val="000000"/>
                <w:sz w:val="20"/>
                <w:szCs w:val="20"/>
                <w:lang w:bidi="ar"/>
              </w:rPr>
              <w:t>牛肉</w:t>
            </w:r>
          </w:p>
        </w:tc>
        <w:tc>
          <w:tcPr>
            <w:tcW w:w="1470" w:type="pct"/>
            <w:vAlign w:val="center"/>
          </w:tcPr>
          <w:p w14:paraId="562BCB1D">
            <w:pPr>
              <w:spacing w:line="260" w:lineRule="exact"/>
              <w:jc w:val="center"/>
              <w:textAlignment w:val="center"/>
              <w:rPr>
                <w:color w:val="000000"/>
                <w:sz w:val="20"/>
                <w:szCs w:val="20"/>
              </w:rPr>
            </w:pPr>
            <w:r>
              <w:rPr>
                <w:color w:val="000000"/>
                <w:sz w:val="20"/>
                <w:szCs w:val="20"/>
                <w:lang w:bidi="ar"/>
              </w:rPr>
              <w:t>克伦特罗</w:t>
            </w:r>
          </w:p>
        </w:tc>
        <w:tc>
          <w:tcPr>
            <w:tcW w:w="896" w:type="pct"/>
            <w:vAlign w:val="center"/>
          </w:tcPr>
          <w:p w14:paraId="016538F4">
            <w:pPr>
              <w:spacing w:line="260" w:lineRule="exact"/>
              <w:textAlignment w:val="center"/>
              <w:rPr>
                <w:color w:val="000000"/>
                <w:sz w:val="20"/>
                <w:szCs w:val="20"/>
              </w:rPr>
            </w:pPr>
            <w:r>
              <w:rPr>
                <w:rFonts w:hint="eastAsia"/>
                <w:color w:val="000000"/>
                <w:sz w:val="20"/>
                <w:szCs w:val="20"/>
                <w:lang w:bidi="ar"/>
              </w:rPr>
              <w:t>莱克多巴胺、沙丁胺醇、呋喃唑酮代谢物、呋喃西林代谢物、氯霉素、恩诺沙星、磺胺类（总量）、地塞米松、氟苯尼考</w:t>
            </w:r>
          </w:p>
        </w:tc>
      </w:tr>
      <w:tr w14:paraId="46BF7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1918869D">
            <w:pPr>
              <w:spacing w:line="260" w:lineRule="exact"/>
              <w:jc w:val="center"/>
              <w:textAlignment w:val="center"/>
              <w:rPr>
                <w:color w:val="000000"/>
                <w:sz w:val="20"/>
                <w:szCs w:val="20"/>
              </w:rPr>
            </w:pPr>
          </w:p>
        </w:tc>
        <w:tc>
          <w:tcPr>
            <w:tcW w:w="792" w:type="pct"/>
            <w:vMerge w:val="continue"/>
            <w:vAlign w:val="center"/>
          </w:tcPr>
          <w:p w14:paraId="50FEA0A1">
            <w:pPr>
              <w:spacing w:line="260" w:lineRule="exact"/>
              <w:jc w:val="center"/>
              <w:textAlignment w:val="center"/>
              <w:rPr>
                <w:color w:val="000000"/>
                <w:sz w:val="20"/>
                <w:szCs w:val="20"/>
              </w:rPr>
            </w:pPr>
          </w:p>
        </w:tc>
        <w:tc>
          <w:tcPr>
            <w:tcW w:w="769" w:type="pct"/>
            <w:vMerge w:val="continue"/>
            <w:vAlign w:val="center"/>
          </w:tcPr>
          <w:p w14:paraId="5E3044BD">
            <w:pPr>
              <w:spacing w:line="260" w:lineRule="exact"/>
              <w:jc w:val="center"/>
              <w:textAlignment w:val="center"/>
              <w:rPr>
                <w:color w:val="000000"/>
                <w:sz w:val="20"/>
                <w:szCs w:val="20"/>
              </w:rPr>
            </w:pPr>
          </w:p>
        </w:tc>
        <w:tc>
          <w:tcPr>
            <w:tcW w:w="813" w:type="pct"/>
            <w:vAlign w:val="center"/>
          </w:tcPr>
          <w:p w14:paraId="4084F0E5">
            <w:pPr>
              <w:spacing w:line="260" w:lineRule="exact"/>
              <w:jc w:val="center"/>
              <w:textAlignment w:val="center"/>
              <w:rPr>
                <w:color w:val="000000"/>
                <w:sz w:val="20"/>
                <w:szCs w:val="20"/>
              </w:rPr>
            </w:pPr>
            <w:r>
              <w:rPr>
                <w:color w:val="000000"/>
                <w:sz w:val="20"/>
                <w:szCs w:val="20"/>
                <w:lang w:bidi="ar"/>
              </w:rPr>
              <w:t>羊肉</w:t>
            </w:r>
          </w:p>
        </w:tc>
        <w:tc>
          <w:tcPr>
            <w:tcW w:w="1470" w:type="pct"/>
            <w:vAlign w:val="center"/>
          </w:tcPr>
          <w:p w14:paraId="75A9FE8D">
            <w:pPr>
              <w:spacing w:line="260" w:lineRule="exact"/>
              <w:jc w:val="center"/>
              <w:textAlignment w:val="center"/>
              <w:rPr>
                <w:color w:val="000000"/>
                <w:sz w:val="20"/>
                <w:szCs w:val="20"/>
              </w:rPr>
            </w:pPr>
            <w:r>
              <w:rPr>
                <w:color w:val="000000"/>
                <w:sz w:val="20"/>
                <w:szCs w:val="20"/>
                <w:lang w:bidi="ar"/>
              </w:rPr>
              <w:t>恩诺沙星</w:t>
            </w:r>
          </w:p>
        </w:tc>
        <w:tc>
          <w:tcPr>
            <w:tcW w:w="896" w:type="pct"/>
            <w:vAlign w:val="center"/>
          </w:tcPr>
          <w:p w14:paraId="5541C4EC">
            <w:pPr>
              <w:spacing w:line="260" w:lineRule="exact"/>
              <w:textAlignment w:val="center"/>
              <w:rPr>
                <w:color w:val="000000"/>
                <w:sz w:val="20"/>
                <w:szCs w:val="20"/>
              </w:rPr>
            </w:pPr>
            <w:r>
              <w:rPr>
                <w:rFonts w:hint="eastAsia"/>
                <w:color w:val="000000"/>
                <w:sz w:val="20"/>
                <w:szCs w:val="20"/>
                <w:lang w:bidi="ar"/>
              </w:rPr>
              <w:t>磺胺、氯霉素、土霉素/金霉素/四环素（组合含量）、林可霉素、克伦特罗、莱克多巴胺、沙丁胺醇</w:t>
            </w:r>
          </w:p>
        </w:tc>
      </w:tr>
      <w:tr w14:paraId="60F57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0F71E77F">
            <w:pPr>
              <w:spacing w:line="260" w:lineRule="exact"/>
              <w:jc w:val="center"/>
              <w:rPr>
                <w:color w:val="000000"/>
                <w:sz w:val="20"/>
                <w:szCs w:val="20"/>
              </w:rPr>
            </w:pPr>
          </w:p>
        </w:tc>
        <w:tc>
          <w:tcPr>
            <w:tcW w:w="792" w:type="pct"/>
            <w:vMerge w:val="continue"/>
            <w:vAlign w:val="center"/>
          </w:tcPr>
          <w:p w14:paraId="0F2631E3">
            <w:pPr>
              <w:spacing w:line="260" w:lineRule="exact"/>
              <w:jc w:val="center"/>
              <w:rPr>
                <w:color w:val="000000"/>
                <w:sz w:val="20"/>
                <w:szCs w:val="20"/>
              </w:rPr>
            </w:pPr>
          </w:p>
        </w:tc>
        <w:tc>
          <w:tcPr>
            <w:tcW w:w="769" w:type="pct"/>
            <w:vMerge w:val="restart"/>
            <w:vAlign w:val="center"/>
          </w:tcPr>
          <w:p w14:paraId="0790FF0A">
            <w:pPr>
              <w:spacing w:line="260" w:lineRule="exact"/>
              <w:jc w:val="center"/>
              <w:textAlignment w:val="center"/>
              <w:rPr>
                <w:color w:val="000000"/>
                <w:sz w:val="20"/>
                <w:szCs w:val="20"/>
              </w:rPr>
            </w:pPr>
            <w:r>
              <w:rPr>
                <w:color w:val="000000"/>
                <w:sz w:val="20"/>
                <w:szCs w:val="20"/>
                <w:lang w:bidi="ar"/>
              </w:rPr>
              <w:t>禽肉</w:t>
            </w:r>
          </w:p>
        </w:tc>
        <w:tc>
          <w:tcPr>
            <w:tcW w:w="813" w:type="pct"/>
            <w:vAlign w:val="center"/>
          </w:tcPr>
          <w:p w14:paraId="3565AB68">
            <w:pPr>
              <w:spacing w:line="260" w:lineRule="exact"/>
              <w:jc w:val="center"/>
              <w:textAlignment w:val="center"/>
              <w:rPr>
                <w:color w:val="000000"/>
                <w:sz w:val="20"/>
                <w:szCs w:val="20"/>
              </w:rPr>
            </w:pPr>
            <w:r>
              <w:rPr>
                <w:color w:val="000000"/>
                <w:sz w:val="20"/>
                <w:szCs w:val="20"/>
                <w:lang w:bidi="ar"/>
              </w:rPr>
              <w:t>鸡肉</w:t>
            </w:r>
          </w:p>
        </w:tc>
        <w:tc>
          <w:tcPr>
            <w:tcW w:w="1470" w:type="pct"/>
            <w:vAlign w:val="center"/>
          </w:tcPr>
          <w:p w14:paraId="6332BBCD">
            <w:pPr>
              <w:spacing w:line="260" w:lineRule="exact"/>
              <w:jc w:val="center"/>
              <w:textAlignment w:val="center"/>
              <w:rPr>
                <w:color w:val="000000"/>
                <w:sz w:val="20"/>
                <w:szCs w:val="20"/>
              </w:rPr>
            </w:pPr>
            <w:r>
              <w:rPr>
                <w:color w:val="000000"/>
                <w:sz w:val="20"/>
                <w:szCs w:val="20"/>
                <w:lang w:bidi="ar"/>
              </w:rPr>
              <w:t>尼卡巴嗪、多西环素</w:t>
            </w:r>
          </w:p>
        </w:tc>
        <w:tc>
          <w:tcPr>
            <w:tcW w:w="896" w:type="pct"/>
            <w:vAlign w:val="center"/>
          </w:tcPr>
          <w:p w14:paraId="4705CF5F">
            <w:pPr>
              <w:spacing w:line="260" w:lineRule="exact"/>
              <w:textAlignment w:val="center"/>
              <w:rPr>
                <w:color w:val="000000"/>
                <w:sz w:val="20"/>
                <w:szCs w:val="20"/>
              </w:rPr>
            </w:pPr>
            <w:r>
              <w:rPr>
                <w:rFonts w:hint="eastAsia"/>
                <w:color w:val="000000"/>
                <w:sz w:val="20"/>
                <w:szCs w:val="20"/>
                <w:lang w:bidi="ar"/>
              </w:rPr>
              <w:t>恩诺沙星、甲氧苄啶、沙拉沙星、替米考星、氯霉素、磺胺类（总量）、呋喃唑酮代谢物、呋喃西林代谢物、呋喃它酮代谢物、氟苯尼考、甲硝唑</w:t>
            </w:r>
          </w:p>
        </w:tc>
      </w:tr>
      <w:tr w14:paraId="4C272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751B500C">
            <w:pPr>
              <w:spacing w:line="260" w:lineRule="exact"/>
              <w:jc w:val="center"/>
              <w:rPr>
                <w:color w:val="000000"/>
                <w:sz w:val="20"/>
                <w:szCs w:val="20"/>
              </w:rPr>
            </w:pPr>
          </w:p>
        </w:tc>
        <w:tc>
          <w:tcPr>
            <w:tcW w:w="792" w:type="pct"/>
            <w:vMerge w:val="continue"/>
            <w:vAlign w:val="center"/>
          </w:tcPr>
          <w:p w14:paraId="4A7FAB6D">
            <w:pPr>
              <w:spacing w:line="260" w:lineRule="exact"/>
              <w:jc w:val="center"/>
              <w:rPr>
                <w:color w:val="000000"/>
                <w:sz w:val="20"/>
                <w:szCs w:val="20"/>
              </w:rPr>
            </w:pPr>
          </w:p>
        </w:tc>
        <w:tc>
          <w:tcPr>
            <w:tcW w:w="769" w:type="pct"/>
            <w:vMerge w:val="continue"/>
            <w:vAlign w:val="center"/>
          </w:tcPr>
          <w:p w14:paraId="54703B03">
            <w:pPr>
              <w:spacing w:line="260" w:lineRule="exact"/>
              <w:jc w:val="center"/>
              <w:rPr>
                <w:color w:val="000000"/>
                <w:sz w:val="20"/>
                <w:szCs w:val="20"/>
              </w:rPr>
            </w:pPr>
          </w:p>
        </w:tc>
        <w:tc>
          <w:tcPr>
            <w:tcW w:w="813" w:type="pct"/>
            <w:vAlign w:val="center"/>
          </w:tcPr>
          <w:p w14:paraId="5D5BF3C8">
            <w:pPr>
              <w:spacing w:line="260" w:lineRule="exact"/>
              <w:jc w:val="center"/>
              <w:textAlignment w:val="center"/>
              <w:rPr>
                <w:color w:val="000000"/>
                <w:sz w:val="20"/>
                <w:szCs w:val="20"/>
              </w:rPr>
            </w:pPr>
            <w:r>
              <w:rPr>
                <w:color w:val="000000"/>
                <w:sz w:val="20"/>
                <w:szCs w:val="20"/>
                <w:lang w:bidi="ar"/>
              </w:rPr>
              <w:t>鸭肉</w:t>
            </w:r>
          </w:p>
        </w:tc>
        <w:tc>
          <w:tcPr>
            <w:tcW w:w="1470" w:type="pct"/>
            <w:vAlign w:val="center"/>
          </w:tcPr>
          <w:p w14:paraId="7865CF5C">
            <w:pPr>
              <w:spacing w:line="260" w:lineRule="exact"/>
              <w:jc w:val="center"/>
              <w:textAlignment w:val="center"/>
              <w:rPr>
                <w:color w:val="000000"/>
                <w:sz w:val="20"/>
                <w:szCs w:val="20"/>
              </w:rPr>
            </w:pPr>
            <w:r>
              <w:rPr>
                <w:color w:val="000000"/>
                <w:sz w:val="20"/>
                <w:szCs w:val="20"/>
                <w:lang w:bidi="ar"/>
              </w:rPr>
              <w:t>呋喃唑酮代谢物、氟苯尼考</w:t>
            </w:r>
          </w:p>
        </w:tc>
        <w:tc>
          <w:tcPr>
            <w:tcW w:w="896" w:type="pct"/>
            <w:vAlign w:val="center"/>
          </w:tcPr>
          <w:p w14:paraId="0C2EA8E4">
            <w:pPr>
              <w:spacing w:line="260" w:lineRule="exact"/>
              <w:textAlignment w:val="center"/>
              <w:rPr>
                <w:color w:val="000000"/>
                <w:sz w:val="20"/>
                <w:szCs w:val="20"/>
              </w:rPr>
            </w:pPr>
            <w:r>
              <w:rPr>
                <w:rFonts w:hint="eastAsia"/>
                <w:color w:val="000000"/>
                <w:sz w:val="20"/>
                <w:szCs w:val="20"/>
                <w:lang w:bidi="ar"/>
              </w:rPr>
              <w:t>多西环素、恩诺沙星、氯霉素、磺胺类（总量）、甲硝唑</w:t>
            </w:r>
          </w:p>
        </w:tc>
      </w:tr>
      <w:tr w14:paraId="6CF65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restart"/>
            <w:vAlign w:val="center"/>
          </w:tcPr>
          <w:p w14:paraId="5A9E82B0">
            <w:pPr>
              <w:spacing w:line="260" w:lineRule="exact"/>
              <w:jc w:val="center"/>
              <w:textAlignment w:val="center"/>
              <w:rPr>
                <w:color w:val="000000"/>
                <w:sz w:val="20"/>
                <w:szCs w:val="20"/>
                <w:lang w:bidi="ar"/>
              </w:rPr>
            </w:pPr>
            <w:r>
              <w:rPr>
                <w:rFonts w:hint="eastAsia"/>
                <w:color w:val="000000"/>
                <w:sz w:val="20"/>
                <w:szCs w:val="20"/>
                <w:lang w:bidi="ar"/>
              </w:rPr>
              <w:t>2</w:t>
            </w:r>
          </w:p>
          <w:p w14:paraId="607D0777">
            <w:pPr>
              <w:spacing w:line="260" w:lineRule="exact"/>
              <w:jc w:val="center"/>
              <w:rPr>
                <w:color w:val="000000"/>
                <w:sz w:val="20"/>
                <w:szCs w:val="20"/>
                <w:lang w:bidi="ar"/>
              </w:rPr>
            </w:pPr>
          </w:p>
        </w:tc>
        <w:tc>
          <w:tcPr>
            <w:tcW w:w="792" w:type="pct"/>
            <w:vMerge w:val="restart"/>
            <w:vAlign w:val="center"/>
          </w:tcPr>
          <w:p w14:paraId="230E3808">
            <w:pPr>
              <w:spacing w:line="260" w:lineRule="exact"/>
              <w:jc w:val="center"/>
              <w:textAlignment w:val="center"/>
              <w:rPr>
                <w:color w:val="000000"/>
                <w:sz w:val="20"/>
                <w:szCs w:val="20"/>
                <w:lang w:bidi="ar"/>
              </w:rPr>
            </w:pPr>
            <w:r>
              <w:rPr>
                <w:color w:val="000000"/>
                <w:sz w:val="20"/>
                <w:szCs w:val="20"/>
                <w:lang w:bidi="ar"/>
              </w:rPr>
              <w:t>蔬菜</w:t>
            </w:r>
          </w:p>
          <w:p w14:paraId="3F1C7BDC">
            <w:pPr>
              <w:spacing w:line="260" w:lineRule="exact"/>
              <w:jc w:val="center"/>
              <w:textAlignment w:val="center"/>
              <w:rPr>
                <w:color w:val="000000"/>
                <w:sz w:val="20"/>
                <w:szCs w:val="20"/>
              </w:rPr>
            </w:pPr>
          </w:p>
        </w:tc>
        <w:tc>
          <w:tcPr>
            <w:tcW w:w="769" w:type="pct"/>
            <w:vMerge w:val="restart"/>
            <w:vAlign w:val="center"/>
          </w:tcPr>
          <w:p w14:paraId="20428354">
            <w:pPr>
              <w:spacing w:line="260" w:lineRule="exact"/>
              <w:jc w:val="center"/>
              <w:textAlignment w:val="center"/>
              <w:rPr>
                <w:color w:val="000000"/>
                <w:sz w:val="20"/>
                <w:szCs w:val="20"/>
              </w:rPr>
            </w:pPr>
            <w:r>
              <w:rPr>
                <w:color w:val="000000"/>
                <w:sz w:val="20"/>
                <w:szCs w:val="20"/>
                <w:lang w:bidi="ar"/>
              </w:rPr>
              <w:t>豆类蔬菜</w:t>
            </w:r>
          </w:p>
        </w:tc>
        <w:tc>
          <w:tcPr>
            <w:tcW w:w="813" w:type="pct"/>
            <w:vAlign w:val="center"/>
          </w:tcPr>
          <w:p w14:paraId="1233C088">
            <w:pPr>
              <w:spacing w:line="260" w:lineRule="exact"/>
              <w:jc w:val="center"/>
              <w:textAlignment w:val="center"/>
              <w:rPr>
                <w:color w:val="000000"/>
                <w:sz w:val="20"/>
                <w:szCs w:val="20"/>
              </w:rPr>
            </w:pPr>
            <w:r>
              <w:rPr>
                <w:color w:val="000000"/>
                <w:sz w:val="20"/>
                <w:szCs w:val="20"/>
                <w:lang w:bidi="ar"/>
              </w:rPr>
              <w:t>菜豆</w:t>
            </w:r>
          </w:p>
        </w:tc>
        <w:tc>
          <w:tcPr>
            <w:tcW w:w="1470" w:type="pct"/>
            <w:vAlign w:val="center"/>
          </w:tcPr>
          <w:p w14:paraId="521E01BA">
            <w:pPr>
              <w:spacing w:line="260" w:lineRule="exact"/>
              <w:jc w:val="center"/>
              <w:textAlignment w:val="center"/>
              <w:rPr>
                <w:color w:val="000000"/>
                <w:sz w:val="20"/>
                <w:szCs w:val="20"/>
              </w:rPr>
            </w:pPr>
            <w:r>
              <w:rPr>
                <w:color w:val="000000"/>
                <w:sz w:val="20"/>
                <w:szCs w:val="20"/>
                <w:lang w:bidi="ar"/>
              </w:rPr>
              <w:t>噻虫胺</w:t>
            </w:r>
          </w:p>
        </w:tc>
        <w:tc>
          <w:tcPr>
            <w:tcW w:w="896" w:type="pct"/>
            <w:vAlign w:val="center"/>
          </w:tcPr>
          <w:p w14:paraId="476D3EBC">
            <w:pPr>
              <w:spacing w:line="260" w:lineRule="exact"/>
              <w:textAlignment w:val="center"/>
              <w:rPr>
                <w:color w:val="000000"/>
                <w:sz w:val="20"/>
                <w:szCs w:val="20"/>
              </w:rPr>
            </w:pPr>
            <w:r>
              <w:rPr>
                <w:rFonts w:hint="eastAsia"/>
                <w:color w:val="000000"/>
                <w:sz w:val="20"/>
                <w:szCs w:val="20"/>
                <w:lang w:bidi="ar"/>
              </w:rPr>
              <w:t>倍硫磷、吡虫啉、毒死蜱、多菌灵、甲氨基阿维菌素苯甲酸盐、克百威、水胺硫磷、氧乐果、乙酰甲胺磷</w:t>
            </w:r>
          </w:p>
        </w:tc>
      </w:tr>
      <w:tr w14:paraId="2538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3B773B7D">
            <w:pPr>
              <w:spacing w:line="260" w:lineRule="exact"/>
              <w:jc w:val="center"/>
              <w:rPr>
                <w:color w:val="000000"/>
                <w:sz w:val="20"/>
                <w:szCs w:val="20"/>
              </w:rPr>
            </w:pPr>
          </w:p>
        </w:tc>
        <w:tc>
          <w:tcPr>
            <w:tcW w:w="792" w:type="pct"/>
            <w:vMerge w:val="continue"/>
            <w:vAlign w:val="center"/>
          </w:tcPr>
          <w:p w14:paraId="2FD14EF8">
            <w:pPr>
              <w:spacing w:line="260" w:lineRule="exact"/>
              <w:jc w:val="center"/>
              <w:rPr>
                <w:color w:val="000000"/>
                <w:sz w:val="20"/>
                <w:szCs w:val="20"/>
              </w:rPr>
            </w:pPr>
          </w:p>
        </w:tc>
        <w:tc>
          <w:tcPr>
            <w:tcW w:w="769" w:type="pct"/>
            <w:vMerge w:val="continue"/>
            <w:vAlign w:val="center"/>
          </w:tcPr>
          <w:p w14:paraId="10F69277">
            <w:pPr>
              <w:spacing w:line="260" w:lineRule="exact"/>
              <w:jc w:val="center"/>
              <w:rPr>
                <w:color w:val="000000"/>
                <w:sz w:val="20"/>
                <w:szCs w:val="20"/>
              </w:rPr>
            </w:pPr>
          </w:p>
        </w:tc>
        <w:tc>
          <w:tcPr>
            <w:tcW w:w="813" w:type="pct"/>
            <w:vAlign w:val="center"/>
          </w:tcPr>
          <w:p w14:paraId="57E194E5">
            <w:pPr>
              <w:spacing w:line="260" w:lineRule="exact"/>
              <w:jc w:val="center"/>
              <w:textAlignment w:val="center"/>
              <w:rPr>
                <w:color w:val="000000"/>
                <w:sz w:val="20"/>
                <w:szCs w:val="20"/>
              </w:rPr>
            </w:pPr>
            <w:r>
              <w:rPr>
                <w:color w:val="000000"/>
                <w:sz w:val="20"/>
                <w:szCs w:val="20"/>
                <w:lang w:bidi="ar"/>
              </w:rPr>
              <w:t>豇豆</w:t>
            </w:r>
          </w:p>
        </w:tc>
        <w:tc>
          <w:tcPr>
            <w:tcW w:w="1470" w:type="pct"/>
            <w:vAlign w:val="center"/>
          </w:tcPr>
          <w:p w14:paraId="352D1907">
            <w:pPr>
              <w:spacing w:line="260" w:lineRule="exact"/>
              <w:jc w:val="center"/>
              <w:textAlignment w:val="center"/>
              <w:rPr>
                <w:color w:val="000000"/>
                <w:sz w:val="20"/>
                <w:szCs w:val="20"/>
              </w:rPr>
            </w:pPr>
            <w:r>
              <w:rPr>
                <w:color w:val="000000"/>
                <w:sz w:val="20"/>
                <w:szCs w:val="20"/>
                <w:lang w:bidi="ar"/>
              </w:rPr>
              <w:t>噻虫胺、噻虫嗪、倍硫磷</w:t>
            </w:r>
          </w:p>
        </w:tc>
        <w:tc>
          <w:tcPr>
            <w:tcW w:w="896" w:type="pct"/>
            <w:vAlign w:val="center"/>
          </w:tcPr>
          <w:p w14:paraId="77893ECD">
            <w:pPr>
              <w:spacing w:line="260" w:lineRule="exact"/>
              <w:textAlignment w:val="center"/>
              <w:rPr>
                <w:color w:val="000000"/>
                <w:sz w:val="20"/>
                <w:szCs w:val="20"/>
              </w:rPr>
            </w:pPr>
            <w:r>
              <w:rPr>
                <w:rFonts w:hint="eastAsia"/>
                <w:color w:val="000000"/>
                <w:sz w:val="20"/>
                <w:szCs w:val="20"/>
                <w:lang w:bidi="ar"/>
              </w:rPr>
              <w:t>阿维菌素、啶虫脒、毒死蜱、甲氨基阿维菌素苯甲酸盐、甲胺磷、甲拌磷、甲基异柳磷、克百威、乐果、氯氰菊酯和高效氯氰菊酯、氯氟氰菊酯和高效氯氟氰菊酯、氧乐果</w:t>
            </w:r>
          </w:p>
        </w:tc>
      </w:tr>
      <w:tr w14:paraId="1ED20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2F30A614">
            <w:pPr>
              <w:spacing w:line="260" w:lineRule="exact"/>
              <w:jc w:val="center"/>
              <w:rPr>
                <w:color w:val="000000"/>
                <w:sz w:val="20"/>
                <w:szCs w:val="20"/>
              </w:rPr>
            </w:pPr>
          </w:p>
        </w:tc>
        <w:tc>
          <w:tcPr>
            <w:tcW w:w="792" w:type="pct"/>
            <w:vMerge w:val="continue"/>
            <w:vAlign w:val="center"/>
          </w:tcPr>
          <w:p w14:paraId="41139AEE">
            <w:pPr>
              <w:spacing w:line="260" w:lineRule="exact"/>
              <w:jc w:val="center"/>
              <w:rPr>
                <w:color w:val="000000"/>
                <w:sz w:val="20"/>
                <w:szCs w:val="20"/>
              </w:rPr>
            </w:pPr>
          </w:p>
        </w:tc>
        <w:tc>
          <w:tcPr>
            <w:tcW w:w="769" w:type="pct"/>
            <w:vMerge w:val="continue"/>
            <w:vAlign w:val="center"/>
          </w:tcPr>
          <w:p w14:paraId="5D6A22F3">
            <w:pPr>
              <w:spacing w:line="260" w:lineRule="exact"/>
              <w:jc w:val="center"/>
              <w:rPr>
                <w:color w:val="000000"/>
                <w:sz w:val="20"/>
                <w:szCs w:val="20"/>
              </w:rPr>
            </w:pPr>
          </w:p>
        </w:tc>
        <w:tc>
          <w:tcPr>
            <w:tcW w:w="813" w:type="pct"/>
            <w:vAlign w:val="center"/>
          </w:tcPr>
          <w:p w14:paraId="48D55E09">
            <w:pPr>
              <w:spacing w:line="260" w:lineRule="exact"/>
              <w:jc w:val="center"/>
              <w:textAlignment w:val="center"/>
              <w:rPr>
                <w:color w:val="000000"/>
                <w:sz w:val="20"/>
                <w:szCs w:val="20"/>
              </w:rPr>
            </w:pPr>
            <w:r>
              <w:rPr>
                <w:color w:val="000000"/>
                <w:sz w:val="20"/>
                <w:szCs w:val="20"/>
                <w:lang w:bidi="ar"/>
              </w:rPr>
              <w:t>食荚豌豆</w:t>
            </w:r>
          </w:p>
        </w:tc>
        <w:tc>
          <w:tcPr>
            <w:tcW w:w="1470" w:type="pct"/>
            <w:vAlign w:val="center"/>
          </w:tcPr>
          <w:p w14:paraId="6BCFB49E">
            <w:pPr>
              <w:spacing w:line="260" w:lineRule="exact"/>
              <w:jc w:val="center"/>
              <w:textAlignment w:val="center"/>
              <w:rPr>
                <w:color w:val="000000"/>
                <w:sz w:val="20"/>
                <w:szCs w:val="20"/>
              </w:rPr>
            </w:pPr>
            <w:r>
              <w:rPr>
                <w:color w:val="000000"/>
                <w:sz w:val="20"/>
                <w:szCs w:val="20"/>
                <w:lang w:bidi="ar"/>
              </w:rPr>
              <w:t>吡唑醚菌酯、烯酰吗啉、多菌灵、噻虫胺</w:t>
            </w:r>
          </w:p>
        </w:tc>
        <w:tc>
          <w:tcPr>
            <w:tcW w:w="896" w:type="pct"/>
            <w:vAlign w:val="center"/>
          </w:tcPr>
          <w:p w14:paraId="44B250CA">
            <w:pPr>
              <w:spacing w:line="260" w:lineRule="exact"/>
              <w:textAlignment w:val="center"/>
              <w:rPr>
                <w:color w:val="000000"/>
                <w:sz w:val="20"/>
                <w:szCs w:val="20"/>
              </w:rPr>
            </w:pPr>
            <w:r>
              <w:rPr>
                <w:rFonts w:hint="eastAsia"/>
                <w:color w:val="000000"/>
                <w:sz w:val="20"/>
                <w:szCs w:val="20"/>
                <w:lang w:bidi="ar"/>
              </w:rPr>
              <w:t>阿维菌素、多菌灵、甲氨基阿维菌素苯甲酸盐、乙酰甲胺磷</w:t>
            </w:r>
          </w:p>
        </w:tc>
      </w:tr>
      <w:tr w14:paraId="303D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jc w:val="center"/>
        </w:trPr>
        <w:tc>
          <w:tcPr>
            <w:tcW w:w="260" w:type="pct"/>
            <w:vMerge w:val="continue"/>
            <w:vAlign w:val="center"/>
          </w:tcPr>
          <w:p w14:paraId="7247503C">
            <w:pPr>
              <w:spacing w:line="260" w:lineRule="exact"/>
              <w:jc w:val="center"/>
              <w:rPr>
                <w:color w:val="000000"/>
                <w:sz w:val="20"/>
                <w:szCs w:val="20"/>
                <w:lang w:bidi="ar"/>
              </w:rPr>
            </w:pPr>
          </w:p>
        </w:tc>
        <w:tc>
          <w:tcPr>
            <w:tcW w:w="792" w:type="pct"/>
            <w:vMerge w:val="continue"/>
            <w:vAlign w:val="center"/>
          </w:tcPr>
          <w:p w14:paraId="63ADAAF7">
            <w:pPr>
              <w:spacing w:line="260" w:lineRule="exact"/>
              <w:jc w:val="center"/>
              <w:textAlignment w:val="center"/>
              <w:rPr>
                <w:color w:val="000000"/>
                <w:sz w:val="20"/>
                <w:szCs w:val="20"/>
              </w:rPr>
            </w:pPr>
          </w:p>
        </w:tc>
        <w:tc>
          <w:tcPr>
            <w:tcW w:w="769" w:type="pct"/>
            <w:vAlign w:val="center"/>
          </w:tcPr>
          <w:p w14:paraId="56F61574">
            <w:pPr>
              <w:spacing w:line="260" w:lineRule="exact"/>
              <w:jc w:val="center"/>
              <w:textAlignment w:val="center"/>
              <w:rPr>
                <w:color w:val="000000"/>
                <w:sz w:val="20"/>
                <w:szCs w:val="20"/>
              </w:rPr>
            </w:pPr>
            <w:r>
              <w:rPr>
                <w:color w:val="000000"/>
                <w:sz w:val="20"/>
                <w:szCs w:val="20"/>
                <w:lang w:bidi="ar"/>
              </w:rPr>
              <w:t>豆芽</w:t>
            </w:r>
          </w:p>
        </w:tc>
        <w:tc>
          <w:tcPr>
            <w:tcW w:w="813" w:type="pct"/>
            <w:vAlign w:val="center"/>
          </w:tcPr>
          <w:p w14:paraId="098A52CA">
            <w:pPr>
              <w:spacing w:line="260" w:lineRule="exact"/>
              <w:jc w:val="center"/>
              <w:textAlignment w:val="center"/>
              <w:rPr>
                <w:color w:val="000000"/>
                <w:sz w:val="20"/>
                <w:szCs w:val="20"/>
              </w:rPr>
            </w:pPr>
            <w:r>
              <w:rPr>
                <w:color w:val="000000"/>
                <w:sz w:val="20"/>
                <w:szCs w:val="20"/>
                <w:lang w:bidi="ar"/>
              </w:rPr>
              <w:t>豆芽</w:t>
            </w:r>
          </w:p>
        </w:tc>
        <w:tc>
          <w:tcPr>
            <w:tcW w:w="1470" w:type="pct"/>
            <w:vAlign w:val="center"/>
          </w:tcPr>
          <w:p w14:paraId="2A8DA9FE">
            <w:pPr>
              <w:spacing w:line="260" w:lineRule="exact"/>
              <w:jc w:val="center"/>
              <w:textAlignment w:val="center"/>
              <w:rPr>
                <w:color w:val="000000"/>
                <w:sz w:val="20"/>
                <w:szCs w:val="20"/>
              </w:rPr>
            </w:pPr>
            <w:r>
              <w:rPr>
                <w:color w:val="000000"/>
                <w:sz w:val="20"/>
                <w:szCs w:val="20"/>
                <w:lang w:bidi="ar"/>
              </w:rPr>
              <w:t>4-氯苯氧乙酸钠（以4-氯苯氧乙酸计）、6-苄基腺嘌呤（6-BA）</w:t>
            </w:r>
          </w:p>
        </w:tc>
        <w:tc>
          <w:tcPr>
            <w:tcW w:w="896" w:type="pct"/>
            <w:vAlign w:val="center"/>
          </w:tcPr>
          <w:p w14:paraId="4F71ADAD">
            <w:pPr>
              <w:spacing w:line="260" w:lineRule="exact"/>
              <w:textAlignment w:val="center"/>
              <w:rPr>
                <w:color w:val="000000"/>
                <w:sz w:val="20"/>
                <w:szCs w:val="20"/>
              </w:rPr>
            </w:pPr>
            <w:r>
              <w:rPr>
                <w:rFonts w:hint="eastAsia"/>
                <w:color w:val="000000"/>
                <w:sz w:val="20"/>
                <w:szCs w:val="20"/>
                <w:lang w:bidi="ar"/>
              </w:rPr>
              <w:t>铅（以</w:t>
            </w:r>
            <w:r>
              <w:rPr>
                <w:color w:val="000000"/>
                <w:sz w:val="20"/>
                <w:szCs w:val="20"/>
                <w:lang w:bidi="ar"/>
              </w:rPr>
              <w:t>Pb</w:t>
            </w:r>
            <w:r>
              <w:rPr>
                <w:rFonts w:hint="eastAsia"/>
                <w:color w:val="000000"/>
                <w:sz w:val="20"/>
                <w:szCs w:val="20"/>
                <w:lang w:bidi="ar"/>
              </w:rPr>
              <w:t>计）、亚硫酸盐（以</w:t>
            </w:r>
            <w:r>
              <w:rPr>
                <w:color w:val="000000"/>
                <w:sz w:val="20"/>
                <w:szCs w:val="20"/>
                <w:lang w:bidi="ar"/>
              </w:rPr>
              <w:t>SO</w:t>
            </w:r>
            <w:r>
              <w:rPr>
                <w:rFonts w:ascii="Cambria Math" w:hAnsi="Cambria Math" w:cs="Cambria Math"/>
                <w:color w:val="000000"/>
                <w:sz w:val="20"/>
                <w:szCs w:val="20"/>
                <w:lang w:bidi="ar"/>
              </w:rPr>
              <w:t>₂</w:t>
            </w:r>
            <w:r>
              <w:rPr>
                <w:rFonts w:hint="eastAsia"/>
                <w:color w:val="000000"/>
                <w:sz w:val="20"/>
                <w:szCs w:val="20"/>
                <w:lang w:bidi="ar"/>
              </w:rPr>
              <w:t>计）、总汞（以</w:t>
            </w:r>
            <w:r>
              <w:rPr>
                <w:color w:val="000000"/>
                <w:sz w:val="20"/>
                <w:szCs w:val="20"/>
                <w:lang w:bidi="ar"/>
              </w:rPr>
              <w:t>Hg</w:t>
            </w:r>
            <w:r>
              <w:rPr>
                <w:rFonts w:hint="eastAsia"/>
                <w:color w:val="000000"/>
                <w:sz w:val="20"/>
                <w:szCs w:val="20"/>
                <w:lang w:bidi="ar"/>
              </w:rPr>
              <w:t>计）</w:t>
            </w:r>
          </w:p>
        </w:tc>
      </w:tr>
      <w:tr w14:paraId="0E1EF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1B517580">
            <w:pPr>
              <w:spacing w:line="260" w:lineRule="exact"/>
              <w:jc w:val="center"/>
              <w:rPr>
                <w:color w:val="000000"/>
                <w:sz w:val="20"/>
                <w:szCs w:val="20"/>
              </w:rPr>
            </w:pPr>
          </w:p>
        </w:tc>
        <w:tc>
          <w:tcPr>
            <w:tcW w:w="792" w:type="pct"/>
            <w:vMerge w:val="continue"/>
            <w:vAlign w:val="center"/>
          </w:tcPr>
          <w:p w14:paraId="7810375A">
            <w:pPr>
              <w:spacing w:line="260" w:lineRule="exact"/>
              <w:jc w:val="center"/>
              <w:rPr>
                <w:color w:val="000000"/>
                <w:sz w:val="20"/>
                <w:szCs w:val="20"/>
              </w:rPr>
            </w:pPr>
          </w:p>
        </w:tc>
        <w:tc>
          <w:tcPr>
            <w:tcW w:w="769" w:type="pct"/>
            <w:vMerge w:val="restart"/>
            <w:vAlign w:val="center"/>
          </w:tcPr>
          <w:p w14:paraId="43985C53">
            <w:pPr>
              <w:spacing w:line="260" w:lineRule="exact"/>
              <w:jc w:val="center"/>
              <w:textAlignment w:val="center"/>
              <w:rPr>
                <w:color w:val="000000"/>
                <w:sz w:val="20"/>
                <w:szCs w:val="20"/>
              </w:rPr>
            </w:pPr>
            <w:r>
              <w:rPr>
                <w:color w:val="000000"/>
                <w:sz w:val="20"/>
                <w:szCs w:val="20"/>
                <w:lang w:bidi="ar"/>
              </w:rPr>
              <w:t>根茎类和薯芋类蔬菜</w:t>
            </w:r>
          </w:p>
        </w:tc>
        <w:tc>
          <w:tcPr>
            <w:tcW w:w="813" w:type="pct"/>
            <w:vAlign w:val="center"/>
          </w:tcPr>
          <w:p w14:paraId="306D77DF">
            <w:pPr>
              <w:spacing w:line="260" w:lineRule="exact"/>
              <w:jc w:val="center"/>
              <w:textAlignment w:val="center"/>
              <w:rPr>
                <w:color w:val="000000"/>
                <w:sz w:val="20"/>
                <w:szCs w:val="20"/>
              </w:rPr>
            </w:pPr>
            <w:r>
              <w:rPr>
                <w:color w:val="000000"/>
                <w:sz w:val="20"/>
                <w:szCs w:val="20"/>
                <w:lang w:bidi="ar"/>
              </w:rPr>
              <w:t>胡萝卜</w:t>
            </w:r>
          </w:p>
        </w:tc>
        <w:tc>
          <w:tcPr>
            <w:tcW w:w="1470" w:type="pct"/>
            <w:vAlign w:val="center"/>
          </w:tcPr>
          <w:p w14:paraId="2581590C">
            <w:pPr>
              <w:spacing w:line="260" w:lineRule="exact"/>
              <w:jc w:val="center"/>
              <w:textAlignment w:val="center"/>
              <w:rPr>
                <w:color w:val="000000"/>
                <w:sz w:val="20"/>
                <w:szCs w:val="20"/>
              </w:rPr>
            </w:pPr>
            <w:r>
              <w:rPr>
                <w:color w:val="000000"/>
                <w:sz w:val="20"/>
                <w:szCs w:val="20"/>
                <w:lang w:bidi="ar"/>
              </w:rPr>
              <w:t>噻虫胺、甲拌磷</w:t>
            </w:r>
          </w:p>
        </w:tc>
        <w:tc>
          <w:tcPr>
            <w:tcW w:w="896" w:type="pct"/>
            <w:vAlign w:val="center"/>
          </w:tcPr>
          <w:p w14:paraId="0FE54300">
            <w:pPr>
              <w:spacing w:line="260" w:lineRule="exact"/>
              <w:textAlignment w:val="center"/>
              <w:rPr>
                <w:color w:val="000000"/>
                <w:sz w:val="20"/>
                <w:szCs w:val="20"/>
              </w:rPr>
            </w:pPr>
            <w:r>
              <w:rPr>
                <w:rFonts w:hint="eastAsia"/>
                <w:color w:val="000000"/>
                <w:sz w:val="20"/>
                <w:szCs w:val="20"/>
                <w:lang w:bidi="ar"/>
              </w:rPr>
              <w:t>铅（以Pb计）、毒死蜱、氟虫腈、氯氟氰菊酯和高效氯氟氰菊酯、</w:t>
            </w:r>
          </w:p>
        </w:tc>
      </w:tr>
      <w:tr w14:paraId="4CFFD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44EB8DB1">
            <w:pPr>
              <w:spacing w:line="260" w:lineRule="exact"/>
              <w:jc w:val="center"/>
              <w:textAlignment w:val="center"/>
              <w:rPr>
                <w:color w:val="000000"/>
                <w:sz w:val="20"/>
                <w:szCs w:val="20"/>
              </w:rPr>
            </w:pPr>
          </w:p>
        </w:tc>
        <w:tc>
          <w:tcPr>
            <w:tcW w:w="792" w:type="pct"/>
            <w:vMerge w:val="continue"/>
            <w:vAlign w:val="center"/>
          </w:tcPr>
          <w:p w14:paraId="4EC4FBB7">
            <w:pPr>
              <w:spacing w:line="260" w:lineRule="exact"/>
              <w:jc w:val="center"/>
              <w:textAlignment w:val="center"/>
              <w:rPr>
                <w:color w:val="000000"/>
                <w:sz w:val="20"/>
                <w:szCs w:val="20"/>
              </w:rPr>
            </w:pPr>
          </w:p>
        </w:tc>
        <w:tc>
          <w:tcPr>
            <w:tcW w:w="769" w:type="pct"/>
            <w:vMerge w:val="continue"/>
            <w:vAlign w:val="center"/>
          </w:tcPr>
          <w:p w14:paraId="6E79A0FA">
            <w:pPr>
              <w:spacing w:line="260" w:lineRule="exact"/>
              <w:jc w:val="center"/>
              <w:textAlignment w:val="center"/>
              <w:rPr>
                <w:color w:val="000000"/>
                <w:sz w:val="20"/>
                <w:szCs w:val="20"/>
              </w:rPr>
            </w:pPr>
          </w:p>
        </w:tc>
        <w:tc>
          <w:tcPr>
            <w:tcW w:w="813" w:type="pct"/>
            <w:vAlign w:val="center"/>
          </w:tcPr>
          <w:p w14:paraId="17F711A0">
            <w:pPr>
              <w:spacing w:line="260" w:lineRule="exact"/>
              <w:jc w:val="center"/>
              <w:textAlignment w:val="center"/>
              <w:rPr>
                <w:color w:val="000000"/>
                <w:sz w:val="20"/>
                <w:szCs w:val="20"/>
              </w:rPr>
            </w:pPr>
            <w:r>
              <w:rPr>
                <w:color w:val="000000"/>
                <w:sz w:val="20"/>
                <w:szCs w:val="20"/>
                <w:lang w:bidi="ar"/>
              </w:rPr>
              <w:t>姜</w:t>
            </w:r>
          </w:p>
        </w:tc>
        <w:tc>
          <w:tcPr>
            <w:tcW w:w="1470" w:type="pct"/>
            <w:vAlign w:val="center"/>
          </w:tcPr>
          <w:p w14:paraId="5B9176A8">
            <w:pPr>
              <w:spacing w:line="260" w:lineRule="exact"/>
              <w:jc w:val="center"/>
              <w:textAlignment w:val="center"/>
              <w:rPr>
                <w:color w:val="000000"/>
                <w:sz w:val="20"/>
                <w:szCs w:val="20"/>
              </w:rPr>
            </w:pPr>
            <w:r>
              <w:rPr>
                <w:color w:val="000000"/>
                <w:sz w:val="20"/>
                <w:szCs w:val="20"/>
                <w:lang w:bidi="ar"/>
              </w:rPr>
              <w:t>噻虫胺、噻虫嗪、毒死蜱、吡虫啉</w:t>
            </w:r>
          </w:p>
        </w:tc>
        <w:tc>
          <w:tcPr>
            <w:tcW w:w="896" w:type="pct"/>
            <w:vAlign w:val="center"/>
          </w:tcPr>
          <w:p w14:paraId="44E2DA5D">
            <w:pPr>
              <w:spacing w:line="260" w:lineRule="exact"/>
              <w:textAlignment w:val="center"/>
              <w:rPr>
                <w:color w:val="000000"/>
                <w:sz w:val="20"/>
                <w:szCs w:val="20"/>
              </w:rPr>
            </w:pPr>
            <w:r>
              <w:rPr>
                <w:rFonts w:hint="eastAsia"/>
                <w:color w:val="000000"/>
                <w:sz w:val="20"/>
                <w:szCs w:val="20"/>
                <w:lang w:bidi="ar"/>
              </w:rPr>
              <w:t>吡唑醚菌酯、甲胺磷、咪鲜胺和咪鲜胺锰盐、敌敌畏、甲拌磷、克百威、二氧化硫残留量</w:t>
            </w:r>
          </w:p>
        </w:tc>
      </w:tr>
      <w:tr w14:paraId="1D549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72D006E9">
            <w:pPr>
              <w:spacing w:line="260" w:lineRule="exact"/>
              <w:jc w:val="center"/>
              <w:rPr>
                <w:color w:val="000000"/>
                <w:sz w:val="20"/>
                <w:szCs w:val="20"/>
              </w:rPr>
            </w:pPr>
          </w:p>
        </w:tc>
        <w:tc>
          <w:tcPr>
            <w:tcW w:w="792" w:type="pct"/>
            <w:vMerge w:val="continue"/>
            <w:vAlign w:val="center"/>
          </w:tcPr>
          <w:p w14:paraId="4B11912D">
            <w:pPr>
              <w:spacing w:line="260" w:lineRule="exact"/>
              <w:jc w:val="center"/>
              <w:rPr>
                <w:color w:val="000000"/>
                <w:sz w:val="20"/>
                <w:szCs w:val="20"/>
              </w:rPr>
            </w:pPr>
          </w:p>
        </w:tc>
        <w:tc>
          <w:tcPr>
            <w:tcW w:w="769" w:type="pct"/>
            <w:vMerge w:val="continue"/>
            <w:vAlign w:val="center"/>
          </w:tcPr>
          <w:p w14:paraId="300190B5">
            <w:pPr>
              <w:spacing w:line="260" w:lineRule="exact"/>
              <w:jc w:val="center"/>
              <w:rPr>
                <w:color w:val="000000"/>
                <w:sz w:val="20"/>
                <w:szCs w:val="20"/>
              </w:rPr>
            </w:pPr>
          </w:p>
        </w:tc>
        <w:tc>
          <w:tcPr>
            <w:tcW w:w="813" w:type="pct"/>
            <w:vAlign w:val="center"/>
          </w:tcPr>
          <w:p w14:paraId="13CA2DA9">
            <w:pPr>
              <w:spacing w:line="260" w:lineRule="exact"/>
              <w:jc w:val="center"/>
              <w:textAlignment w:val="center"/>
              <w:rPr>
                <w:color w:val="000000"/>
                <w:sz w:val="20"/>
                <w:szCs w:val="20"/>
              </w:rPr>
            </w:pPr>
            <w:r>
              <w:rPr>
                <w:color w:val="000000"/>
                <w:sz w:val="20"/>
                <w:szCs w:val="20"/>
                <w:lang w:bidi="ar"/>
              </w:rPr>
              <w:t>山药</w:t>
            </w:r>
          </w:p>
        </w:tc>
        <w:tc>
          <w:tcPr>
            <w:tcW w:w="1470" w:type="pct"/>
            <w:vAlign w:val="center"/>
          </w:tcPr>
          <w:p w14:paraId="2AEFD454">
            <w:pPr>
              <w:spacing w:line="260" w:lineRule="exact"/>
              <w:jc w:val="center"/>
              <w:textAlignment w:val="center"/>
              <w:rPr>
                <w:color w:val="000000"/>
                <w:sz w:val="20"/>
                <w:szCs w:val="20"/>
              </w:rPr>
            </w:pPr>
            <w:r>
              <w:rPr>
                <w:color w:val="000000"/>
                <w:sz w:val="20"/>
                <w:szCs w:val="20"/>
                <w:lang w:bidi="ar"/>
              </w:rPr>
              <w:t>咪鲜胺和咪鲜胺锰盐</w:t>
            </w:r>
          </w:p>
        </w:tc>
        <w:tc>
          <w:tcPr>
            <w:tcW w:w="896" w:type="pct"/>
            <w:vAlign w:val="center"/>
          </w:tcPr>
          <w:p w14:paraId="609A6853">
            <w:pPr>
              <w:spacing w:line="260" w:lineRule="exact"/>
              <w:textAlignment w:val="center"/>
              <w:rPr>
                <w:color w:val="000000"/>
                <w:sz w:val="20"/>
                <w:szCs w:val="20"/>
              </w:rPr>
            </w:pPr>
            <w:r>
              <w:rPr>
                <w:rFonts w:hint="eastAsia"/>
                <w:color w:val="000000"/>
                <w:sz w:val="20"/>
                <w:szCs w:val="20"/>
                <w:lang w:bidi="ar"/>
              </w:rPr>
              <w:t>铅（以Pb计）、毒死蜱、氯氟氰菊酯和高效氯氟氰菊酯、涕灭威</w:t>
            </w:r>
          </w:p>
        </w:tc>
      </w:tr>
      <w:tr w14:paraId="7050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67CF5D1B">
            <w:pPr>
              <w:spacing w:line="260" w:lineRule="exact"/>
              <w:jc w:val="center"/>
              <w:rPr>
                <w:color w:val="000000"/>
                <w:sz w:val="20"/>
                <w:szCs w:val="20"/>
              </w:rPr>
            </w:pPr>
          </w:p>
        </w:tc>
        <w:tc>
          <w:tcPr>
            <w:tcW w:w="792" w:type="pct"/>
            <w:vMerge w:val="continue"/>
            <w:vAlign w:val="center"/>
          </w:tcPr>
          <w:p w14:paraId="47B1FD96">
            <w:pPr>
              <w:spacing w:line="260" w:lineRule="exact"/>
              <w:jc w:val="center"/>
              <w:rPr>
                <w:color w:val="000000"/>
                <w:sz w:val="20"/>
                <w:szCs w:val="20"/>
              </w:rPr>
            </w:pPr>
          </w:p>
        </w:tc>
        <w:tc>
          <w:tcPr>
            <w:tcW w:w="769" w:type="pct"/>
            <w:vMerge w:val="restart"/>
            <w:vAlign w:val="center"/>
          </w:tcPr>
          <w:p w14:paraId="1CD9E74B">
            <w:pPr>
              <w:spacing w:line="260" w:lineRule="exact"/>
              <w:jc w:val="center"/>
              <w:textAlignment w:val="center"/>
              <w:rPr>
                <w:color w:val="000000"/>
                <w:sz w:val="20"/>
                <w:szCs w:val="20"/>
              </w:rPr>
            </w:pPr>
            <w:r>
              <w:rPr>
                <w:color w:val="000000"/>
                <w:sz w:val="20"/>
                <w:szCs w:val="20"/>
                <w:lang w:bidi="ar"/>
              </w:rPr>
              <w:t>鳞茎类蔬菜</w:t>
            </w:r>
          </w:p>
        </w:tc>
        <w:tc>
          <w:tcPr>
            <w:tcW w:w="813" w:type="pct"/>
            <w:vAlign w:val="center"/>
          </w:tcPr>
          <w:p w14:paraId="3FAE5FDF">
            <w:pPr>
              <w:spacing w:line="260" w:lineRule="exact"/>
              <w:jc w:val="center"/>
              <w:textAlignment w:val="center"/>
              <w:rPr>
                <w:color w:val="000000"/>
                <w:sz w:val="20"/>
                <w:szCs w:val="20"/>
              </w:rPr>
            </w:pPr>
            <w:r>
              <w:rPr>
                <w:color w:val="000000"/>
                <w:sz w:val="20"/>
                <w:szCs w:val="20"/>
                <w:lang w:bidi="ar"/>
              </w:rPr>
              <w:t>百合</w:t>
            </w:r>
          </w:p>
        </w:tc>
        <w:tc>
          <w:tcPr>
            <w:tcW w:w="1470" w:type="pct"/>
            <w:vAlign w:val="center"/>
          </w:tcPr>
          <w:p w14:paraId="259A2AFF">
            <w:pPr>
              <w:spacing w:line="260" w:lineRule="exact"/>
              <w:jc w:val="center"/>
              <w:textAlignment w:val="center"/>
              <w:rPr>
                <w:color w:val="000000"/>
                <w:sz w:val="20"/>
                <w:szCs w:val="20"/>
              </w:rPr>
            </w:pPr>
            <w:r>
              <w:rPr>
                <w:color w:val="000000"/>
                <w:sz w:val="20"/>
                <w:szCs w:val="20"/>
                <w:lang w:bidi="ar"/>
              </w:rPr>
              <w:t>镉（以Cd计）</w:t>
            </w:r>
          </w:p>
        </w:tc>
        <w:tc>
          <w:tcPr>
            <w:tcW w:w="896" w:type="pct"/>
            <w:vAlign w:val="center"/>
          </w:tcPr>
          <w:p w14:paraId="03FBB6E0">
            <w:pPr>
              <w:spacing w:line="260" w:lineRule="exact"/>
              <w:textAlignment w:val="center"/>
              <w:rPr>
                <w:color w:val="000000"/>
                <w:sz w:val="20"/>
                <w:szCs w:val="20"/>
              </w:rPr>
            </w:pPr>
            <w:r>
              <w:rPr>
                <w:rFonts w:hint="eastAsia"/>
                <w:color w:val="000000"/>
                <w:sz w:val="20"/>
                <w:szCs w:val="20"/>
                <w:lang w:bidi="ar"/>
              </w:rPr>
              <w:t>总汞（以</w:t>
            </w:r>
            <w:r>
              <w:rPr>
                <w:color w:val="000000"/>
                <w:sz w:val="20"/>
                <w:szCs w:val="20"/>
                <w:lang w:bidi="ar"/>
              </w:rPr>
              <w:t>Hg</w:t>
            </w:r>
            <w:r>
              <w:rPr>
                <w:rFonts w:hint="eastAsia"/>
                <w:color w:val="000000"/>
                <w:sz w:val="20"/>
                <w:szCs w:val="20"/>
                <w:lang w:bidi="ar"/>
              </w:rPr>
              <w:t>计）、毒死蜱</w:t>
            </w:r>
          </w:p>
        </w:tc>
      </w:tr>
      <w:tr w14:paraId="5791F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50915B2A">
            <w:pPr>
              <w:spacing w:line="260" w:lineRule="exact"/>
              <w:jc w:val="center"/>
              <w:rPr>
                <w:color w:val="000000"/>
                <w:sz w:val="20"/>
                <w:szCs w:val="20"/>
              </w:rPr>
            </w:pPr>
          </w:p>
        </w:tc>
        <w:tc>
          <w:tcPr>
            <w:tcW w:w="792" w:type="pct"/>
            <w:vMerge w:val="continue"/>
            <w:vAlign w:val="center"/>
          </w:tcPr>
          <w:p w14:paraId="73C2F46A">
            <w:pPr>
              <w:spacing w:line="260" w:lineRule="exact"/>
              <w:jc w:val="center"/>
              <w:rPr>
                <w:color w:val="000000"/>
                <w:sz w:val="20"/>
                <w:szCs w:val="20"/>
              </w:rPr>
            </w:pPr>
          </w:p>
        </w:tc>
        <w:tc>
          <w:tcPr>
            <w:tcW w:w="769" w:type="pct"/>
            <w:vMerge w:val="continue"/>
            <w:vAlign w:val="center"/>
          </w:tcPr>
          <w:p w14:paraId="3F0D5C3B">
            <w:pPr>
              <w:spacing w:line="260" w:lineRule="exact"/>
              <w:jc w:val="center"/>
              <w:rPr>
                <w:color w:val="000000"/>
                <w:sz w:val="20"/>
                <w:szCs w:val="20"/>
              </w:rPr>
            </w:pPr>
          </w:p>
        </w:tc>
        <w:tc>
          <w:tcPr>
            <w:tcW w:w="813" w:type="pct"/>
            <w:vAlign w:val="center"/>
          </w:tcPr>
          <w:p w14:paraId="11A375B6">
            <w:pPr>
              <w:spacing w:line="260" w:lineRule="exact"/>
              <w:jc w:val="center"/>
              <w:textAlignment w:val="center"/>
              <w:rPr>
                <w:color w:val="000000"/>
                <w:sz w:val="20"/>
                <w:szCs w:val="20"/>
              </w:rPr>
            </w:pPr>
            <w:r>
              <w:rPr>
                <w:color w:val="000000"/>
                <w:sz w:val="20"/>
                <w:szCs w:val="20"/>
                <w:lang w:bidi="ar"/>
              </w:rPr>
              <w:t>葱</w:t>
            </w:r>
          </w:p>
        </w:tc>
        <w:tc>
          <w:tcPr>
            <w:tcW w:w="1470" w:type="pct"/>
            <w:vAlign w:val="center"/>
          </w:tcPr>
          <w:p w14:paraId="7F2FD547">
            <w:pPr>
              <w:spacing w:line="260" w:lineRule="exact"/>
              <w:jc w:val="center"/>
              <w:textAlignment w:val="center"/>
              <w:rPr>
                <w:color w:val="000000"/>
                <w:sz w:val="20"/>
                <w:szCs w:val="20"/>
              </w:rPr>
            </w:pPr>
            <w:r>
              <w:rPr>
                <w:color w:val="000000"/>
                <w:sz w:val="20"/>
                <w:szCs w:val="20"/>
                <w:lang w:bidi="ar"/>
              </w:rPr>
              <w:t>噻虫嗪</w:t>
            </w:r>
          </w:p>
        </w:tc>
        <w:tc>
          <w:tcPr>
            <w:tcW w:w="896" w:type="pct"/>
            <w:vAlign w:val="center"/>
          </w:tcPr>
          <w:p w14:paraId="4E90D3B4">
            <w:pPr>
              <w:spacing w:line="260" w:lineRule="exact"/>
              <w:textAlignment w:val="center"/>
              <w:rPr>
                <w:color w:val="000000"/>
                <w:sz w:val="20"/>
                <w:szCs w:val="20"/>
              </w:rPr>
            </w:pPr>
            <w:r>
              <w:rPr>
                <w:rFonts w:hint="eastAsia"/>
                <w:color w:val="000000"/>
                <w:sz w:val="20"/>
                <w:szCs w:val="20"/>
                <w:lang w:bidi="ar"/>
              </w:rPr>
              <w:t>毒死蜱、甲拌磷、甲基异柳磷、克百威、乙酰甲胺磷、三唑磷、水胺硫磷、氧乐果</w:t>
            </w:r>
          </w:p>
        </w:tc>
      </w:tr>
      <w:tr w14:paraId="0E367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9" w:hRule="atLeast"/>
          <w:jc w:val="center"/>
        </w:trPr>
        <w:tc>
          <w:tcPr>
            <w:tcW w:w="260" w:type="pct"/>
            <w:vMerge w:val="continue"/>
            <w:vAlign w:val="center"/>
          </w:tcPr>
          <w:p w14:paraId="53B130AB">
            <w:pPr>
              <w:spacing w:line="260" w:lineRule="exact"/>
              <w:jc w:val="center"/>
              <w:rPr>
                <w:color w:val="000000"/>
                <w:sz w:val="20"/>
                <w:szCs w:val="20"/>
              </w:rPr>
            </w:pPr>
          </w:p>
        </w:tc>
        <w:tc>
          <w:tcPr>
            <w:tcW w:w="792" w:type="pct"/>
            <w:vMerge w:val="continue"/>
            <w:vAlign w:val="center"/>
          </w:tcPr>
          <w:p w14:paraId="32AA23A7">
            <w:pPr>
              <w:spacing w:line="260" w:lineRule="exact"/>
              <w:jc w:val="center"/>
              <w:rPr>
                <w:color w:val="000000"/>
                <w:sz w:val="20"/>
                <w:szCs w:val="20"/>
              </w:rPr>
            </w:pPr>
          </w:p>
        </w:tc>
        <w:tc>
          <w:tcPr>
            <w:tcW w:w="769" w:type="pct"/>
            <w:vMerge w:val="continue"/>
            <w:vAlign w:val="center"/>
          </w:tcPr>
          <w:p w14:paraId="20474098">
            <w:pPr>
              <w:spacing w:line="260" w:lineRule="exact"/>
              <w:jc w:val="center"/>
              <w:rPr>
                <w:color w:val="000000"/>
                <w:sz w:val="20"/>
                <w:szCs w:val="20"/>
              </w:rPr>
            </w:pPr>
          </w:p>
        </w:tc>
        <w:tc>
          <w:tcPr>
            <w:tcW w:w="813" w:type="pct"/>
            <w:vAlign w:val="center"/>
          </w:tcPr>
          <w:p w14:paraId="1144CCD8">
            <w:pPr>
              <w:spacing w:line="260" w:lineRule="exact"/>
              <w:jc w:val="center"/>
              <w:textAlignment w:val="center"/>
              <w:rPr>
                <w:color w:val="000000"/>
                <w:sz w:val="20"/>
                <w:szCs w:val="20"/>
              </w:rPr>
            </w:pPr>
            <w:r>
              <w:rPr>
                <w:color w:val="000000"/>
                <w:sz w:val="20"/>
                <w:szCs w:val="20"/>
                <w:lang w:bidi="ar"/>
              </w:rPr>
              <w:t>韭菜</w:t>
            </w:r>
          </w:p>
        </w:tc>
        <w:tc>
          <w:tcPr>
            <w:tcW w:w="1470" w:type="pct"/>
            <w:vAlign w:val="center"/>
          </w:tcPr>
          <w:p w14:paraId="423F41EB">
            <w:pPr>
              <w:spacing w:line="260" w:lineRule="exact"/>
              <w:jc w:val="center"/>
              <w:textAlignment w:val="center"/>
              <w:rPr>
                <w:color w:val="000000"/>
                <w:sz w:val="20"/>
                <w:szCs w:val="20"/>
              </w:rPr>
            </w:pPr>
            <w:r>
              <w:rPr>
                <w:color w:val="000000"/>
                <w:sz w:val="20"/>
                <w:szCs w:val="20"/>
                <w:lang w:bidi="ar"/>
              </w:rPr>
              <w:t>毒死蜱</w:t>
            </w:r>
          </w:p>
        </w:tc>
        <w:tc>
          <w:tcPr>
            <w:tcW w:w="896" w:type="pct"/>
            <w:vAlign w:val="center"/>
          </w:tcPr>
          <w:p w14:paraId="78A64D21">
            <w:pPr>
              <w:spacing w:line="260" w:lineRule="exact"/>
              <w:textAlignment w:val="center"/>
              <w:rPr>
                <w:color w:val="000000"/>
                <w:sz w:val="20"/>
                <w:szCs w:val="20"/>
              </w:rPr>
            </w:pPr>
            <w:r>
              <w:rPr>
                <w:rFonts w:hint="eastAsia"/>
                <w:color w:val="000000"/>
                <w:sz w:val="20"/>
                <w:szCs w:val="20"/>
                <w:lang w:bidi="ar"/>
              </w:rPr>
              <w:t>甲拌磷、甲基异柳磷、克百威、乙酰甲胺磷、噻虫嗪、三唑磷、水胺硫磷、氧乐果</w:t>
            </w:r>
          </w:p>
        </w:tc>
      </w:tr>
      <w:tr w14:paraId="27F08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6736D95F">
            <w:pPr>
              <w:spacing w:line="260" w:lineRule="exact"/>
              <w:jc w:val="center"/>
              <w:rPr>
                <w:color w:val="000000"/>
                <w:sz w:val="20"/>
                <w:szCs w:val="20"/>
              </w:rPr>
            </w:pPr>
          </w:p>
        </w:tc>
        <w:tc>
          <w:tcPr>
            <w:tcW w:w="792" w:type="pct"/>
            <w:vMerge w:val="continue"/>
            <w:vAlign w:val="center"/>
          </w:tcPr>
          <w:p w14:paraId="265190CB">
            <w:pPr>
              <w:spacing w:line="260" w:lineRule="exact"/>
              <w:jc w:val="center"/>
              <w:rPr>
                <w:color w:val="000000"/>
                <w:sz w:val="20"/>
                <w:szCs w:val="20"/>
              </w:rPr>
            </w:pPr>
          </w:p>
        </w:tc>
        <w:tc>
          <w:tcPr>
            <w:tcW w:w="769" w:type="pct"/>
            <w:vMerge w:val="restart"/>
            <w:vAlign w:val="center"/>
          </w:tcPr>
          <w:p w14:paraId="0C016B75">
            <w:pPr>
              <w:spacing w:line="260" w:lineRule="exact"/>
              <w:jc w:val="center"/>
              <w:textAlignment w:val="center"/>
              <w:rPr>
                <w:color w:val="000000"/>
                <w:sz w:val="20"/>
                <w:szCs w:val="20"/>
              </w:rPr>
            </w:pPr>
            <w:r>
              <w:rPr>
                <w:color w:val="000000"/>
                <w:sz w:val="20"/>
                <w:szCs w:val="20"/>
                <w:lang w:bidi="ar"/>
              </w:rPr>
              <w:t>茄果类蔬菜</w:t>
            </w:r>
          </w:p>
        </w:tc>
        <w:tc>
          <w:tcPr>
            <w:tcW w:w="813" w:type="pct"/>
            <w:vAlign w:val="center"/>
          </w:tcPr>
          <w:p w14:paraId="12D5FEBD">
            <w:pPr>
              <w:spacing w:line="260" w:lineRule="exact"/>
              <w:jc w:val="center"/>
              <w:textAlignment w:val="center"/>
              <w:rPr>
                <w:color w:val="000000"/>
                <w:sz w:val="20"/>
                <w:szCs w:val="20"/>
              </w:rPr>
            </w:pPr>
            <w:r>
              <w:rPr>
                <w:color w:val="000000"/>
                <w:sz w:val="20"/>
                <w:szCs w:val="20"/>
                <w:lang w:bidi="ar"/>
              </w:rPr>
              <w:t>辣椒</w:t>
            </w:r>
          </w:p>
        </w:tc>
        <w:tc>
          <w:tcPr>
            <w:tcW w:w="1470" w:type="pct"/>
            <w:vAlign w:val="center"/>
          </w:tcPr>
          <w:p w14:paraId="0862362A">
            <w:pPr>
              <w:spacing w:line="260" w:lineRule="exact"/>
              <w:jc w:val="center"/>
              <w:textAlignment w:val="center"/>
              <w:rPr>
                <w:color w:val="000000"/>
                <w:sz w:val="20"/>
                <w:szCs w:val="20"/>
              </w:rPr>
            </w:pPr>
            <w:r>
              <w:rPr>
                <w:color w:val="000000"/>
                <w:sz w:val="20"/>
                <w:szCs w:val="20"/>
                <w:lang w:bidi="ar"/>
              </w:rPr>
              <w:t>噻虫胺、毒死蜱、啶虫脒</w:t>
            </w:r>
          </w:p>
        </w:tc>
        <w:tc>
          <w:tcPr>
            <w:tcW w:w="896" w:type="pct"/>
            <w:vAlign w:val="center"/>
          </w:tcPr>
          <w:p w14:paraId="36B724A7">
            <w:pPr>
              <w:spacing w:line="260" w:lineRule="exact"/>
              <w:textAlignment w:val="center"/>
              <w:rPr>
                <w:color w:val="000000"/>
                <w:sz w:val="20"/>
                <w:szCs w:val="20"/>
              </w:rPr>
            </w:pPr>
            <w:r>
              <w:rPr>
                <w:rFonts w:hint="eastAsia"/>
                <w:color w:val="000000"/>
                <w:sz w:val="20"/>
                <w:szCs w:val="20"/>
                <w:lang w:bidi="ar"/>
              </w:rPr>
              <w:t>丙溴磷、呋虫胺、敌敌畏、甲胺磷、甲拌磷、克百威、乐果、联苯菊酯、氯氟氰菊酯和高效氯氟氰菊酯、噻虫嗪、水胺硫磷、氧乐果、乙酰甲胺磷</w:t>
            </w:r>
          </w:p>
        </w:tc>
      </w:tr>
      <w:tr w14:paraId="50EB5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40E395B3">
            <w:pPr>
              <w:spacing w:line="260" w:lineRule="exact"/>
              <w:jc w:val="center"/>
              <w:rPr>
                <w:color w:val="000000"/>
                <w:sz w:val="20"/>
                <w:szCs w:val="20"/>
              </w:rPr>
            </w:pPr>
          </w:p>
        </w:tc>
        <w:tc>
          <w:tcPr>
            <w:tcW w:w="792" w:type="pct"/>
            <w:vMerge w:val="continue"/>
            <w:vAlign w:val="center"/>
          </w:tcPr>
          <w:p w14:paraId="0F546FE0">
            <w:pPr>
              <w:spacing w:line="260" w:lineRule="exact"/>
              <w:jc w:val="center"/>
              <w:rPr>
                <w:color w:val="000000"/>
                <w:sz w:val="20"/>
                <w:szCs w:val="20"/>
              </w:rPr>
            </w:pPr>
          </w:p>
        </w:tc>
        <w:tc>
          <w:tcPr>
            <w:tcW w:w="769" w:type="pct"/>
            <w:vMerge w:val="continue"/>
            <w:vAlign w:val="center"/>
          </w:tcPr>
          <w:p w14:paraId="21FBF9DA">
            <w:pPr>
              <w:spacing w:line="260" w:lineRule="exact"/>
              <w:jc w:val="center"/>
              <w:rPr>
                <w:color w:val="000000"/>
                <w:sz w:val="20"/>
                <w:szCs w:val="20"/>
              </w:rPr>
            </w:pPr>
          </w:p>
        </w:tc>
        <w:tc>
          <w:tcPr>
            <w:tcW w:w="813" w:type="pct"/>
            <w:vAlign w:val="center"/>
          </w:tcPr>
          <w:p w14:paraId="54B35917">
            <w:pPr>
              <w:spacing w:line="260" w:lineRule="exact"/>
              <w:jc w:val="center"/>
              <w:textAlignment w:val="center"/>
              <w:rPr>
                <w:color w:val="000000"/>
                <w:sz w:val="20"/>
                <w:szCs w:val="20"/>
              </w:rPr>
            </w:pPr>
            <w:r>
              <w:rPr>
                <w:color w:val="000000"/>
                <w:sz w:val="20"/>
                <w:szCs w:val="20"/>
                <w:lang w:bidi="ar"/>
              </w:rPr>
              <w:t>甜椒</w:t>
            </w:r>
          </w:p>
        </w:tc>
        <w:tc>
          <w:tcPr>
            <w:tcW w:w="1470" w:type="pct"/>
            <w:vAlign w:val="center"/>
          </w:tcPr>
          <w:p w14:paraId="4EB4EFBA">
            <w:pPr>
              <w:spacing w:line="260" w:lineRule="exact"/>
              <w:jc w:val="center"/>
              <w:textAlignment w:val="center"/>
              <w:rPr>
                <w:color w:val="000000"/>
                <w:sz w:val="20"/>
                <w:szCs w:val="20"/>
              </w:rPr>
            </w:pPr>
            <w:r>
              <w:rPr>
                <w:color w:val="000000"/>
                <w:sz w:val="20"/>
                <w:szCs w:val="20"/>
                <w:lang w:bidi="ar"/>
              </w:rPr>
              <w:t>噻虫胺</w:t>
            </w:r>
          </w:p>
        </w:tc>
        <w:tc>
          <w:tcPr>
            <w:tcW w:w="896" w:type="pct"/>
            <w:vAlign w:val="center"/>
          </w:tcPr>
          <w:p w14:paraId="7D191D74">
            <w:pPr>
              <w:spacing w:line="260" w:lineRule="exact"/>
              <w:textAlignment w:val="center"/>
              <w:rPr>
                <w:color w:val="000000"/>
                <w:sz w:val="20"/>
                <w:szCs w:val="20"/>
              </w:rPr>
            </w:pPr>
            <w:r>
              <w:rPr>
                <w:rFonts w:hint="eastAsia"/>
                <w:color w:val="000000"/>
                <w:sz w:val="20"/>
                <w:szCs w:val="20"/>
                <w:lang w:bidi="ar"/>
              </w:rPr>
              <w:t>阿维菌素、吡虫啉、吡唑醚菌酯、毒死蜱、克百威、噻虫嗪、氧乐果</w:t>
            </w:r>
          </w:p>
        </w:tc>
      </w:tr>
      <w:tr w14:paraId="6B29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048FCFFF">
            <w:pPr>
              <w:spacing w:line="260" w:lineRule="exact"/>
              <w:jc w:val="center"/>
              <w:rPr>
                <w:color w:val="000000"/>
                <w:sz w:val="20"/>
                <w:szCs w:val="20"/>
              </w:rPr>
            </w:pPr>
          </w:p>
        </w:tc>
        <w:tc>
          <w:tcPr>
            <w:tcW w:w="792" w:type="pct"/>
            <w:vMerge w:val="continue"/>
            <w:vAlign w:val="center"/>
          </w:tcPr>
          <w:p w14:paraId="0D24C089">
            <w:pPr>
              <w:spacing w:line="260" w:lineRule="exact"/>
              <w:jc w:val="center"/>
              <w:rPr>
                <w:color w:val="000000"/>
                <w:sz w:val="20"/>
                <w:szCs w:val="20"/>
              </w:rPr>
            </w:pPr>
          </w:p>
        </w:tc>
        <w:tc>
          <w:tcPr>
            <w:tcW w:w="769" w:type="pct"/>
            <w:vMerge w:val="continue"/>
            <w:vAlign w:val="center"/>
          </w:tcPr>
          <w:p w14:paraId="29833970">
            <w:pPr>
              <w:spacing w:line="260" w:lineRule="exact"/>
              <w:jc w:val="center"/>
              <w:rPr>
                <w:color w:val="000000"/>
                <w:sz w:val="20"/>
                <w:szCs w:val="20"/>
              </w:rPr>
            </w:pPr>
          </w:p>
        </w:tc>
        <w:tc>
          <w:tcPr>
            <w:tcW w:w="813" w:type="pct"/>
            <w:vAlign w:val="center"/>
          </w:tcPr>
          <w:p w14:paraId="40014FED">
            <w:pPr>
              <w:spacing w:line="260" w:lineRule="exact"/>
              <w:jc w:val="center"/>
              <w:textAlignment w:val="center"/>
              <w:rPr>
                <w:color w:val="000000"/>
                <w:sz w:val="20"/>
                <w:szCs w:val="20"/>
              </w:rPr>
            </w:pPr>
            <w:r>
              <w:rPr>
                <w:color w:val="000000"/>
                <w:sz w:val="20"/>
                <w:szCs w:val="20"/>
                <w:lang w:bidi="ar"/>
              </w:rPr>
              <w:t>茄子</w:t>
            </w:r>
          </w:p>
        </w:tc>
        <w:tc>
          <w:tcPr>
            <w:tcW w:w="1470" w:type="pct"/>
            <w:vAlign w:val="center"/>
          </w:tcPr>
          <w:p w14:paraId="40E5A6E6">
            <w:pPr>
              <w:spacing w:line="260" w:lineRule="exact"/>
              <w:jc w:val="center"/>
              <w:textAlignment w:val="center"/>
              <w:rPr>
                <w:color w:val="000000"/>
                <w:sz w:val="20"/>
                <w:szCs w:val="20"/>
              </w:rPr>
            </w:pPr>
            <w:r>
              <w:rPr>
                <w:color w:val="000000"/>
                <w:sz w:val="20"/>
                <w:szCs w:val="20"/>
                <w:lang w:bidi="ar"/>
              </w:rPr>
              <w:t>噻虫胺</w:t>
            </w:r>
          </w:p>
        </w:tc>
        <w:tc>
          <w:tcPr>
            <w:tcW w:w="896" w:type="pct"/>
            <w:vAlign w:val="center"/>
          </w:tcPr>
          <w:p w14:paraId="43E70658">
            <w:pPr>
              <w:spacing w:line="260" w:lineRule="exact"/>
              <w:textAlignment w:val="center"/>
              <w:rPr>
                <w:color w:val="000000"/>
                <w:sz w:val="20"/>
                <w:szCs w:val="20"/>
              </w:rPr>
            </w:pPr>
            <w:r>
              <w:rPr>
                <w:rFonts w:hint="eastAsia"/>
                <w:color w:val="000000"/>
                <w:sz w:val="20"/>
                <w:szCs w:val="20"/>
                <w:lang w:bidi="ar"/>
              </w:rPr>
              <w:t>毒死蜱、甲氨基阿维菌素苯甲酸盐、甲胺磷、甲拌磷、克百威、噻虫嗪、水胺硫磷、氧乐果、乙酰甲胺磷</w:t>
            </w:r>
          </w:p>
        </w:tc>
      </w:tr>
      <w:tr w14:paraId="4E204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6D41261D">
            <w:pPr>
              <w:spacing w:line="260" w:lineRule="exact"/>
              <w:jc w:val="center"/>
              <w:textAlignment w:val="center"/>
              <w:rPr>
                <w:color w:val="000000"/>
                <w:sz w:val="20"/>
                <w:szCs w:val="20"/>
                <w:lang w:bidi="ar"/>
              </w:rPr>
            </w:pPr>
          </w:p>
        </w:tc>
        <w:tc>
          <w:tcPr>
            <w:tcW w:w="792" w:type="pct"/>
            <w:vMerge w:val="continue"/>
            <w:vAlign w:val="center"/>
          </w:tcPr>
          <w:p w14:paraId="6044A889">
            <w:pPr>
              <w:spacing w:line="260" w:lineRule="exact"/>
              <w:jc w:val="center"/>
              <w:textAlignment w:val="center"/>
              <w:rPr>
                <w:color w:val="000000"/>
                <w:sz w:val="20"/>
                <w:szCs w:val="20"/>
              </w:rPr>
            </w:pPr>
          </w:p>
        </w:tc>
        <w:tc>
          <w:tcPr>
            <w:tcW w:w="769" w:type="pct"/>
            <w:vAlign w:val="center"/>
          </w:tcPr>
          <w:p w14:paraId="704888F7">
            <w:pPr>
              <w:spacing w:line="260" w:lineRule="exact"/>
              <w:jc w:val="center"/>
              <w:textAlignment w:val="center"/>
              <w:rPr>
                <w:color w:val="000000"/>
                <w:sz w:val="20"/>
                <w:szCs w:val="20"/>
              </w:rPr>
            </w:pPr>
            <w:r>
              <w:rPr>
                <w:color w:val="000000"/>
                <w:sz w:val="20"/>
                <w:szCs w:val="20"/>
                <w:lang w:bidi="ar"/>
              </w:rPr>
              <w:t>叶菜类蔬菜</w:t>
            </w:r>
          </w:p>
        </w:tc>
        <w:tc>
          <w:tcPr>
            <w:tcW w:w="813" w:type="pct"/>
            <w:vAlign w:val="center"/>
          </w:tcPr>
          <w:p w14:paraId="0B5DC69B">
            <w:pPr>
              <w:spacing w:line="260" w:lineRule="exact"/>
              <w:jc w:val="center"/>
              <w:textAlignment w:val="center"/>
              <w:rPr>
                <w:color w:val="000000"/>
                <w:sz w:val="20"/>
                <w:szCs w:val="20"/>
              </w:rPr>
            </w:pPr>
            <w:r>
              <w:rPr>
                <w:color w:val="000000"/>
                <w:sz w:val="20"/>
                <w:szCs w:val="20"/>
                <w:lang w:bidi="ar"/>
              </w:rPr>
              <w:t>芹菜</w:t>
            </w:r>
          </w:p>
        </w:tc>
        <w:tc>
          <w:tcPr>
            <w:tcW w:w="1470" w:type="pct"/>
            <w:vAlign w:val="center"/>
          </w:tcPr>
          <w:p w14:paraId="3855A8A5">
            <w:pPr>
              <w:spacing w:line="260" w:lineRule="exact"/>
              <w:jc w:val="center"/>
              <w:textAlignment w:val="center"/>
              <w:rPr>
                <w:color w:val="000000"/>
                <w:sz w:val="20"/>
                <w:szCs w:val="20"/>
              </w:rPr>
            </w:pPr>
            <w:r>
              <w:rPr>
                <w:color w:val="000000"/>
                <w:sz w:val="20"/>
                <w:szCs w:val="20"/>
                <w:lang w:bidi="ar"/>
              </w:rPr>
              <w:t>噻虫胺、毒死蜱</w:t>
            </w:r>
          </w:p>
        </w:tc>
        <w:tc>
          <w:tcPr>
            <w:tcW w:w="896" w:type="pct"/>
            <w:vAlign w:val="center"/>
          </w:tcPr>
          <w:p w14:paraId="62732898">
            <w:pPr>
              <w:spacing w:line="260" w:lineRule="exact"/>
              <w:textAlignment w:val="center"/>
              <w:rPr>
                <w:color w:val="000000"/>
                <w:sz w:val="20"/>
                <w:szCs w:val="20"/>
              </w:rPr>
            </w:pPr>
            <w:r>
              <w:rPr>
                <w:rFonts w:hint="eastAsia"/>
                <w:color w:val="000000"/>
                <w:sz w:val="20"/>
                <w:szCs w:val="20"/>
                <w:lang w:bidi="ar"/>
              </w:rPr>
              <w:t>阿维菌素、苯醚甲环唑、敌敌畏、啶虫脒、甲基异柳磷、克百威、乐果、氯氰菊酯和高效氯氰菊酯、噻虫嗪、水胺硫磷、辛硫磷、氧乐果、氯氟氰菊酯和高效氯氟氰菊酯</w:t>
            </w:r>
          </w:p>
        </w:tc>
      </w:tr>
      <w:tr w14:paraId="632FD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restart"/>
            <w:vAlign w:val="center"/>
          </w:tcPr>
          <w:p w14:paraId="4D9C8012">
            <w:pPr>
              <w:spacing w:line="260" w:lineRule="exact"/>
              <w:jc w:val="center"/>
              <w:textAlignment w:val="center"/>
              <w:rPr>
                <w:color w:val="000000"/>
                <w:sz w:val="20"/>
                <w:szCs w:val="20"/>
                <w:lang w:bidi="ar"/>
              </w:rPr>
            </w:pPr>
            <w:r>
              <w:rPr>
                <w:rFonts w:hint="eastAsia"/>
                <w:color w:val="000000"/>
                <w:sz w:val="20"/>
                <w:szCs w:val="20"/>
                <w:lang w:bidi="ar"/>
              </w:rPr>
              <w:t>3</w:t>
            </w:r>
          </w:p>
        </w:tc>
        <w:tc>
          <w:tcPr>
            <w:tcW w:w="792" w:type="pct"/>
            <w:vMerge w:val="restart"/>
            <w:vAlign w:val="center"/>
          </w:tcPr>
          <w:p w14:paraId="6FACD87A">
            <w:pPr>
              <w:spacing w:line="260" w:lineRule="exact"/>
              <w:jc w:val="center"/>
              <w:textAlignment w:val="center"/>
              <w:rPr>
                <w:color w:val="000000"/>
                <w:sz w:val="20"/>
                <w:szCs w:val="20"/>
              </w:rPr>
            </w:pPr>
            <w:r>
              <w:rPr>
                <w:color w:val="000000"/>
                <w:sz w:val="20"/>
                <w:szCs w:val="20"/>
                <w:lang w:bidi="ar"/>
              </w:rPr>
              <w:t>水产品</w:t>
            </w:r>
          </w:p>
        </w:tc>
        <w:tc>
          <w:tcPr>
            <w:tcW w:w="769" w:type="pct"/>
            <w:vMerge w:val="restart"/>
            <w:vAlign w:val="center"/>
          </w:tcPr>
          <w:p w14:paraId="1385F671">
            <w:pPr>
              <w:spacing w:line="260" w:lineRule="exact"/>
              <w:jc w:val="center"/>
              <w:textAlignment w:val="center"/>
              <w:rPr>
                <w:color w:val="000000"/>
                <w:sz w:val="20"/>
                <w:szCs w:val="20"/>
              </w:rPr>
            </w:pPr>
            <w:r>
              <w:rPr>
                <w:color w:val="000000"/>
                <w:sz w:val="20"/>
                <w:szCs w:val="20"/>
                <w:lang w:bidi="ar"/>
              </w:rPr>
              <w:t>淡水产品</w:t>
            </w:r>
          </w:p>
        </w:tc>
        <w:tc>
          <w:tcPr>
            <w:tcW w:w="813" w:type="pct"/>
            <w:vAlign w:val="center"/>
          </w:tcPr>
          <w:p w14:paraId="40C8E839">
            <w:pPr>
              <w:spacing w:line="260" w:lineRule="exact"/>
              <w:jc w:val="center"/>
              <w:textAlignment w:val="center"/>
              <w:rPr>
                <w:color w:val="000000"/>
                <w:sz w:val="20"/>
                <w:szCs w:val="20"/>
              </w:rPr>
            </w:pPr>
            <w:r>
              <w:rPr>
                <w:color w:val="000000"/>
                <w:sz w:val="20"/>
                <w:szCs w:val="20"/>
                <w:lang w:bidi="ar"/>
              </w:rPr>
              <w:t>淡水虾</w:t>
            </w:r>
          </w:p>
        </w:tc>
        <w:tc>
          <w:tcPr>
            <w:tcW w:w="1470" w:type="pct"/>
            <w:vAlign w:val="center"/>
          </w:tcPr>
          <w:p w14:paraId="7A3813D3">
            <w:pPr>
              <w:spacing w:line="260" w:lineRule="exact"/>
              <w:jc w:val="center"/>
              <w:textAlignment w:val="center"/>
              <w:rPr>
                <w:color w:val="000000"/>
                <w:sz w:val="20"/>
                <w:szCs w:val="20"/>
              </w:rPr>
            </w:pPr>
            <w:r>
              <w:rPr>
                <w:color w:val="000000"/>
                <w:sz w:val="20"/>
                <w:szCs w:val="20"/>
                <w:lang w:bidi="ar"/>
              </w:rPr>
              <w:t>恩诺沙星</w:t>
            </w:r>
          </w:p>
        </w:tc>
        <w:tc>
          <w:tcPr>
            <w:tcW w:w="896" w:type="pct"/>
            <w:vAlign w:val="center"/>
          </w:tcPr>
          <w:p w14:paraId="13F1B6A7">
            <w:pPr>
              <w:spacing w:line="260" w:lineRule="exact"/>
              <w:textAlignment w:val="center"/>
              <w:rPr>
                <w:color w:val="000000"/>
                <w:sz w:val="20"/>
                <w:szCs w:val="20"/>
              </w:rPr>
            </w:pPr>
            <w:r>
              <w:rPr>
                <w:rFonts w:hint="eastAsia"/>
                <w:color w:val="000000"/>
                <w:sz w:val="20"/>
                <w:szCs w:val="20"/>
                <w:lang w:bidi="ar"/>
              </w:rPr>
              <w:t>孔雀石绿、氯霉素、五氯酚酸钠（以五氯酚计）、呋喃唑酮代谢物、呋喃妥因代谢物、磺胺类（总量）</w:t>
            </w:r>
          </w:p>
        </w:tc>
      </w:tr>
      <w:tr w14:paraId="71FEE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5ACF343E">
            <w:pPr>
              <w:spacing w:line="260" w:lineRule="exact"/>
              <w:jc w:val="center"/>
              <w:rPr>
                <w:color w:val="000000"/>
                <w:sz w:val="20"/>
                <w:szCs w:val="20"/>
              </w:rPr>
            </w:pPr>
          </w:p>
        </w:tc>
        <w:tc>
          <w:tcPr>
            <w:tcW w:w="792" w:type="pct"/>
            <w:vMerge w:val="continue"/>
            <w:vAlign w:val="center"/>
          </w:tcPr>
          <w:p w14:paraId="1AB70286">
            <w:pPr>
              <w:spacing w:line="260" w:lineRule="exact"/>
              <w:jc w:val="center"/>
              <w:rPr>
                <w:color w:val="000000"/>
                <w:sz w:val="20"/>
                <w:szCs w:val="20"/>
              </w:rPr>
            </w:pPr>
          </w:p>
        </w:tc>
        <w:tc>
          <w:tcPr>
            <w:tcW w:w="769" w:type="pct"/>
            <w:vMerge w:val="continue"/>
            <w:vAlign w:val="center"/>
          </w:tcPr>
          <w:p w14:paraId="4C105AD1">
            <w:pPr>
              <w:spacing w:line="260" w:lineRule="exact"/>
              <w:jc w:val="center"/>
              <w:rPr>
                <w:color w:val="000000"/>
                <w:sz w:val="20"/>
                <w:szCs w:val="20"/>
              </w:rPr>
            </w:pPr>
          </w:p>
        </w:tc>
        <w:tc>
          <w:tcPr>
            <w:tcW w:w="813" w:type="pct"/>
            <w:vAlign w:val="center"/>
          </w:tcPr>
          <w:p w14:paraId="6CAD0EBD">
            <w:pPr>
              <w:spacing w:line="260" w:lineRule="exact"/>
              <w:jc w:val="center"/>
              <w:textAlignment w:val="center"/>
              <w:rPr>
                <w:color w:val="000000"/>
                <w:sz w:val="20"/>
                <w:szCs w:val="20"/>
              </w:rPr>
            </w:pPr>
            <w:r>
              <w:rPr>
                <w:color w:val="000000"/>
                <w:sz w:val="20"/>
                <w:szCs w:val="20"/>
                <w:lang w:bidi="ar"/>
              </w:rPr>
              <w:t>淡水鱼</w:t>
            </w:r>
          </w:p>
        </w:tc>
        <w:tc>
          <w:tcPr>
            <w:tcW w:w="1470" w:type="pct"/>
            <w:vAlign w:val="center"/>
          </w:tcPr>
          <w:p w14:paraId="3B9F681F">
            <w:pPr>
              <w:spacing w:line="260" w:lineRule="exact"/>
              <w:jc w:val="center"/>
              <w:textAlignment w:val="center"/>
              <w:rPr>
                <w:color w:val="000000"/>
                <w:sz w:val="20"/>
                <w:szCs w:val="20"/>
              </w:rPr>
            </w:pPr>
            <w:r>
              <w:rPr>
                <w:color w:val="000000"/>
                <w:sz w:val="20"/>
                <w:szCs w:val="20"/>
                <w:lang w:bidi="ar"/>
              </w:rPr>
              <w:t>恩诺沙星、孔雀石绿、磺胺类（总量）、地西泮、氧氟沙星</w:t>
            </w:r>
          </w:p>
        </w:tc>
        <w:tc>
          <w:tcPr>
            <w:tcW w:w="896" w:type="pct"/>
            <w:vAlign w:val="center"/>
          </w:tcPr>
          <w:p w14:paraId="24004930">
            <w:pPr>
              <w:spacing w:line="260" w:lineRule="exact"/>
              <w:textAlignment w:val="center"/>
              <w:rPr>
                <w:color w:val="000000"/>
                <w:sz w:val="20"/>
                <w:szCs w:val="20"/>
              </w:rPr>
            </w:pPr>
            <w:r>
              <w:rPr>
                <w:rFonts w:hint="eastAsia"/>
                <w:color w:val="000000"/>
                <w:sz w:val="20"/>
                <w:szCs w:val="20"/>
                <w:lang w:bidi="ar"/>
              </w:rPr>
              <w:t>镉（以Cd计）、氯霉素、氟苯尼考、呋喃唑酮代谢物、呋喃西林代谢物、呋喃妥因代谢物、甲氧苄啶、沙拉沙星</w:t>
            </w:r>
          </w:p>
        </w:tc>
      </w:tr>
      <w:tr w14:paraId="6B942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37315FE8">
            <w:pPr>
              <w:spacing w:line="260" w:lineRule="exact"/>
              <w:jc w:val="center"/>
              <w:rPr>
                <w:color w:val="000000"/>
                <w:sz w:val="20"/>
                <w:szCs w:val="20"/>
              </w:rPr>
            </w:pPr>
          </w:p>
        </w:tc>
        <w:tc>
          <w:tcPr>
            <w:tcW w:w="792" w:type="pct"/>
            <w:vMerge w:val="continue"/>
            <w:vAlign w:val="center"/>
          </w:tcPr>
          <w:p w14:paraId="5E89D3B1">
            <w:pPr>
              <w:spacing w:line="260" w:lineRule="exact"/>
              <w:jc w:val="center"/>
              <w:rPr>
                <w:color w:val="000000"/>
                <w:sz w:val="20"/>
                <w:szCs w:val="20"/>
              </w:rPr>
            </w:pPr>
          </w:p>
        </w:tc>
        <w:tc>
          <w:tcPr>
            <w:tcW w:w="769" w:type="pct"/>
            <w:vMerge w:val="restart"/>
            <w:vAlign w:val="center"/>
          </w:tcPr>
          <w:p w14:paraId="26FB19EA">
            <w:pPr>
              <w:spacing w:line="260" w:lineRule="exact"/>
              <w:jc w:val="center"/>
              <w:textAlignment w:val="center"/>
              <w:rPr>
                <w:color w:val="000000"/>
                <w:sz w:val="20"/>
                <w:szCs w:val="20"/>
              </w:rPr>
            </w:pPr>
            <w:r>
              <w:rPr>
                <w:color w:val="000000"/>
                <w:sz w:val="20"/>
                <w:szCs w:val="20"/>
                <w:lang w:bidi="ar"/>
              </w:rPr>
              <w:t>海水产品</w:t>
            </w:r>
          </w:p>
        </w:tc>
        <w:tc>
          <w:tcPr>
            <w:tcW w:w="813" w:type="pct"/>
            <w:vAlign w:val="center"/>
          </w:tcPr>
          <w:p w14:paraId="1E652672">
            <w:pPr>
              <w:spacing w:line="260" w:lineRule="exact"/>
              <w:jc w:val="center"/>
              <w:textAlignment w:val="center"/>
              <w:rPr>
                <w:color w:val="000000"/>
                <w:sz w:val="20"/>
                <w:szCs w:val="20"/>
              </w:rPr>
            </w:pPr>
            <w:r>
              <w:rPr>
                <w:color w:val="000000"/>
                <w:sz w:val="20"/>
                <w:szCs w:val="20"/>
                <w:lang w:bidi="ar"/>
              </w:rPr>
              <w:t>海水鱼</w:t>
            </w:r>
          </w:p>
        </w:tc>
        <w:tc>
          <w:tcPr>
            <w:tcW w:w="1470" w:type="pct"/>
            <w:vAlign w:val="center"/>
          </w:tcPr>
          <w:p w14:paraId="462818D3">
            <w:pPr>
              <w:spacing w:line="260" w:lineRule="exact"/>
              <w:jc w:val="center"/>
              <w:textAlignment w:val="center"/>
              <w:rPr>
                <w:color w:val="000000"/>
                <w:sz w:val="20"/>
                <w:szCs w:val="20"/>
              </w:rPr>
            </w:pPr>
            <w:r>
              <w:rPr>
                <w:color w:val="000000"/>
                <w:sz w:val="20"/>
                <w:szCs w:val="20"/>
                <w:lang w:bidi="ar"/>
              </w:rPr>
              <w:t>恩诺沙星</w:t>
            </w:r>
          </w:p>
        </w:tc>
        <w:tc>
          <w:tcPr>
            <w:tcW w:w="896" w:type="pct"/>
            <w:vAlign w:val="center"/>
          </w:tcPr>
          <w:p w14:paraId="19D81550">
            <w:pPr>
              <w:spacing w:line="260" w:lineRule="exact"/>
              <w:textAlignment w:val="center"/>
              <w:rPr>
                <w:color w:val="000000"/>
                <w:sz w:val="20"/>
                <w:szCs w:val="20"/>
              </w:rPr>
            </w:pPr>
            <w:r>
              <w:rPr>
                <w:rFonts w:hint="eastAsia"/>
                <w:color w:val="000000"/>
                <w:sz w:val="20"/>
                <w:szCs w:val="20"/>
                <w:lang w:bidi="ar"/>
              </w:rPr>
              <w:t>孔雀石绿、氯霉素、呋喃唑酮代谢物、呋喃它酮代谢物、呋喃西林代谢物、磺胺类（总量）、甲氧苄啶、镉（以Cd计）、五氯酚酸钠（以五氯酚计）、土霉素/金霉素/四环素（组合含量）</w:t>
            </w:r>
          </w:p>
        </w:tc>
      </w:tr>
      <w:tr w14:paraId="760D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7007A0E8">
            <w:pPr>
              <w:spacing w:line="260" w:lineRule="exact"/>
              <w:jc w:val="center"/>
              <w:rPr>
                <w:color w:val="000000"/>
                <w:sz w:val="20"/>
                <w:szCs w:val="20"/>
              </w:rPr>
            </w:pPr>
          </w:p>
        </w:tc>
        <w:tc>
          <w:tcPr>
            <w:tcW w:w="792" w:type="pct"/>
            <w:vMerge w:val="continue"/>
            <w:vAlign w:val="center"/>
          </w:tcPr>
          <w:p w14:paraId="7ACE4297">
            <w:pPr>
              <w:spacing w:line="260" w:lineRule="exact"/>
              <w:jc w:val="center"/>
              <w:rPr>
                <w:color w:val="000000"/>
                <w:sz w:val="20"/>
                <w:szCs w:val="20"/>
              </w:rPr>
            </w:pPr>
          </w:p>
        </w:tc>
        <w:tc>
          <w:tcPr>
            <w:tcW w:w="769" w:type="pct"/>
            <w:vMerge w:val="continue"/>
            <w:vAlign w:val="center"/>
          </w:tcPr>
          <w:p w14:paraId="756F9545">
            <w:pPr>
              <w:spacing w:line="260" w:lineRule="exact"/>
              <w:jc w:val="center"/>
              <w:rPr>
                <w:color w:val="000000"/>
                <w:sz w:val="20"/>
                <w:szCs w:val="20"/>
              </w:rPr>
            </w:pPr>
          </w:p>
        </w:tc>
        <w:tc>
          <w:tcPr>
            <w:tcW w:w="813" w:type="pct"/>
            <w:vAlign w:val="center"/>
          </w:tcPr>
          <w:p w14:paraId="4B7B8FF7">
            <w:pPr>
              <w:spacing w:line="260" w:lineRule="exact"/>
              <w:jc w:val="center"/>
              <w:textAlignment w:val="center"/>
              <w:rPr>
                <w:color w:val="000000"/>
                <w:sz w:val="20"/>
                <w:szCs w:val="20"/>
              </w:rPr>
            </w:pPr>
            <w:r>
              <w:rPr>
                <w:color w:val="000000"/>
                <w:sz w:val="20"/>
                <w:szCs w:val="20"/>
                <w:lang w:bidi="ar"/>
              </w:rPr>
              <w:t>海水虾</w:t>
            </w:r>
          </w:p>
        </w:tc>
        <w:tc>
          <w:tcPr>
            <w:tcW w:w="1470" w:type="pct"/>
            <w:vAlign w:val="center"/>
          </w:tcPr>
          <w:p w14:paraId="38D4BF7D">
            <w:pPr>
              <w:spacing w:line="260" w:lineRule="exact"/>
              <w:jc w:val="center"/>
              <w:textAlignment w:val="center"/>
              <w:rPr>
                <w:color w:val="000000"/>
                <w:sz w:val="20"/>
                <w:szCs w:val="20"/>
              </w:rPr>
            </w:pPr>
            <w:r>
              <w:rPr>
                <w:color w:val="000000"/>
                <w:sz w:val="20"/>
                <w:szCs w:val="20"/>
                <w:lang w:bidi="ar"/>
              </w:rPr>
              <w:t>二氧化硫残留量、呋喃唑酮代谢物、恩诺沙星</w:t>
            </w:r>
          </w:p>
        </w:tc>
        <w:tc>
          <w:tcPr>
            <w:tcW w:w="896" w:type="pct"/>
            <w:vAlign w:val="center"/>
          </w:tcPr>
          <w:p w14:paraId="0FB9EEFF">
            <w:pPr>
              <w:spacing w:line="260" w:lineRule="exact"/>
              <w:textAlignment w:val="center"/>
              <w:rPr>
                <w:color w:val="000000"/>
                <w:sz w:val="20"/>
                <w:szCs w:val="20"/>
              </w:rPr>
            </w:pPr>
            <w:r>
              <w:rPr>
                <w:rFonts w:hint="eastAsia"/>
                <w:color w:val="000000"/>
                <w:sz w:val="20"/>
                <w:szCs w:val="20"/>
                <w:lang w:bidi="ar"/>
              </w:rPr>
              <w:t>孔雀石绿、氯霉素、五氯酚酸钠（以五氯酚计）、呋喃它酮代谢物、呋喃妥因代谢物</w:t>
            </w:r>
          </w:p>
        </w:tc>
      </w:tr>
      <w:tr w14:paraId="2AA38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46CDA84B">
            <w:pPr>
              <w:spacing w:line="260" w:lineRule="exact"/>
              <w:jc w:val="center"/>
              <w:rPr>
                <w:color w:val="000000"/>
                <w:sz w:val="20"/>
                <w:szCs w:val="20"/>
              </w:rPr>
            </w:pPr>
          </w:p>
        </w:tc>
        <w:tc>
          <w:tcPr>
            <w:tcW w:w="792" w:type="pct"/>
            <w:vMerge w:val="continue"/>
            <w:vAlign w:val="center"/>
          </w:tcPr>
          <w:p w14:paraId="7AF024D7">
            <w:pPr>
              <w:spacing w:line="260" w:lineRule="exact"/>
              <w:jc w:val="center"/>
              <w:rPr>
                <w:color w:val="000000"/>
                <w:sz w:val="20"/>
                <w:szCs w:val="20"/>
              </w:rPr>
            </w:pPr>
          </w:p>
        </w:tc>
        <w:tc>
          <w:tcPr>
            <w:tcW w:w="769" w:type="pct"/>
            <w:vAlign w:val="center"/>
          </w:tcPr>
          <w:p w14:paraId="70F0A39A">
            <w:pPr>
              <w:spacing w:line="260" w:lineRule="exact"/>
              <w:jc w:val="center"/>
              <w:textAlignment w:val="center"/>
              <w:rPr>
                <w:color w:val="000000"/>
                <w:sz w:val="20"/>
                <w:szCs w:val="20"/>
              </w:rPr>
            </w:pPr>
            <w:r>
              <w:rPr>
                <w:color w:val="000000"/>
                <w:sz w:val="20"/>
                <w:szCs w:val="20"/>
                <w:lang w:bidi="ar"/>
              </w:rPr>
              <w:t>其他水产品</w:t>
            </w:r>
          </w:p>
        </w:tc>
        <w:tc>
          <w:tcPr>
            <w:tcW w:w="813" w:type="pct"/>
            <w:vAlign w:val="center"/>
          </w:tcPr>
          <w:p w14:paraId="10F999F7">
            <w:pPr>
              <w:spacing w:line="260" w:lineRule="exact"/>
              <w:jc w:val="center"/>
              <w:textAlignment w:val="center"/>
              <w:rPr>
                <w:color w:val="000000"/>
                <w:sz w:val="20"/>
                <w:szCs w:val="20"/>
              </w:rPr>
            </w:pPr>
            <w:r>
              <w:rPr>
                <w:color w:val="000000"/>
                <w:sz w:val="20"/>
                <w:szCs w:val="20"/>
                <w:lang w:bidi="ar"/>
              </w:rPr>
              <w:t>其他水产品（重点品种：牛蛙）</w:t>
            </w:r>
          </w:p>
        </w:tc>
        <w:tc>
          <w:tcPr>
            <w:tcW w:w="1470" w:type="pct"/>
            <w:vAlign w:val="center"/>
          </w:tcPr>
          <w:p w14:paraId="032E6EDE">
            <w:pPr>
              <w:spacing w:line="260" w:lineRule="exact"/>
              <w:jc w:val="center"/>
              <w:textAlignment w:val="center"/>
              <w:rPr>
                <w:color w:val="000000"/>
                <w:sz w:val="20"/>
                <w:szCs w:val="20"/>
              </w:rPr>
            </w:pPr>
            <w:r>
              <w:rPr>
                <w:color w:val="000000"/>
                <w:sz w:val="20"/>
                <w:szCs w:val="20"/>
                <w:lang w:bidi="ar"/>
              </w:rPr>
              <w:t>恩诺沙星</w:t>
            </w:r>
            <w:r>
              <w:rPr>
                <w:color w:val="000000"/>
                <w:sz w:val="20"/>
                <w:szCs w:val="20"/>
                <w:vertAlign w:val="superscript"/>
                <w:lang w:bidi="ar"/>
              </w:rPr>
              <w:t>a</w:t>
            </w:r>
            <w:r>
              <w:rPr>
                <w:color w:val="000000"/>
                <w:sz w:val="20"/>
                <w:szCs w:val="20"/>
                <w:lang w:bidi="ar"/>
              </w:rPr>
              <w:t>、呋喃唑酮代谢物、呋喃西林代谢物、氟苯尼考</w:t>
            </w:r>
            <w:r>
              <w:rPr>
                <w:color w:val="000000"/>
                <w:sz w:val="20"/>
                <w:szCs w:val="20"/>
                <w:vertAlign w:val="superscript"/>
                <w:lang w:bidi="ar"/>
              </w:rPr>
              <w:t>a</w:t>
            </w:r>
          </w:p>
        </w:tc>
        <w:tc>
          <w:tcPr>
            <w:tcW w:w="896" w:type="pct"/>
            <w:vAlign w:val="center"/>
          </w:tcPr>
          <w:p w14:paraId="43A1C1B0">
            <w:pPr>
              <w:spacing w:line="260" w:lineRule="exact"/>
              <w:textAlignment w:val="center"/>
              <w:rPr>
                <w:color w:val="000000"/>
                <w:sz w:val="20"/>
                <w:szCs w:val="20"/>
              </w:rPr>
            </w:pPr>
            <w:r>
              <w:rPr>
                <w:rFonts w:hint="eastAsia"/>
                <w:color w:val="000000"/>
                <w:sz w:val="20"/>
                <w:szCs w:val="20"/>
                <w:lang w:bidi="ar"/>
              </w:rPr>
              <w:t>磺胺类（总量）、五氯酚酸钠（以五氯酚计）、孔雀石绿、氯霉素、呋喃妥因代谢物</w:t>
            </w:r>
          </w:p>
        </w:tc>
      </w:tr>
      <w:tr w14:paraId="26C09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restart"/>
            <w:vAlign w:val="center"/>
          </w:tcPr>
          <w:p w14:paraId="1221B587">
            <w:pPr>
              <w:spacing w:line="260" w:lineRule="exact"/>
              <w:jc w:val="center"/>
              <w:textAlignment w:val="center"/>
              <w:rPr>
                <w:color w:val="000000"/>
                <w:sz w:val="20"/>
                <w:szCs w:val="20"/>
                <w:lang w:bidi="ar"/>
              </w:rPr>
            </w:pPr>
            <w:r>
              <w:rPr>
                <w:rFonts w:hint="eastAsia"/>
                <w:color w:val="000000"/>
                <w:sz w:val="20"/>
                <w:szCs w:val="20"/>
                <w:lang w:bidi="ar"/>
              </w:rPr>
              <w:t>4</w:t>
            </w:r>
          </w:p>
        </w:tc>
        <w:tc>
          <w:tcPr>
            <w:tcW w:w="792" w:type="pct"/>
            <w:vMerge w:val="restart"/>
            <w:vAlign w:val="center"/>
          </w:tcPr>
          <w:p w14:paraId="180B1F1D">
            <w:pPr>
              <w:spacing w:line="260" w:lineRule="exact"/>
              <w:jc w:val="center"/>
              <w:textAlignment w:val="center"/>
              <w:rPr>
                <w:color w:val="000000"/>
                <w:sz w:val="20"/>
                <w:szCs w:val="20"/>
              </w:rPr>
            </w:pPr>
            <w:r>
              <w:rPr>
                <w:color w:val="000000"/>
                <w:sz w:val="20"/>
                <w:szCs w:val="20"/>
                <w:lang w:bidi="ar"/>
              </w:rPr>
              <w:t>水果类</w:t>
            </w:r>
          </w:p>
        </w:tc>
        <w:tc>
          <w:tcPr>
            <w:tcW w:w="769" w:type="pct"/>
            <w:vAlign w:val="center"/>
          </w:tcPr>
          <w:p w14:paraId="33360678">
            <w:pPr>
              <w:spacing w:line="260" w:lineRule="exact"/>
              <w:jc w:val="center"/>
              <w:textAlignment w:val="center"/>
              <w:rPr>
                <w:color w:val="000000"/>
                <w:sz w:val="20"/>
                <w:szCs w:val="20"/>
              </w:rPr>
            </w:pPr>
            <w:r>
              <w:rPr>
                <w:color w:val="000000"/>
                <w:sz w:val="20"/>
                <w:szCs w:val="20"/>
                <w:lang w:bidi="ar"/>
              </w:rPr>
              <w:t>仁果类水果</w:t>
            </w:r>
          </w:p>
        </w:tc>
        <w:tc>
          <w:tcPr>
            <w:tcW w:w="813" w:type="pct"/>
            <w:vAlign w:val="center"/>
          </w:tcPr>
          <w:p w14:paraId="6EEFDA3F">
            <w:pPr>
              <w:spacing w:line="260" w:lineRule="exact"/>
              <w:jc w:val="center"/>
              <w:textAlignment w:val="center"/>
              <w:rPr>
                <w:color w:val="000000"/>
                <w:sz w:val="20"/>
                <w:szCs w:val="20"/>
              </w:rPr>
            </w:pPr>
            <w:r>
              <w:rPr>
                <w:color w:val="000000"/>
                <w:sz w:val="20"/>
                <w:szCs w:val="20"/>
                <w:lang w:bidi="ar"/>
              </w:rPr>
              <w:t>梨</w:t>
            </w:r>
          </w:p>
        </w:tc>
        <w:tc>
          <w:tcPr>
            <w:tcW w:w="1470" w:type="pct"/>
            <w:vAlign w:val="center"/>
          </w:tcPr>
          <w:p w14:paraId="1E6CDD44">
            <w:pPr>
              <w:spacing w:line="260" w:lineRule="exact"/>
              <w:jc w:val="center"/>
              <w:textAlignment w:val="center"/>
              <w:rPr>
                <w:color w:val="000000"/>
                <w:sz w:val="20"/>
                <w:szCs w:val="20"/>
              </w:rPr>
            </w:pPr>
            <w:r>
              <w:rPr>
                <w:color w:val="000000"/>
                <w:sz w:val="20"/>
                <w:szCs w:val="20"/>
                <w:lang w:bidi="ar"/>
              </w:rPr>
              <w:t>苯醚甲环唑、乙螨唑</w:t>
            </w:r>
          </w:p>
        </w:tc>
        <w:tc>
          <w:tcPr>
            <w:tcW w:w="896" w:type="pct"/>
            <w:vAlign w:val="center"/>
          </w:tcPr>
          <w:p w14:paraId="3B370E23">
            <w:pPr>
              <w:spacing w:line="260" w:lineRule="exact"/>
              <w:textAlignment w:val="center"/>
              <w:rPr>
                <w:color w:val="000000"/>
                <w:sz w:val="20"/>
                <w:szCs w:val="20"/>
              </w:rPr>
            </w:pPr>
            <w:r>
              <w:rPr>
                <w:rFonts w:hint="eastAsia"/>
                <w:color w:val="000000"/>
                <w:sz w:val="20"/>
                <w:szCs w:val="20"/>
                <w:lang w:bidi="ar"/>
              </w:rPr>
              <w:t>敌敌畏、毒死蜱、氧乐果、氯氟氰菊酯和高效氯氟氰菊酯、水胺硫磷、乙酰甲胺磷</w:t>
            </w:r>
          </w:p>
        </w:tc>
      </w:tr>
      <w:tr w14:paraId="5232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494CE94A">
            <w:pPr>
              <w:spacing w:line="260" w:lineRule="exact"/>
              <w:jc w:val="center"/>
              <w:textAlignment w:val="center"/>
              <w:rPr>
                <w:color w:val="000000"/>
                <w:sz w:val="20"/>
                <w:szCs w:val="20"/>
              </w:rPr>
            </w:pPr>
          </w:p>
        </w:tc>
        <w:tc>
          <w:tcPr>
            <w:tcW w:w="792" w:type="pct"/>
            <w:vMerge w:val="continue"/>
            <w:vAlign w:val="center"/>
          </w:tcPr>
          <w:p w14:paraId="4999EC87">
            <w:pPr>
              <w:spacing w:line="260" w:lineRule="exact"/>
              <w:jc w:val="center"/>
              <w:textAlignment w:val="center"/>
              <w:rPr>
                <w:color w:val="000000"/>
                <w:sz w:val="20"/>
                <w:szCs w:val="20"/>
              </w:rPr>
            </w:pPr>
          </w:p>
        </w:tc>
        <w:tc>
          <w:tcPr>
            <w:tcW w:w="769" w:type="pct"/>
            <w:vAlign w:val="center"/>
          </w:tcPr>
          <w:p w14:paraId="712B112B">
            <w:pPr>
              <w:spacing w:line="260" w:lineRule="exact"/>
              <w:jc w:val="center"/>
              <w:textAlignment w:val="center"/>
              <w:rPr>
                <w:color w:val="000000"/>
                <w:sz w:val="20"/>
                <w:szCs w:val="20"/>
              </w:rPr>
            </w:pPr>
            <w:r>
              <w:rPr>
                <w:color w:val="000000"/>
                <w:sz w:val="20"/>
                <w:szCs w:val="20"/>
                <w:lang w:bidi="ar"/>
              </w:rPr>
              <w:t>柑橘类水果</w:t>
            </w:r>
          </w:p>
        </w:tc>
        <w:tc>
          <w:tcPr>
            <w:tcW w:w="813" w:type="pct"/>
            <w:vAlign w:val="center"/>
          </w:tcPr>
          <w:p w14:paraId="13855AAE">
            <w:pPr>
              <w:spacing w:line="260" w:lineRule="exact"/>
              <w:jc w:val="center"/>
              <w:textAlignment w:val="center"/>
              <w:rPr>
                <w:color w:val="000000"/>
                <w:sz w:val="20"/>
                <w:szCs w:val="20"/>
              </w:rPr>
            </w:pPr>
            <w:r>
              <w:rPr>
                <w:color w:val="000000"/>
                <w:sz w:val="20"/>
                <w:szCs w:val="20"/>
                <w:lang w:bidi="ar"/>
              </w:rPr>
              <w:t>柑、橘</w:t>
            </w:r>
          </w:p>
        </w:tc>
        <w:tc>
          <w:tcPr>
            <w:tcW w:w="1470" w:type="pct"/>
            <w:vAlign w:val="center"/>
          </w:tcPr>
          <w:p w14:paraId="6FF2A3A6">
            <w:pPr>
              <w:spacing w:line="260" w:lineRule="exact"/>
              <w:jc w:val="center"/>
              <w:textAlignment w:val="center"/>
              <w:rPr>
                <w:color w:val="000000"/>
                <w:sz w:val="20"/>
                <w:szCs w:val="20"/>
              </w:rPr>
            </w:pPr>
            <w:r>
              <w:rPr>
                <w:color w:val="000000"/>
                <w:sz w:val="20"/>
                <w:szCs w:val="20"/>
                <w:lang w:bidi="ar"/>
              </w:rPr>
              <w:t>苯醚甲环唑、联苯菊酯</w:t>
            </w:r>
          </w:p>
        </w:tc>
        <w:tc>
          <w:tcPr>
            <w:tcW w:w="896" w:type="pct"/>
            <w:vAlign w:val="center"/>
          </w:tcPr>
          <w:p w14:paraId="3321ED83">
            <w:pPr>
              <w:spacing w:line="260" w:lineRule="exact"/>
              <w:textAlignment w:val="center"/>
              <w:rPr>
                <w:color w:val="000000"/>
                <w:sz w:val="20"/>
                <w:szCs w:val="20"/>
              </w:rPr>
            </w:pPr>
            <w:r>
              <w:rPr>
                <w:rFonts w:hint="eastAsia"/>
                <w:color w:val="000000"/>
                <w:sz w:val="20"/>
                <w:szCs w:val="20"/>
                <w:lang w:bidi="ar"/>
              </w:rPr>
              <w:t>丙溴磷、氧乐果、水胺硫磷、甲拌磷、毒死蜱、杀扑磷、敌敌畏、联苯肼酯</w:t>
            </w:r>
          </w:p>
        </w:tc>
      </w:tr>
      <w:tr w14:paraId="6547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25C1EAF0">
            <w:pPr>
              <w:spacing w:line="260" w:lineRule="exact"/>
              <w:jc w:val="center"/>
              <w:textAlignment w:val="center"/>
              <w:rPr>
                <w:color w:val="000000"/>
                <w:sz w:val="20"/>
                <w:szCs w:val="20"/>
                <w:lang w:bidi="ar"/>
              </w:rPr>
            </w:pPr>
          </w:p>
        </w:tc>
        <w:tc>
          <w:tcPr>
            <w:tcW w:w="792" w:type="pct"/>
            <w:vMerge w:val="continue"/>
            <w:vAlign w:val="center"/>
          </w:tcPr>
          <w:p w14:paraId="4FB89164">
            <w:pPr>
              <w:spacing w:line="260" w:lineRule="exact"/>
              <w:jc w:val="center"/>
              <w:textAlignment w:val="center"/>
              <w:rPr>
                <w:color w:val="000000"/>
                <w:sz w:val="20"/>
                <w:szCs w:val="20"/>
              </w:rPr>
            </w:pPr>
          </w:p>
        </w:tc>
        <w:tc>
          <w:tcPr>
            <w:tcW w:w="769" w:type="pct"/>
            <w:vAlign w:val="center"/>
          </w:tcPr>
          <w:p w14:paraId="6082E5B6">
            <w:pPr>
              <w:spacing w:line="260" w:lineRule="exact"/>
              <w:jc w:val="center"/>
              <w:rPr>
                <w:color w:val="000000"/>
                <w:sz w:val="20"/>
                <w:szCs w:val="20"/>
              </w:rPr>
            </w:pPr>
            <w:r>
              <w:rPr>
                <w:color w:val="000000"/>
                <w:sz w:val="20"/>
                <w:szCs w:val="20"/>
                <w:lang w:bidi="ar"/>
              </w:rPr>
              <w:t>柑橘类水果</w:t>
            </w:r>
          </w:p>
        </w:tc>
        <w:tc>
          <w:tcPr>
            <w:tcW w:w="813" w:type="pct"/>
            <w:vAlign w:val="center"/>
          </w:tcPr>
          <w:p w14:paraId="74CB24F9">
            <w:pPr>
              <w:spacing w:line="260" w:lineRule="exact"/>
              <w:jc w:val="center"/>
              <w:textAlignment w:val="center"/>
              <w:rPr>
                <w:color w:val="000000"/>
                <w:sz w:val="20"/>
                <w:szCs w:val="20"/>
              </w:rPr>
            </w:pPr>
            <w:r>
              <w:rPr>
                <w:color w:val="000000"/>
                <w:sz w:val="20"/>
                <w:szCs w:val="20"/>
                <w:lang w:bidi="ar"/>
              </w:rPr>
              <w:t>橙</w:t>
            </w:r>
          </w:p>
        </w:tc>
        <w:tc>
          <w:tcPr>
            <w:tcW w:w="1470" w:type="pct"/>
            <w:vAlign w:val="center"/>
          </w:tcPr>
          <w:p w14:paraId="5FC37E46">
            <w:pPr>
              <w:spacing w:line="260" w:lineRule="exact"/>
              <w:jc w:val="center"/>
              <w:textAlignment w:val="center"/>
              <w:rPr>
                <w:color w:val="000000"/>
                <w:sz w:val="20"/>
                <w:szCs w:val="20"/>
              </w:rPr>
            </w:pPr>
            <w:r>
              <w:rPr>
                <w:color w:val="000000"/>
                <w:sz w:val="20"/>
                <w:szCs w:val="20"/>
                <w:lang w:bidi="ar"/>
              </w:rPr>
              <w:t>联苯菊酯、氯唑磷</w:t>
            </w:r>
          </w:p>
        </w:tc>
        <w:tc>
          <w:tcPr>
            <w:tcW w:w="896" w:type="pct"/>
            <w:vAlign w:val="center"/>
          </w:tcPr>
          <w:p w14:paraId="50F97D6B">
            <w:pPr>
              <w:spacing w:line="260" w:lineRule="exact"/>
              <w:textAlignment w:val="center"/>
              <w:rPr>
                <w:color w:val="000000"/>
                <w:sz w:val="20"/>
                <w:szCs w:val="20"/>
              </w:rPr>
            </w:pPr>
            <w:r>
              <w:rPr>
                <w:rFonts w:hint="eastAsia"/>
                <w:color w:val="000000"/>
                <w:sz w:val="20"/>
                <w:szCs w:val="20"/>
                <w:lang w:bidi="ar"/>
              </w:rPr>
              <w:t>敌敌畏、氧乐果、苯醚甲环唑、水胺硫磷、氯氟氰菊酯和高效氯氟氰菊酯、乙酰甲胺磷</w:t>
            </w:r>
          </w:p>
        </w:tc>
      </w:tr>
      <w:tr w14:paraId="0C93A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6D20089B">
            <w:pPr>
              <w:spacing w:line="260" w:lineRule="exact"/>
              <w:jc w:val="center"/>
              <w:rPr>
                <w:color w:val="000000"/>
                <w:sz w:val="20"/>
                <w:szCs w:val="20"/>
              </w:rPr>
            </w:pPr>
          </w:p>
        </w:tc>
        <w:tc>
          <w:tcPr>
            <w:tcW w:w="792" w:type="pct"/>
            <w:vMerge w:val="continue"/>
            <w:vAlign w:val="center"/>
          </w:tcPr>
          <w:p w14:paraId="076D1D75">
            <w:pPr>
              <w:spacing w:line="260" w:lineRule="exact"/>
              <w:jc w:val="center"/>
              <w:rPr>
                <w:color w:val="000000"/>
                <w:sz w:val="20"/>
                <w:szCs w:val="20"/>
              </w:rPr>
            </w:pPr>
          </w:p>
        </w:tc>
        <w:tc>
          <w:tcPr>
            <w:tcW w:w="769" w:type="pct"/>
            <w:vAlign w:val="center"/>
          </w:tcPr>
          <w:p w14:paraId="59FA5FF7">
            <w:pPr>
              <w:spacing w:line="260" w:lineRule="exact"/>
              <w:jc w:val="center"/>
              <w:textAlignment w:val="center"/>
              <w:rPr>
                <w:color w:val="000000"/>
                <w:sz w:val="20"/>
                <w:szCs w:val="20"/>
              </w:rPr>
            </w:pPr>
            <w:r>
              <w:rPr>
                <w:color w:val="000000"/>
                <w:sz w:val="20"/>
                <w:szCs w:val="20"/>
                <w:lang w:bidi="ar"/>
              </w:rPr>
              <w:t>浆果和其他小型水果</w:t>
            </w:r>
          </w:p>
        </w:tc>
        <w:tc>
          <w:tcPr>
            <w:tcW w:w="813" w:type="pct"/>
            <w:vAlign w:val="center"/>
          </w:tcPr>
          <w:p w14:paraId="1E189B6B">
            <w:pPr>
              <w:spacing w:line="260" w:lineRule="exact"/>
              <w:jc w:val="center"/>
              <w:textAlignment w:val="center"/>
              <w:rPr>
                <w:color w:val="000000"/>
                <w:sz w:val="20"/>
                <w:szCs w:val="20"/>
              </w:rPr>
            </w:pPr>
            <w:r>
              <w:rPr>
                <w:color w:val="000000"/>
                <w:sz w:val="20"/>
                <w:szCs w:val="20"/>
                <w:lang w:bidi="ar"/>
              </w:rPr>
              <w:t>桑葚</w:t>
            </w:r>
          </w:p>
        </w:tc>
        <w:tc>
          <w:tcPr>
            <w:tcW w:w="1470" w:type="pct"/>
            <w:vAlign w:val="center"/>
          </w:tcPr>
          <w:p w14:paraId="1705E767">
            <w:pPr>
              <w:spacing w:line="260" w:lineRule="exact"/>
              <w:jc w:val="center"/>
              <w:textAlignment w:val="center"/>
              <w:rPr>
                <w:color w:val="000000"/>
                <w:sz w:val="20"/>
                <w:szCs w:val="20"/>
              </w:rPr>
            </w:pPr>
            <w:r>
              <w:rPr>
                <w:color w:val="000000"/>
                <w:sz w:val="20"/>
                <w:szCs w:val="20"/>
                <w:lang w:bidi="ar"/>
              </w:rPr>
              <w:t>脱氢乙酸及其钠盐（以脱氢乙酸计）、糖精钠（以糖精计）</w:t>
            </w:r>
          </w:p>
        </w:tc>
        <w:tc>
          <w:tcPr>
            <w:tcW w:w="896" w:type="pct"/>
            <w:vAlign w:val="center"/>
          </w:tcPr>
          <w:p w14:paraId="091ED58D">
            <w:pPr>
              <w:spacing w:line="260" w:lineRule="exact"/>
              <w:textAlignment w:val="center"/>
              <w:rPr>
                <w:color w:val="000000"/>
                <w:sz w:val="20"/>
                <w:szCs w:val="20"/>
              </w:rPr>
            </w:pPr>
            <w:r>
              <w:rPr>
                <w:rFonts w:hint="eastAsia"/>
                <w:color w:val="000000"/>
                <w:sz w:val="20"/>
                <w:szCs w:val="20"/>
                <w:lang w:bidi="ar"/>
              </w:rPr>
              <w:t>甜蜜素（以环己基氨基磺酸计）、、苯甲酸及其钠盐（以苯甲酸计）、山梨酸及其钾盐（以山梨酸计）、三氯蔗糖、多菌灵</w:t>
            </w:r>
          </w:p>
        </w:tc>
      </w:tr>
      <w:tr w14:paraId="22065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01E46AB4">
            <w:pPr>
              <w:spacing w:line="260" w:lineRule="exact"/>
              <w:jc w:val="center"/>
              <w:rPr>
                <w:color w:val="000000"/>
                <w:sz w:val="20"/>
                <w:szCs w:val="20"/>
              </w:rPr>
            </w:pPr>
          </w:p>
        </w:tc>
        <w:tc>
          <w:tcPr>
            <w:tcW w:w="792" w:type="pct"/>
            <w:vMerge w:val="continue"/>
            <w:vAlign w:val="center"/>
          </w:tcPr>
          <w:p w14:paraId="75B4B587">
            <w:pPr>
              <w:spacing w:line="260" w:lineRule="exact"/>
              <w:jc w:val="center"/>
              <w:rPr>
                <w:color w:val="000000"/>
                <w:sz w:val="20"/>
                <w:szCs w:val="20"/>
              </w:rPr>
            </w:pPr>
          </w:p>
        </w:tc>
        <w:tc>
          <w:tcPr>
            <w:tcW w:w="769" w:type="pct"/>
            <w:vMerge w:val="restart"/>
            <w:vAlign w:val="center"/>
          </w:tcPr>
          <w:p w14:paraId="5A1FC66F">
            <w:pPr>
              <w:spacing w:line="260" w:lineRule="exact"/>
              <w:jc w:val="center"/>
              <w:textAlignment w:val="center"/>
              <w:rPr>
                <w:color w:val="000000"/>
                <w:sz w:val="20"/>
                <w:szCs w:val="20"/>
              </w:rPr>
            </w:pPr>
            <w:r>
              <w:rPr>
                <w:color w:val="000000"/>
                <w:sz w:val="20"/>
                <w:szCs w:val="20"/>
                <w:lang w:bidi="ar"/>
              </w:rPr>
              <w:t>热带和亚热带水果</w:t>
            </w:r>
          </w:p>
        </w:tc>
        <w:tc>
          <w:tcPr>
            <w:tcW w:w="813" w:type="pct"/>
            <w:vAlign w:val="center"/>
          </w:tcPr>
          <w:p w14:paraId="3306E6A3">
            <w:pPr>
              <w:spacing w:line="260" w:lineRule="exact"/>
              <w:jc w:val="center"/>
              <w:textAlignment w:val="center"/>
              <w:rPr>
                <w:color w:val="000000"/>
                <w:sz w:val="20"/>
                <w:szCs w:val="20"/>
              </w:rPr>
            </w:pPr>
            <w:r>
              <w:rPr>
                <w:color w:val="000000"/>
                <w:sz w:val="20"/>
                <w:szCs w:val="20"/>
                <w:lang w:bidi="ar"/>
              </w:rPr>
              <w:t>香蕉</w:t>
            </w:r>
          </w:p>
        </w:tc>
        <w:tc>
          <w:tcPr>
            <w:tcW w:w="1470" w:type="pct"/>
            <w:vAlign w:val="center"/>
          </w:tcPr>
          <w:p w14:paraId="751BC145">
            <w:pPr>
              <w:spacing w:line="260" w:lineRule="exact"/>
              <w:jc w:val="center"/>
              <w:textAlignment w:val="center"/>
              <w:rPr>
                <w:color w:val="000000"/>
                <w:sz w:val="20"/>
                <w:szCs w:val="20"/>
              </w:rPr>
            </w:pPr>
            <w:r>
              <w:rPr>
                <w:color w:val="000000"/>
                <w:sz w:val="20"/>
                <w:szCs w:val="20"/>
                <w:lang w:bidi="ar"/>
              </w:rPr>
              <w:t>吡虫啉、噻虫胺、噻虫嗪</w:t>
            </w:r>
          </w:p>
        </w:tc>
        <w:tc>
          <w:tcPr>
            <w:tcW w:w="896" w:type="pct"/>
            <w:vAlign w:val="center"/>
          </w:tcPr>
          <w:p w14:paraId="6396E7AE">
            <w:pPr>
              <w:spacing w:line="260" w:lineRule="exact"/>
              <w:textAlignment w:val="center"/>
              <w:rPr>
                <w:color w:val="000000"/>
                <w:sz w:val="20"/>
                <w:szCs w:val="20"/>
              </w:rPr>
            </w:pPr>
            <w:r>
              <w:rPr>
                <w:rFonts w:hint="eastAsia"/>
                <w:color w:val="000000"/>
                <w:sz w:val="20"/>
                <w:szCs w:val="20"/>
                <w:lang w:bidi="ar"/>
              </w:rPr>
              <w:t>腈苯唑、氟唑菌酰胺（方法在扩项）、烯唑醇、苯醚甲环唑、甲拌磷、联苯菊酯、噻唑膦</w:t>
            </w:r>
          </w:p>
        </w:tc>
      </w:tr>
      <w:tr w14:paraId="4A371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42C608D8">
            <w:pPr>
              <w:spacing w:line="260" w:lineRule="exact"/>
              <w:jc w:val="center"/>
              <w:rPr>
                <w:color w:val="000000"/>
                <w:sz w:val="20"/>
                <w:szCs w:val="20"/>
              </w:rPr>
            </w:pPr>
          </w:p>
        </w:tc>
        <w:tc>
          <w:tcPr>
            <w:tcW w:w="792" w:type="pct"/>
            <w:vMerge w:val="continue"/>
            <w:vAlign w:val="center"/>
          </w:tcPr>
          <w:p w14:paraId="2714540F">
            <w:pPr>
              <w:spacing w:line="260" w:lineRule="exact"/>
              <w:jc w:val="center"/>
              <w:rPr>
                <w:color w:val="000000"/>
                <w:sz w:val="20"/>
                <w:szCs w:val="20"/>
              </w:rPr>
            </w:pPr>
          </w:p>
        </w:tc>
        <w:tc>
          <w:tcPr>
            <w:tcW w:w="769" w:type="pct"/>
            <w:vMerge w:val="continue"/>
            <w:vAlign w:val="center"/>
          </w:tcPr>
          <w:p w14:paraId="196CC12A">
            <w:pPr>
              <w:spacing w:line="260" w:lineRule="exact"/>
              <w:jc w:val="center"/>
              <w:rPr>
                <w:color w:val="000000"/>
                <w:sz w:val="20"/>
                <w:szCs w:val="20"/>
              </w:rPr>
            </w:pPr>
          </w:p>
        </w:tc>
        <w:tc>
          <w:tcPr>
            <w:tcW w:w="813" w:type="pct"/>
            <w:vAlign w:val="center"/>
          </w:tcPr>
          <w:p w14:paraId="5552C1E4">
            <w:pPr>
              <w:spacing w:line="260" w:lineRule="exact"/>
              <w:jc w:val="center"/>
              <w:textAlignment w:val="center"/>
              <w:rPr>
                <w:color w:val="000000"/>
                <w:sz w:val="20"/>
                <w:szCs w:val="20"/>
              </w:rPr>
            </w:pPr>
            <w:r>
              <w:rPr>
                <w:color w:val="000000"/>
                <w:sz w:val="20"/>
                <w:szCs w:val="20"/>
                <w:lang w:bidi="ar"/>
              </w:rPr>
              <w:t>芒果</w:t>
            </w:r>
          </w:p>
        </w:tc>
        <w:tc>
          <w:tcPr>
            <w:tcW w:w="1470" w:type="pct"/>
            <w:vAlign w:val="center"/>
          </w:tcPr>
          <w:p w14:paraId="4FFF7A37">
            <w:pPr>
              <w:spacing w:line="260" w:lineRule="exact"/>
              <w:jc w:val="center"/>
              <w:textAlignment w:val="center"/>
              <w:rPr>
                <w:color w:val="000000"/>
                <w:sz w:val="20"/>
                <w:szCs w:val="20"/>
              </w:rPr>
            </w:pPr>
            <w:r>
              <w:rPr>
                <w:color w:val="000000"/>
                <w:sz w:val="20"/>
                <w:szCs w:val="20"/>
                <w:lang w:bidi="ar"/>
              </w:rPr>
              <w:t>吡唑醚菌酯、噻虫胺、戊唑醇</w:t>
            </w:r>
          </w:p>
        </w:tc>
        <w:tc>
          <w:tcPr>
            <w:tcW w:w="896" w:type="pct"/>
            <w:vAlign w:val="center"/>
          </w:tcPr>
          <w:p w14:paraId="347A7120">
            <w:pPr>
              <w:spacing w:line="260" w:lineRule="exact"/>
              <w:textAlignment w:val="center"/>
              <w:rPr>
                <w:color w:val="000000"/>
                <w:sz w:val="20"/>
                <w:szCs w:val="20"/>
              </w:rPr>
            </w:pPr>
            <w:r>
              <w:rPr>
                <w:rFonts w:hint="eastAsia"/>
                <w:color w:val="000000"/>
                <w:sz w:val="20"/>
                <w:szCs w:val="20"/>
                <w:lang w:bidi="ar"/>
              </w:rPr>
              <w:t>氧乐果、苯醚甲环唑、噻虫嗪、乙酰甲胺磷、吡虫啉</w:t>
            </w:r>
          </w:p>
        </w:tc>
      </w:tr>
      <w:tr w14:paraId="15140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02387475">
            <w:pPr>
              <w:spacing w:line="260" w:lineRule="exact"/>
              <w:jc w:val="center"/>
              <w:rPr>
                <w:color w:val="000000"/>
                <w:sz w:val="20"/>
                <w:szCs w:val="20"/>
              </w:rPr>
            </w:pPr>
          </w:p>
        </w:tc>
        <w:tc>
          <w:tcPr>
            <w:tcW w:w="792" w:type="pct"/>
            <w:vMerge w:val="continue"/>
            <w:vAlign w:val="center"/>
          </w:tcPr>
          <w:p w14:paraId="71E03E6D">
            <w:pPr>
              <w:spacing w:line="260" w:lineRule="exact"/>
              <w:jc w:val="center"/>
              <w:rPr>
                <w:color w:val="000000"/>
                <w:sz w:val="20"/>
                <w:szCs w:val="20"/>
              </w:rPr>
            </w:pPr>
          </w:p>
        </w:tc>
        <w:tc>
          <w:tcPr>
            <w:tcW w:w="769" w:type="pct"/>
            <w:vMerge w:val="continue"/>
            <w:vAlign w:val="center"/>
          </w:tcPr>
          <w:p w14:paraId="4BA048BC">
            <w:pPr>
              <w:spacing w:line="260" w:lineRule="exact"/>
              <w:jc w:val="center"/>
              <w:rPr>
                <w:color w:val="000000"/>
                <w:sz w:val="20"/>
                <w:szCs w:val="20"/>
              </w:rPr>
            </w:pPr>
          </w:p>
        </w:tc>
        <w:tc>
          <w:tcPr>
            <w:tcW w:w="813" w:type="pct"/>
            <w:vAlign w:val="center"/>
          </w:tcPr>
          <w:p w14:paraId="67C78240">
            <w:pPr>
              <w:spacing w:line="260" w:lineRule="exact"/>
              <w:jc w:val="center"/>
              <w:textAlignment w:val="center"/>
              <w:rPr>
                <w:color w:val="000000"/>
                <w:sz w:val="20"/>
                <w:szCs w:val="20"/>
              </w:rPr>
            </w:pPr>
            <w:r>
              <w:rPr>
                <w:color w:val="000000"/>
                <w:sz w:val="20"/>
                <w:szCs w:val="20"/>
                <w:lang w:bidi="ar"/>
              </w:rPr>
              <w:t>荔枝</w:t>
            </w:r>
          </w:p>
        </w:tc>
        <w:tc>
          <w:tcPr>
            <w:tcW w:w="1470" w:type="pct"/>
            <w:vAlign w:val="center"/>
          </w:tcPr>
          <w:p w14:paraId="26DAD4C5">
            <w:pPr>
              <w:spacing w:line="260" w:lineRule="exact"/>
              <w:jc w:val="center"/>
              <w:textAlignment w:val="center"/>
              <w:rPr>
                <w:color w:val="000000"/>
                <w:sz w:val="20"/>
                <w:szCs w:val="20"/>
              </w:rPr>
            </w:pPr>
            <w:r>
              <w:rPr>
                <w:color w:val="000000"/>
                <w:sz w:val="20"/>
                <w:szCs w:val="20"/>
                <w:lang w:bidi="ar"/>
              </w:rPr>
              <w:t>氯氟氰菊酯和高效氯氟氰菊酯、吡唑醚菌酯、除虫脲</w:t>
            </w:r>
          </w:p>
        </w:tc>
        <w:tc>
          <w:tcPr>
            <w:tcW w:w="896" w:type="pct"/>
            <w:vAlign w:val="center"/>
          </w:tcPr>
          <w:p w14:paraId="740DAAB3">
            <w:pPr>
              <w:spacing w:line="260" w:lineRule="exact"/>
              <w:textAlignment w:val="center"/>
              <w:rPr>
                <w:color w:val="000000"/>
                <w:sz w:val="20"/>
                <w:szCs w:val="20"/>
              </w:rPr>
            </w:pPr>
            <w:r>
              <w:rPr>
                <w:rFonts w:hint="eastAsia"/>
                <w:color w:val="000000"/>
                <w:sz w:val="20"/>
                <w:szCs w:val="20"/>
                <w:lang w:bidi="ar"/>
              </w:rPr>
              <w:t>氧乐果、毒死蜱、苯醚甲环唑、咪鲜胺和咪鲜胺锰盐、乐果</w:t>
            </w:r>
          </w:p>
        </w:tc>
      </w:tr>
      <w:tr w14:paraId="6D153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4B2DB666">
            <w:pPr>
              <w:spacing w:line="260" w:lineRule="exact"/>
              <w:jc w:val="center"/>
              <w:rPr>
                <w:color w:val="000000"/>
                <w:sz w:val="20"/>
                <w:szCs w:val="20"/>
              </w:rPr>
            </w:pPr>
          </w:p>
        </w:tc>
        <w:tc>
          <w:tcPr>
            <w:tcW w:w="792" w:type="pct"/>
            <w:vMerge w:val="continue"/>
            <w:vAlign w:val="center"/>
          </w:tcPr>
          <w:p w14:paraId="4DE3EB3C">
            <w:pPr>
              <w:spacing w:line="260" w:lineRule="exact"/>
              <w:jc w:val="center"/>
              <w:rPr>
                <w:color w:val="000000"/>
                <w:sz w:val="20"/>
                <w:szCs w:val="20"/>
              </w:rPr>
            </w:pPr>
          </w:p>
        </w:tc>
        <w:tc>
          <w:tcPr>
            <w:tcW w:w="769" w:type="pct"/>
            <w:vMerge w:val="continue"/>
            <w:vAlign w:val="center"/>
          </w:tcPr>
          <w:p w14:paraId="1F7A0622">
            <w:pPr>
              <w:spacing w:line="260" w:lineRule="exact"/>
              <w:jc w:val="center"/>
              <w:rPr>
                <w:color w:val="000000"/>
                <w:sz w:val="20"/>
                <w:szCs w:val="20"/>
              </w:rPr>
            </w:pPr>
          </w:p>
        </w:tc>
        <w:tc>
          <w:tcPr>
            <w:tcW w:w="813" w:type="pct"/>
            <w:vAlign w:val="center"/>
          </w:tcPr>
          <w:p w14:paraId="35B4FEFA">
            <w:pPr>
              <w:spacing w:line="260" w:lineRule="exact"/>
              <w:jc w:val="center"/>
              <w:textAlignment w:val="center"/>
              <w:rPr>
                <w:color w:val="000000"/>
                <w:sz w:val="20"/>
                <w:szCs w:val="20"/>
              </w:rPr>
            </w:pPr>
            <w:r>
              <w:rPr>
                <w:color w:val="000000"/>
                <w:sz w:val="20"/>
                <w:szCs w:val="20"/>
                <w:lang w:bidi="ar"/>
              </w:rPr>
              <w:t>杨梅</w:t>
            </w:r>
          </w:p>
        </w:tc>
        <w:tc>
          <w:tcPr>
            <w:tcW w:w="1470" w:type="pct"/>
            <w:vAlign w:val="center"/>
          </w:tcPr>
          <w:p w14:paraId="798463DF">
            <w:pPr>
              <w:spacing w:line="260" w:lineRule="exact"/>
              <w:jc w:val="center"/>
              <w:textAlignment w:val="center"/>
              <w:rPr>
                <w:color w:val="000000"/>
                <w:sz w:val="20"/>
                <w:szCs w:val="20"/>
              </w:rPr>
            </w:pPr>
            <w:r>
              <w:rPr>
                <w:color w:val="000000"/>
                <w:sz w:val="20"/>
                <w:szCs w:val="20"/>
                <w:lang w:bidi="ar"/>
              </w:rPr>
              <w:t>脱氢乙酸及其钠盐（以脱氢乙酸计）、糖精钠（以糖精计）、甜蜜素（以环己基氨基磺酸计）</w:t>
            </w:r>
          </w:p>
        </w:tc>
        <w:tc>
          <w:tcPr>
            <w:tcW w:w="896" w:type="pct"/>
            <w:vAlign w:val="center"/>
          </w:tcPr>
          <w:p w14:paraId="39DF164C">
            <w:pPr>
              <w:spacing w:line="260" w:lineRule="exact"/>
              <w:textAlignment w:val="center"/>
              <w:rPr>
                <w:color w:val="000000"/>
                <w:sz w:val="20"/>
                <w:szCs w:val="20"/>
              </w:rPr>
            </w:pPr>
            <w:r>
              <w:rPr>
                <w:rFonts w:hint="eastAsia"/>
                <w:color w:val="000000"/>
                <w:sz w:val="20"/>
                <w:szCs w:val="20"/>
                <w:lang w:bidi="ar"/>
              </w:rPr>
              <w:t>山梨酸及其钾盐（以山梨酸计）、三氯蔗糖、、敌敌畏、氧乐果、啶虫脒</w:t>
            </w:r>
          </w:p>
        </w:tc>
      </w:tr>
      <w:tr w14:paraId="7630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32B2BB58">
            <w:pPr>
              <w:spacing w:line="260" w:lineRule="exact"/>
              <w:jc w:val="center"/>
              <w:textAlignment w:val="center"/>
              <w:rPr>
                <w:color w:val="000000"/>
                <w:sz w:val="20"/>
                <w:szCs w:val="20"/>
              </w:rPr>
            </w:pPr>
          </w:p>
        </w:tc>
        <w:tc>
          <w:tcPr>
            <w:tcW w:w="792" w:type="pct"/>
            <w:vMerge w:val="continue"/>
            <w:vAlign w:val="center"/>
          </w:tcPr>
          <w:p w14:paraId="041CA9B5">
            <w:pPr>
              <w:spacing w:line="260" w:lineRule="exact"/>
              <w:jc w:val="center"/>
              <w:textAlignment w:val="center"/>
              <w:rPr>
                <w:color w:val="000000"/>
                <w:sz w:val="20"/>
                <w:szCs w:val="20"/>
              </w:rPr>
            </w:pPr>
          </w:p>
        </w:tc>
        <w:tc>
          <w:tcPr>
            <w:tcW w:w="769" w:type="pct"/>
            <w:vMerge w:val="continue"/>
            <w:vAlign w:val="center"/>
          </w:tcPr>
          <w:p w14:paraId="6FC2E83C">
            <w:pPr>
              <w:spacing w:line="260" w:lineRule="exact"/>
              <w:jc w:val="center"/>
              <w:textAlignment w:val="center"/>
              <w:rPr>
                <w:color w:val="000000"/>
                <w:sz w:val="20"/>
                <w:szCs w:val="20"/>
              </w:rPr>
            </w:pPr>
          </w:p>
        </w:tc>
        <w:tc>
          <w:tcPr>
            <w:tcW w:w="813" w:type="pct"/>
            <w:vAlign w:val="center"/>
          </w:tcPr>
          <w:p w14:paraId="12ECE870">
            <w:pPr>
              <w:spacing w:line="260" w:lineRule="exact"/>
              <w:jc w:val="center"/>
              <w:textAlignment w:val="center"/>
              <w:rPr>
                <w:color w:val="000000"/>
                <w:sz w:val="20"/>
                <w:szCs w:val="20"/>
              </w:rPr>
            </w:pPr>
            <w:r>
              <w:rPr>
                <w:color w:val="000000"/>
                <w:sz w:val="20"/>
                <w:szCs w:val="20"/>
                <w:lang w:bidi="ar"/>
              </w:rPr>
              <w:t>龙眼</w:t>
            </w:r>
          </w:p>
        </w:tc>
        <w:tc>
          <w:tcPr>
            <w:tcW w:w="1470" w:type="pct"/>
            <w:vAlign w:val="center"/>
          </w:tcPr>
          <w:p w14:paraId="53FF7DBA">
            <w:pPr>
              <w:spacing w:line="260" w:lineRule="exact"/>
              <w:jc w:val="center"/>
              <w:textAlignment w:val="center"/>
              <w:rPr>
                <w:color w:val="000000"/>
                <w:sz w:val="20"/>
                <w:szCs w:val="20"/>
              </w:rPr>
            </w:pPr>
            <w:r>
              <w:rPr>
                <w:color w:val="000000"/>
                <w:sz w:val="20"/>
                <w:szCs w:val="20"/>
                <w:lang w:bidi="ar"/>
              </w:rPr>
              <w:t>二氧化硫残留量</w:t>
            </w:r>
          </w:p>
        </w:tc>
        <w:tc>
          <w:tcPr>
            <w:tcW w:w="896" w:type="pct"/>
            <w:vAlign w:val="center"/>
          </w:tcPr>
          <w:p w14:paraId="69C45E09">
            <w:pPr>
              <w:spacing w:line="260" w:lineRule="exact"/>
              <w:textAlignment w:val="center"/>
              <w:rPr>
                <w:color w:val="000000"/>
                <w:sz w:val="20"/>
                <w:szCs w:val="20"/>
              </w:rPr>
            </w:pPr>
            <w:r>
              <w:rPr>
                <w:rFonts w:hint="eastAsia"/>
                <w:color w:val="000000"/>
                <w:sz w:val="20"/>
                <w:szCs w:val="20"/>
                <w:lang w:bidi="ar"/>
              </w:rPr>
              <w:t>克百威、氯氰菊酯和高效氯氰菊酯、氧乐果</w:t>
            </w:r>
          </w:p>
        </w:tc>
      </w:tr>
      <w:tr w14:paraId="7218F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179E341E">
            <w:pPr>
              <w:spacing w:line="260" w:lineRule="exact"/>
              <w:jc w:val="center"/>
              <w:rPr>
                <w:color w:val="000000"/>
                <w:sz w:val="20"/>
                <w:szCs w:val="20"/>
              </w:rPr>
            </w:pPr>
          </w:p>
        </w:tc>
        <w:tc>
          <w:tcPr>
            <w:tcW w:w="792" w:type="pct"/>
            <w:vMerge w:val="continue"/>
            <w:vAlign w:val="center"/>
          </w:tcPr>
          <w:p w14:paraId="56C94586">
            <w:pPr>
              <w:spacing w:line="260" w:lineRule="exact"/>
              <w:jc w:val="center"/>
              <w:rPr>
                <w:color w:val="000000"/>
                <w:sz w:val="20"/>
                <w:szCs w:val="20"/>
              </w:rPr>
            </w:pPr>
          </w:p>
        </w:tc>
        <w:tc>
          <w:tcPr>
            <w:tcW w:w="769" w:type="pct"/>
            <w:vMerge w:val="continue"/>
            <w:vAlign w:val="center"/>
          </w:tcPr>
          <w:p w14:paraId="5F23493E">
            <w:pPr>
              <w:spacing w:line="260" w:lineRule="exact"/>
              <w:jc w:val="center"/>
              <w:rPr>
                <w:color w:val="000000"/>
                <w:sz w:val="20"/>
                <w:szCs w:val="20"/>
              </w:rPr>
            </w:pPr>
          </w:p>
        </w:tc>
        <w:tc>
          <w:tcPr>
            <w:tcW w:w="813" w:type="pct"/>
            <w:vAlign w:val="center"/>
          </w:tcPr>
          <w:p w14:paraId="4224D3C4">
            <w:pPr>
              <w:spacing w:line="260" w:lineRule="exact"/>
              <w:jc w:val="center"/>
              <w:textAlignment w:val="center"/>
              <w:rPr>
                <w:color w:val="000000"/>
                <w:sz w:val="20"/>
                <w:szCs w:val="20"/>
              </w:rPr>
            </w:pPr>
            <w:r>
              <w:rPr>
                <w:color w:val="000000"/>
                <w:sz w:val="20"/>
                <w:szCs w:val="20"/>
                <w:lang w:bidi="ar"/>
              </w:rPr>
              <w:t>番木瓜</w:t>
            </w:r>
          </w:p>
        </w:tc>
        <w:tc>
          <w:tcPr>
            <w:tcW w:w="1470" w:type="pct"/>
            <w:vAlign w:val="center"/>
          </w:tcPr>
          <w:p w14:paraId="6A73D32A">
            <w:pPr>
              <w:spacing w:line="260" w:lineRule="exact"/>
              <w:jc w:val="center"/>
              <w:textAlignment w:val="center"/>
              <w:rPr>
                <w:color w:val="000000"/>
                <w:sz w:val="20"/>
                <w:szCs w:val="20"/>
              </w:rPr>
            </w:pPr>
            <w:r>
              <w:rPr>
                <w:color w:val="000000"/>
                <w:sz w:val="20"/>
                <w:szCs w:val="20"/>
                <w:lang w:bidi="ar"/>
              </w:rPr>
              <w:t>噻虫胺、噻虫嗪</w:t>
            </w:r>
          </w:p>
        </w:tc>
        <w:tc>
          <w:tcPr>
            <w:tcW w:w="896" w:type="pct"/>
            <w:vAlign w:val="center"/>
          </w:tcPr>
          <w:p w14:paraId="2FFD20D8">
            <w:pPr>
              <w:spacing w:line="260" w:lineRule="exact"/>
              <w:textAlignment w:val="center"/>
              <w:rPr>
                <w:color w:val="000000"/>
                <w:sz w:val="20"/>
                <w:szCs w:val="20"/>
              </w:rPr>
            </w:pPr>
            <w:r>
              <w:rPr>
                <w:rFonts w:hint="eastAsia"/>
                <w:color w:val="000000"/>
                <w:sz w:val="20"/>
                <w:szCs w:val="20"/>
                <w:lang w:bidi="ar"/>
              </w:rPr>
              <w:t>乙酰甲胺磷</w:t>
            </w:r>
          </w:p>
        </w:tc>
      </w:tr>
      <w:tr w14:paraId="2EE8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restart"/>
            <w:vAlign w:val="center"/>
          </w:tcPr>
          <w:p w14:paraId="10FB33D5">
            <w:pPr>
              <w:spacing w:line="260" w:lineRule="exact"/>
              <w:jc w:val="center"/>
              <w:textAlignment w:val="center"/>
              <w:rPr>
                <w:color w:val="000000"/>
                <w:sz w:val="20"/>
                <w:szCs w:val="20"/>
                <w:lang w:bidi="ar"/>
              </w:rPr>
            </w:pPr>
            <w:r>
              <w:rPr>
                <w:rFonts w:hint="eastAsia"/>
                <w:color w:val="000000"/>
                <w:sz w:val="20"/>
                <w:szCs w:val="20"/>
                <w:lang w:bidi="ar"/>
              </w:rPr>
              <w:t>5</w:t>
            </w:r>
          </w:p>
        </w:tc>
        <w:tc>
          <w:tcPr>
            <w:tcW w:w="792" w:type="pct"/>
            <w:vMerge w:val="restart"/>
            <w:vAlign w:val="center"/>
          </w:tcPr>
          <w:p w14:paraId="2BE66B44">
            <w:pPr>
              <w:spacing w:line="260" w:lineRule="exact"/>
              <w:jc w:val="center"/>
              <w:textAlignment w:val="center"/>
              <w:rPr>
                <w:color w:val="000000"/>
                <w:sz w:val="20"/>
                <w:szCs w:val="20"/>
              </w:rPr>
            </w:pPr>
            <w:r>
              <w:rPr>
                <w:color w:val="000000"/>
                <w:sz w:val="20"/>
                <w:szCs w:val="20"/>
                <w:lang w:bidi="ar"/>
              </w:rPr>
              <w:t>鲜蛋</w:t>
            </w:r>
          </w:p>
        </w:tc>
        <w:tc>
          <w:tcPr>
            <w:tcW w:w="769" w:type="pct"/>
            <w:vAlign w:val="center"/>
          </w:tcPr>
          <w:p w14:paraId="749ADC1F">
            <w:pPr>
              <w:spacing w:line="260" w:lineRule="exact"/>
              <w:jc w:val="center"/>
              <w:textAlignment w:val="center"/>
              <w:rPr>
                <w:color w:val="000000"/>
                <w:sz w:val="20"/>
                <w:szCs w:val="20"/>
              </w:rPr>
            </w:pPr>
            <w:r>
              <w:rPr>
                <w:color w:val="000000"/>
                <w:sz w:val="20"/>
                <w:szCs w:val="20"/>
                <w:lang w:bidi="ar"/>
              </w:rPr>
              <w:t>鲜蛋</w:t>
            </w:r>
          </w:p>
        </w:tc>
        <w:tc>
          <w:tcPr>
            <w:tcW w:w="813" w:type="pct"/>
            <w:vAlign w:val="center"/>
          </w:tcPr>
          <w:p w14:paraId="300A7E64">
            <w:pPr>
              <w:spacing w:line="260" w:lineRule="exact"/>
              <w:jc w:val="center"/>
              <w:textAlignment w:val="center"/>
              <w:rPr>
                <w:color w:val="000000"/>
                <w:sz w:val="20"/>
                <w:szCs w:val="20"/>
              </w:rPr>
            </w:pPr>
            <w:r>
              <w:rPr>
                <w:color w:val="000000"/>
                <w:sz w:val="20"/>
                <w:szCs w:val="20"/>
                <w:lang w:bidi="ar"/>
              </w:rPr>
              <w:t>鸡蛋</w:t>
            </w:r>
          </w:p>
        </w:tc>
        <w:tc>
          <w:tcPr>
            <w:tcW w:w="1470" w:type="pct"/>
            <w:vAlign w:val="center"/>
          </w:tcPr>
          <w:p w14:paraId="728571A3">
            <w:pPr>
              <w:spacing w:line="260" w:lineRule="exact"/>
              <w:jc w:val="center"/>
              <w:textAlignment w:val="center"/>
              <w:rPr>
                <w:color w:val="000000"/>
                <w:sz w:val="20"/>
                <w:szCs w:val="20"/>
              </w:rPr>
            </w:pPr>
            <w:r>
              <w:rPr>
                <w:color w:val="000000"/>
                <w:sz w:val="20"/>
                <w:szCs w:val="20"/>
                <w:lang w:bidi="ar"/>
              </w:rPr>
              <w:t>甲硝唑、甲氧苄啶、多西环素</w:t>
            </w:r>
          </w:p>
        </w:tc>
        <w:tc>
          <w:tcPr>
            <w:tcW w:w="896" w:type="pct"/>
            <w:vAlign w:val="center"/>
          </w:tcPr>
          <w:p w14:paraId="4F7BF02C">
            <w:pPr>
              <w:spacing w:line="260" w:lineRule="exact"/>
              <w:textAlignment w:val="center"/>
              <w:rPr>
                <w:color w:val="000000"/>
                <w:sz w:val="20"/>
                <w:szCs w:val="20"/>
              </w:rPr>
            </w:pPr>
            <w:r>
              <w:rPr>
                <w:rFonts w:hint="eastAsia"/>
                <w:color w:val="000000"/>
                <w:sz w:val="20"/>
                <w:szCs w:val="20"/>
                <w:lang w:bidi="ar"/>
              </w:rPr>
              <w:t>地美硝唑、氯霉素、氟苯尼考、甲砜霉素、恩诺沙星、氧氟沙星、沙拉沙星</w:t>
            </w:r>
          </w:p>
        </w:tc>
      </w:tr>
      <w:tr w14:paraId="45331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Merge w:val="continue"/>
            <w:vAlign w:val="center"/>
          </w:tcPr>
          <w:p w14:paraId="0FCB8964">
            <w:pPr>
              <w:spacing w:line="260" w:lineRule="exact"/>
              <w:jc w:val="center"/>
              <w:textAlignment w:val="center"/>
              <w:rPr>
                <w:color w:val="000000"/>
                <w:sz w:val="20"/>
                <w:szCs w:val="20"/>
                <w:lang w:bidi="ar"/>
              </w:rPr>
            </w:pPr>
          </w:p>
        </w:tc>
        <w:tc>
          <w:tcPr>
            <w:tcW w:w="792" w:type="pct"/>
            <w:vMerge w:val="continue"/>
            <w:vAlign w:val="center"/>
          </w:tcPr>
          <w:p w14:paraId="42A8F3A3">
            <w:pPr>
              <w:spacing w:line="260" w:lineRule="exact"/>
              <w:jc w:val="center"/>
              <w:textAlignment w:val="center"/>
              <w:rPr>
                <w:color w:val="000000"/>
                <w:sz w:val="20"/>
                <w:szCs w:val="20"/>
              </w:rPr>
            </w:pPr>
          </w:p>
        </w:tc>
        <w:tc>
          <w:tcPr>
            <w:tcW w:w="769" w:type="pct"/>
            <w:vAlign w:val="center"/>
          </w:tcPr>
          <w:p w14:paraId="62DED274">
            <w:pPr>
              <w:spacing w:line="260" w:lineRule="exact"/>
              <w:jc w:val="center"/>
              <w:textAlignment w:val="center"/>
              <w:rPr>
                <w:color w:val="000000"/>
                <w:sz w:val="20"/>
                <w:szCs w:val="20"/>
              </w:rPr>
            </w:pPr>
            <w:r>
              <w:rPr>
                <w:color w:val="000000"/>
                <w:sz w:val="20"/>
                <w:szCs w:val="20"/>
                <w:lang w:bidi="ar"/>
              </w:rPr>
              <w:t>鲜蛋</w:t>
            </w:r>
          </w:p>
        </w:tc>
        <w:tc>
          <w:tcPr>
            <w:tcW w:w="813" w:type="pct"/>
            <w:vAlign w:val="center"/>
          </w:tcPr>
          <w:p w14:paraId="66E6ED33">
            <w:pPr>
              <w:spacing w:line="260" w:lineRule="exact"/>
              <w:jc w:val="center"/>
              <w:textAlignment w:val="center"/>
              <w:rPr>
                <w:color w:val="000000"/>
                <w:sz w:val="20"/>
                <w:szCs w:val="20"/>
              </w:rPr>
            </w:pPr>
            <w:r>
              <w:rPr>
                <w:color w:val="000000"/>
                <w:sz w:val="20"/>
                <w:szCs w:val="20"/>
                <w:lang w:bidi="ar"/>
              </w:rPr>
              <w:t>其他禽蛋（重点品种：鸭蛋）</w:t>
            </w:r>
          </w:p>
        </w:tc>
        <w:tc>
          <w:tcPr>
            <w:tcW w:w="1470" w:type="pct"/>
            <w:vAlign w:val="center"/>
          </w:tcPr>
          <w:p w14:paraId="6E8F88CD">
            <w:pPr>
              <w:spacing w:line="260" w:lineRule="exact"/>
              <w:jc w:val="center"/>
              <w:textAlignment w:val="center"/>
              <w:rPr>
                <w:color w:val="000000"/>
                <w:sz w:val="20"/>
                <w:szCs w:val="20"/>
              </w:rPr>
            </w:pPr>
            <w:r>
              <w:rPr>
                <w:color w:val="000000"/>
                <w:sz w:val="20"/>
                <w:szCs w:val="20"/>
                <w:lang w:bidi="ar"/>
              </w:rPr>
              <w:t>多西环素</w:t>
            </w:r>
          </w:p>
        </w:tc>
        <w:tc>
          <w:tcPr>
            <w:tcW w:w="896" w:type="pct"/>
            <w:vAlign w:val="center"/>
          </w:tcPr>
          <w:p w14:paraId="752B8081">
            <w:pPr>
              <w:spacing w:line="260" w:lineRule="exact"/>
              <w:textAlignment w:val="center"/>
              <w:rPr>
                <w:color w:val="000000"/>
                <w:sz w:val="20"/>
                <w:szCs w:val="20"/>
              </w:rPr>
            </w:pPr>
            <w:r>
              <w:rPr>
                <w:rFonts w:hint="eastAsia"/>
                <w:color w:val="000000"/>
                <w:sz w:val="20"/>
                <w:szCs w:val="20"/>
                <w:lang w:bidi="ar"/>
              </w:rPr>
              <w:t>呋喃唑酮代谢物、磺胺类（总量）</w:t>
            </w:r>
          </w:p>
        </w:tc>
      </w:tr>
      <w:tr w14:paraId="6FEA8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260" w:type="pct"/>
            <w:vAlign w:val="center"/>
          </w:tcPr>
          <w:p w14:paraId="0FF3BA83">
            <w:pPr>
              <w:spacing w:line="260" w:lineRule="exact"/>
              <w:jc w:val="center"/>
              <w:textAlignment w:val="center"/>
              <w:rPr>
                <w:color w:val="000000"/>
                <w:sz w:val="20"/>
                <w:szCs w:val="20"/>
                <w:lang w:bidi="ar"/>
              </w:rPr>
            </w:pPr>
            <w:r>
              <w:rPr>
                <w:rFonts w:hint="eastAsia"/>
                <w:color w:val="000000"/>
                <w:sz w:val="20"/>
                <w:szCs w:val="20"/>
                <w:lang w:bidi="ar"/>
              </w:rPr>
              <w:t>6</w:t>
            </w:r>
          </w:p>
        </w:tc>
        <w:tc>
          <w:tcPr>
            <w:tcW w:w="792" w:type="pct"/>
            <w:vAlign w:val="center"/>
          </w:tcPr>
          <w:p w14:paraId="7C43033F">
            <w:pPr>
              <w:spacing w:line="260" w:lineRule="exact"/>
              <w:jc w:val="center"/>
              <w:textAlignment w:val="center"/>
              <w:rPr>
                <w:color w:val="000000"/>
                <w:sz w:val="20"/>
                <w:szCs w:val="20"/>
              </w:rPr>
            </w:pPr>
            <w:r>
              <w:rPr>
                <w:color w:val="000000"/>
                <w:sz w:val="20"/>
                <w:szCs w:val="20"/>
                <w:lang w:bidi="ar"/>
              </w:rPr>
              <w:t>生干坚果与籽类食品</w:t>
            </w:r>
          </w:p>
        </w:tc>
        <w:tc>
          <w:tcPr>
            <w:tcW w:w="769" w:type="pct"/>
            <w:vAlign w:val="center"/>
          </w:tcPr>
          <w:p w14:paraId="7AA2457F">
            <w:pPr>
              <w:spacing w:line="260" w:lineRule="exact"/>
              <w:jc w:val="center"/>
              <w:textAlignment w:val="center"/>
              <w:rPr>
                <w:color w:val="000000"/>
                <w:sz w:val="20"/>
                <w:szCs w:val="20"/>
              </w:rPr>
            </w:pPr>
            <w:r>
              <w:rPr>
                <w:color w:val="000000"/>
                <w:sz w:val="20"/>
                <w:szCs w:val="20"/>
                <w:lang w:bidi="ar"/>
              </w:rPr>
              <w:t>生干坚果与籽类食品</w:t>
            </w:r>
          </w:p>
        </w:tc>
        <w:tc>
          <w:tcPr>
            <w:tcW w:w="813" w:type="pct"/>
            <w:vAlign w:val="center"/>
          </w:tcPr>
          <w:p w14:paraId="775A52BA">
            <w:pPr>
              <w:spacing w:line="260" w:lineRule="exact"/>
              <w:jc w:val="center"/>
              <w:textAlignment w:val="center"/>
              <w:rPr>
                <w:color w:val="000000"/>
                <w:sz w:val="20"/>
                <w:szCs w:val="20"/>
              </w:rPr>
            </w:pPr>
            <w:r>
              <w:rPr>
                <w:color w:val="000000"/>
                <w:sz w:val="20"/>
                <w:szCs w:val="20"/>
                <w:lang w:bidi="ar"/>
              </w:rPr>
              <w:t>生干籽类</w:t>
            </w:r>
          </w:p>
        </w:tc>
        <w:tc>
          <w:tcPr>
            <w:tcW w:w="1470" w:type="pct"/>
            <w:vAlign w:val="center"/>
          </w:tcPr>
          <w:p w14:paraId="44251AA1">
            <w:pPr>
              <w:spacing w:line="260" w:lineRule="exact"/>
              <w:jc w:val="center"/>
              <w:textAlignment w:val="center"/>
              <w:rPr>
                <w:color w:val="000000"/>
                <w:sz w:val="20"/>
                <w:szCs w:val="20"/>
              </w:rPr>
            </w:pPr>
            <w:r>
              <w:rPr>
                <w:color w:val="000000"/>
                <w:sz w:val="20"/>
                <w:szCs w:val="20"/>
                <w:lang w:bidi="ar"/>
              </w:rPr>
              <w:t>黄曲霉毒素B</w:t>
            </w:r>
            <w:r>
              <w:rPr>
                <w:rFonts w:hint="eastAsia" w:eastAsia="BatangChe"/>
                <w:color w:val="000000"/>
                <w:sz w:val="20"/>
                <w:szCs w:val="20"/>
                <w:vertAlign w:val="subscript"/>
                <w:lang w:bidi="ar"/>
              </w:rPr>
              <w:t>1</w:t>
            </w:r>
          </w:p>
        </w:tc>
        <w:tc>
          <w:tcPr>
            <w:tcW w:w="896" w:type="pct"/>
            <w:vAlign w:val="center"/>
          </w:tcPr>
          <w:p w14:paraId="05964CD7">
            <w:pPr>
              <w:spacing w:line="260" w:lineRule="exact"/>
              <w:textAlignment w:val="center"/>
              <w:rPr>
                <w:color w:val="000000"/>
                <w:sz w:val="20"/>
                <w:szCs w:val="20"/>
              </w:rPr>
            </w:pPr>
            <w:r>
              <w:rPr>
                <w:rFonts w:hint="eastAsia"/>
                <w:color w:val="000000"/>
                <w:sz w:val="20"/>
                <w:szCs w:val="20"/>
                <w:lang w:bidi="ar"/>
              </w:rPr>
              <w:t>酸价（以脂肪计）（</w:t>
            </w:r>
            <w:r>
              <w:rPr>
                <w:color w:val="000000"/>
                <w:sz w:val="20"/>
                <w:szCs w:val="20"/>
                <w:lang w:bidi="ar"/>
              </w:rPr>
              <w:t>KOH</w:t>
            </w:r>
            <w:r>
              <w:rPr>
                <w:rFonts w:hint="eastAsia"/>
                <w:color w:val="000000"/>
                <w:sz w:val="20"/>
                <w:szCs w:val="20"/>
                <w:lang w:bidi="ar"/>
              </w:rPr>
              <w:t>）、过氧化值（以脂肪计）、吡虫啉</w:t>
            </w:r>
          </w:p>
        </w:tc>
      </w:tr>
    </w:tbl>
    <w:p w14:paraId="46CD000A">
      <w:pPr>
        <w:pStyle w:val="6"/>
        <w:rPr>
          <w:rFonts w:ascii="方正仿宋_GBK" w:hAnsi="方正仿宋_GBK" w:eastAsia="方正仿宋_GBK" w:cs="方正仿宋_GBK"/>
          <w:sz w:val="28"/>
          <w:szCs w:val="28"/>
        </w:rPr>
      </w:pPr>
    </w:p>
    <w:p w14:paraId="1F483305">
      <w:pPr>
        <w:pStyle w:val="6"/>
        <w:ind w:firstLine="0"/>
        <w:rPr>
          <w:rFonts w:ascii="方正黑体_GBK" w:hAnsi="方正黑体_GBK" w:eastAsia="方正黑体_GBK" w:cs="方正黑体_GBK"/>
        </w:rPr>
      </w:pPr>
    </w:p>
    <w:p w14:paraId="4EDF2921">
      <w:pPr>
        <w:pStyle w:val="18"/>
        <w:spacing w:line="360" w:lineRule="auto"/>
        <w:ind w:firstLine="0"/>
        <w:rPr>
          <w:rFonts w:ascii="宋体" w:hAnsi="宋体"/>
          <w:sz w:val="24"/>
        </w:rPr>
      </w:pPr>
    </w:p>
    <w:p w14:paraId="41912932">
      <w:pPr>
        <w:rPr>
          <w:rFonts w:ascii="宋体" w:hAnsi="宋体" w:eastAsia="宋体"/>
          <w:sz w:val="20"/>
        </w:rPr>
      </w:pPr>
    </w:p>
    <w:p w14:paraId="436C9824">
      <w:pPr>
        <w:rPr>
          <w:rFonts w:ascii="宋体" w:hAnsi="宋体" w:eastAsia="宋体"/>
          <w:sz w:val="20"/>
        </w:rPr>
        <w:sectPr>
          <w:footerReference r:id="rId4" w:type="default"/>
          <w:pgSz w:w="16838" w:h="11900" w:orient="landscape"/>
          <w:pgMar w:top="1440" w:right="1039" w:bottom="1440" w:left="639" w:header="0" w:footer="0" w:gutter="0"/>
          <w:cols w:equalWidth="0" w:num="1">
            <w:col w:w="9026"/>
          </w:cols>
          <w:docGrid w:linePitch="360" w:charSpace="0"/>
        </w:sectPr>
      </w:pPr>
    </w:p>
    <w:p w14:paraId="7291B829">
      <w:pPr>
        <w:spacing w:before="101" w:line="224" w:lineRule="auto"/>
        <w:ind w:left="4"/>
        <w:rPr>
          <w:rFonts w:ascii="宋体" w:hAnsi="宋体" w:eastAsia="宋体" w:cs="宋体"/>
          <w:sz w:val="30"/>
          <w:szCs w:val="30"/>
        </w:rPr>
      </w:pPr>
      <w:r>
        <w:rPr>
          <w:rFonts w:hint="eastAsia" w:ascii="宋体" w:hAnsi="宋体" w:eastAsia="宋体" w:cs="宋体"/>
          <w:b/>
          <w:bCs/>
          <w:spacing w:val="31"/>
          <w:sz w:val="30"/>
          <w:szCs w:val="30"/>
        </w:rPr>
        <w:t>附件2</w:t>
      </w:r>
    </w:p>
    <w:p w14:paraId="571FB7EF">
      <w:pPr>
        <w:spacing w:before="153" w:line="219" w:lineRule="auto"/>
        <w:ind w:left="926"/>
        <w:rPr>
          <w:rFonts w:ascii="宋体" w:hAnsi="宋体" w:eastAsia="宋体" w:cs="宋体"/>
          <w:sz w:val="30"/>
          <w:szCs w:val="30"/>
        </w:rPr>
      </w:pPr>
      <w:r>
        <w:rPr>
          <w:rFonts w:hint="eastAsia" w:ascii="宋体" w:hAnsi="宋体" w:eastAsia="宋体" w:cs="宋体"/>
          <w:b/>
          <w:bCs/>
          <w:spacing w:val="-8"/>
          <w:sz w:val="30"/>
          <w:szCs w:val="30"/>
        </w:rPr>
        <w:t>2022年食用农产品监督抽检工作要求</w:t>
      </w:r>
    </w:p>
    <w:p w14:paraId="780B5BAB">
      <w:pPr>
        <w:spacing w:before="101" w:line="341" w:lineRule="auto"/>
        <w:ind w:firstLine="649"/>
        <w:jc w:val="both"/>
        <w:rPr>
          <w:rFonts w:ascii="宋体" w:hAnsi="宋体" w:eastAsia="宋体" w:cs="宋体"/>
          <w:sz w:val="24"/>
          <w:szCs w:val="24"/>
        </w:rPr>
      </w:pPr>
      <w:r>
        <w:rPr>
          <w:rFonts w:hint="eastAsia" w:ascii="宋体" w:hAnsi="宋体" w:eastAsia="宋体" w:cs="宋体"/>
          <w:spacing w:val="9"/>
          <w:sz w:val="24"/>
          <w:szCs w:val="24"/>
        </w:rPr>
        <w:t>为规范食用农产品监督抽检工作，落实检管结合、溯源信息</w:t>
      </w:r>
      <w:r>
        <w:rPr>
          <w:rFonts w:hint="eastAsia" w:ascii="宋体" w:hAnsi="宋体" w:eastAsia="宋体" w:cs="宋体"/>
          <w:spacing w:val="3"/>
          <w:sz w:val="24"/>
          <w:szCs w:val="24"/>
        </w:rPr>
        <w:t>填报、均衡抽检等工作要求，提升食用农产品监督抽检工作质量，</w:t>
      </w:r>
      <w:r>
        <w:rPr>
          <w:rFonts w:hint="eastAsia" w:ascii="宋体" w:hAnsi="宋体" w:eastAsia="宋体" w:cs="宋体"/>
          <w:spacing w:val="4"/>
          <w:sz w:val="24"/>
          <w:szCs w:val="24"/>
        </w:rPr>
        <w:t>现就有关事项明确如下：</w:t>
      </w:r>
    </w:p>
    <w:p w14:paraId="4657CD88">
      <w:pPr>
        <w:spacing w:before="1" w:line="220" w:lineRule="auto"/>
        <w:ind w:left="734"/>
        <w:outlineLvl w:val="2"/>
        <w:rPr>
          <w:rFonts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spacing w:val="-83"/>
          <w:sz w:val="24"/>
          <w:szCs w:val="24"/>
        </w:rPr>
        <w:t xml:space="preserve"> </w:t>
      </w:r>
      <w:r>
        <w:rPr>
          <w:rFonts w:hint="eastAsia" w:ascii="宋体" w:hAnsi="宋体" w:eastAsia="宋体" w:cs="宋体"/>
          <w:b/>
          <w:bCs/>
          <w:sz w:val="24"/>
          <w:szCs w:val="24"/>
        </w:rPr>
        <w:t>、监管人员陪同抽样</w:t>
      </w:r>
    </w:p>
    <w:p w14:paraId="278F3073">
      <w:pPr>
        <w:spacing w:before="181" w:line="333" w:lineRule="auto"/>
        <w:ind w:right="128" w:firstLine="649"/>
        <w:jc w:val="both"/>
        <w:rPr>
          <w:rFonts w:ascii="宋体" w:hAnsi="宋体" w:eastAsia="宋体" w:cs="宋体"/>
          <w:sz w:val="24"/>
          <w:szCs w:val="24"/>
        </w:rPr>
      </w:pPr>
      <w:r>
        <w:rPr>
          <w:rFonts w:hint="eastAsia" w:ascii="宋体" w:hAnsi="宋体" w:eastAsia="宋体" w:cs="宋体"/>
          <w:spacing w:val="22"/>
          <w:sz w:val="24"/>
          <w:szCs w:val="24"/>
        </w:rPr>
        <w:t>食用农产品抽样可由任务下达市场监管部门自行抽样或委</w:t>
      </w:r>
      <w:r>
        <w:rPr>
          <w:rFonts w:hint="eastAsia" w:ascii="宋体" w:hAnsi="宋体" w:eastAsia="宋体" w:cs="宋体"/>
          <w:spacing w:val="9"/>
          <w:sz w:val="24"/>
          <w:szCs w:val="24"/>
        </w:rPr>
        <w:t>托承检机构抽样。委托抽样的，应由被抽样单位所在地辖区市场</w:t>
      </w:r>
      <w:r>
        <w:rPr>
          <w:rFonts w:hint="eastAsia" w:ascii="宋体" w:hAnsi="宋体" w:eastAsia="宋体" w:cs="宋体"/>
          <w:spacing w:val="20"/>
          <w:sz w:val="24"/>
          <w:szCs w:val="24"/>
        </w:rPr>
        <w:t>监管部门2名监管人员、抽样机构2名抽样人员共同抽样；抽样</w:t>
      </w:r>
      <w:r>
        <w:rPr>
          <w:rFonts w:hint="eastAsia" w:ascii="宋体" w:hAnsi="宋体" w:eastAsia="宋体" w:cs="宋体"/>
          <w:spacing w:val="9"/>
          <w:sz w:val="24"/>
          <w:szCs w:val="24"/>
        </w:rPr>
        <w:t>前，承检机构应与相关市场监管部门联系，明确拟抽样场</w:t>
      </w:r>
      <w:r>
        <w:rPr>
          <w:rFonts w:hint="eastAsia" w:ascii="宋体" w:hAnsi="宋体" w:eastAsia="宋体" w:cs="宋体"/>
          <w:spacing w:val="8"/>
          <w:sz w:val="24"/>
          <w:szCs w:val="24"/>
        </w:rPr>
        <w:t>所及日</w:t>
      </w:r>
      <w:r>
        <w:rPr>
          <w:rFonts w:hint="eastAsia" w:ascii="宋体" w:hAnsi="宋体" w:eastAsia="宋体" w:cs="宋体"/>
          <w:sz w:val="24"/>
          <w:szCs w:val="24"/>
        </w:rPr>
        <w:t xml:space="preserve"> </w:t>
      </w:r>
      <w:r>
        <w:rPr>
          <w:rFonts w:hint="eastAsia" w:ascii="宋体" w:hAnsi="宋体" w:eastAsia="宋体" w:cs="宋体"/>
          <w:spacing w:val="9"/>
          <w:sz w:val="24"/>
          <w:szCs w:val="24"/>
        </w:rPr>
        <w:t>期，属地市场监管部门应及时协调并安排监管人员陪同抽样。</w:t>
      </w:r>
    </w:p>
    <w:p w14:paraId="433897CA">
      <w:pPr>
        <w:spacing w:before="41" w:line="348" w:lineRule="auto"/>
        <w:ind w:right="129" w:firstLine="649"/>
        <w:jc w:val="both"/>
        <w:rPr>
          <w:rFonts w:ascii="宋体" w:hAnsi="宋体" w:eastAsia="宋体" w:cs="宋体"/>
          <w:sz w:val="24"/>
          <w:szCs w:val="24"/>
        </w:rPr>
      </w:pPr>
      <w:r>
        <w:rPr>
          <w:rFonts w:hint="eastAsia" w:ascii="宋体" w:hAnsi="宋体" w:eastAsia="宋体" w:cs="宋体"/>
          <w:spacing w:val="9"/>
          <w:sz w:val="24"/>
          <w:szCs w:val="24"/>
        </w:rPr>
        <w:t>抽样人员选定样品后，监管人员应对被抽样单位</w:t>
      </w:r>
      <w:r>
        <w:rPr>
          <w:rFonts w:hint="eastAsia" w:ascii="宋体" w:hAnsi="宋体" w:eastAsia="宋体" w:cs="宋体"/>
          <w:spacing w:val="8"/>
          <w:sz w:val="24"/>
          <w:szCs w:val="24"/>
        </w:rPr>
        <w:t>和个人依法</w:t>
      </w:r>
      <w:r>
        <w:rPr>
          <w:rFonts w:hint="eastAsia" w:ascii="宋体" w:hAnsi="宋体" w:eastAsia="宋体" w:cs="宋体"/>
          <w:spacing w:val="10"/>
          <w:sz w:val="24"/>
          <w:szCs w:val="24"/>
        </w:rPr>
        <w:t>经营、索证索票等进行现场检查，发现违反有关法律法规的行为</w:t>
      </w:r>
      <w:r>
        <w:rPr>
          <w:rFonts w:hint="eastAsia" w:ascii="宋体" w:hAnsi="宋体" w:eastAsia="宋体" w:cs="宋体"/>
          <w:spacing w:val="9"/>
          <w:sz w:val="24"/>
          <w:szCs w:val="24"/>
        </w:rPr>
        <w:t>应记录和取证并依法处罚。对符合抽检要求的，抽样人员和现场监管人员应共同在抽样单上签字，并在国家食品安全抽样检验信</w:t>
      </w:r>
      <w:r>
        <w:rPr>
          <w:rFonts w:hint="eastAsia" w:ascii="宋体" w:hAnsi="宋体" w:eastAsia="宋体" w:cs="宋体"/>
          <w:spacing w:val="20"/>
          <w:sz w:val="24"/>
          <w:szCs w:val="24"/>
        </w:rPr>
        <w:t>息系统(以下简称“国抽信息系统”)中输入抽样人员和监管人</w:t>
      </w:r>
      <w:r>
        <w:rPr>
          <w:rFonts w:hint="eastAsia" w:ascii="宋体" w:hAnsi="宋体" w:eastAsia="宋体" w:cs="宋体"/>
          <w:spacing w:val="21"/>
          <w:sz w:val="24"/>
          <w:szCs w:val="24"/>
        </w:rPr>
        <w:t>员姓名</w:t>
      </w:r>
      <w:r>
        <w:rPr>
          <w:rFonts w:hint="eastAsia" w:ascii="宋体" w:hAnsi="宋体" w:eastAsia="宋体" w:cs="宋体"/>
          <w:spacing w:val="-69"/>
          <w:sz w:val="24"/>
          <w:szCs w:val="24"/>
        </w:rPr>
        <w:t xml:space="preserve"> </w:t>
      </w:r>
      <w:r>
        <w:rPr>
          <w:rFonts w:hint="eastAsia" w:ascii="宋体" w:hAnsi="宋体" w:eastAsia="宋体" w:cs="宋体"/>
          <w:spacing w:val="21"/>
          <w:sz w:val="24"/>
          <w:szCs w:val="24"/>
        </w:rPr>
        <w:t>。</w:t>
      </w:r>
    </w:p>
    <w:p w14:paraId="13D8907D">
      <w:pPr>
        <w:spacing w:before="1" w:line="220" w:lineRule="auto"/>
        <w:ind w:left="774"/>
        <w:outlineLvl w:val="2"/>
        <w:rPr>
          <w:rFonts w:ascii="宋体" w:hAnsi="宋体" w:eastAsia="宋体" w:cs="宋体"/>
          <w:sz w:val="24"/>
          <w:szCs w:val="24"/>
        </w:rPr>
      </w:pPr>
      <w:r>
        <w:rPr>
          <w:rFonts w:hint="eastAsia" w:ascii="宋体" w:hAnsi="宋体" w:eastAsia="宋体" w:cs="宋体"/>
          <w:b/>
          <w:bCs/>
          <w:spacing w:val="6"/>
          <w:sz w:val="24"/>
          <w:szCs w:val="24"/>
        </w:rPr>
        <w:t>二、食用农产品溯源信息填报</w:t>
      </w:r>
    </w:p>
    <w:p w14:paraId="342D0D6A">
      <w:pPr>
        <w:spacing w:before="170" w:line="219" w:lineRule="auto"/>
        <w:ind w:left="719"/>
        <w:rPr>
          <w:rFonts w:ascii="宋体" w:hAnsi="宋体" w:eastAsia="宋体" w:cs="宋体"/>
          <w:sz w:val="24"/>
          <w:szCs w:val="24"/>
        </w:rPr>
      </w:pPr>
      <w:r>
        <w:rPr>
          <w:rFonts w:hint="eastAsia" w:ascii="宋体" w:hAnsi="宋体" w:eastAsia="宋体" w:cs="宋体"/>
          <w:spacing w:val="8"/>
          <w:sz w:val="24"/>
          <w:szCs w:val="24"/>
        </w:rPr>
        <w:t>食用农产品抽样应填写产地溯源信息，主要包括以下内容：</w:t>
      </w:r>
    </w:p>
    <w:p w14:paraId="56D9518A">
      <w:pPr>
        <w:spacing w:before="101" w:line="334" w:lineRule="auto"/>
        <w:ind w:right="254" w:firstLine="828" w:firstLineChars="300"/>
        <w:jc w:val="both"/>
        <w:rPr>
          <w:rFonts w:ascii="宋体" w:hAnsi="宋体" w:eastAsia="宋体" w:cs="宋体"/>
          <w:sz w:val="24"/>
          <w:szCs w:val="24"/>
        </w:rPr>
      </w:pPr>
      <w:r>
        <w:rPr>
          <w:rFonts w:hint="eastAsia" w:ascii="宋体" w:hAnsi="宋体" w:eastAsia="宋体" w:cs="宋体"/>
          <w:color w:val="472323"/>
          <w:spacing w:val="18"/>
          <w:sz w:val="24"/>
          <w:szCs w:val="24"/>
        </w:rPr>
        <w:t>(一)食用农产品抽样溯源信息，包括抽检样品的供应商名</w:t>
      </w:r>
      <w:r>
        <w:rPr>
          <w:rFonts w:hint="eastAsia" w:ascii="宋体" w:hAnsi="宋体" w:eastAsia="宋体" w:cs="宋体"/>
          <w:color w:val="472323"/>
          <w:spacing w:val="10"/>
          <w:sz w:val="24"/>
          <w:szCs w:val="24"/>
        </w:rPr>
        <w:t>称、地址、电话或生产者名称、地址等</w:t>
      </w:r>
      <w:r>
        <w:rPr>
          <w:rFonts w:hint="eastAsia" w:ascii="宋体" w:hAnsi="宋体" w:eastAsia="宋体" w:cs="宋体"/>
          <w:color w:val="2C3D56"/>
          <w:spacing w:val="10"/>
          <w:sz w:val="24"/>
          <w:szCs w:val="24"/>
        </w:rPr>
        <w:t>。</w:t>
      </w:r>
      <w:r>
        <w:rPr>
          <w:rFonts w:hint="eastAsia" w:ascii="宋体" w:hAnsi="宋体" w:eastAsia="宋体" w:cs="宋体"/>
          <w:color w:val="472323"/>
          <w:spacing w:val="10"/>
          <w:sz w:val="24"/>
          <w:szCs w:val="24"/>
        </w:rPr>
        <w:t>主要从样品标签，被抽</w:t>
      </w:r>
      <w:r>
        <w:rPr>
          <w:rFonts w:hint="eastAsia" w:ascii="宋体" w:hAnsi="宋体" w:eastAsia="宋体" w:cs="宋体"/>
          <w:spacing w:val="8"/>
          <w:sz w:val="24"/>
          <w:szCs w:val="24"/>
        </w:rPr>
        <w:t>样单位提供样品的动物检疫合格证明、肉品品质检验合格证、动</w:t>
      </w:r>
      <w:r>
        <w:rPr>
          <w:rFonts w:hint="eastAsia" w:ascii="宋体" w:hAnsi="宋体" w:eastAsia="宋体" w:cs="宋体"/>
          <w:spacing w:val="7"/>
          <w:sz w:val="24"/>
          <w:szCs w:val="24"/>
        </w:rPr>
        <w:t>物产品检疫验讫二维码、承诺达标合格证、入境货物检验检疫证</w:t>
      </w:r>
      <w:r>
        <w:rPr>
          <w:rFonts w:hint="eastAsia" w:ascii="宋体" w:hAnsi="宋体" w:eastAsia="宋体" w:cs="宋体"/>
          <w:spacing w:val="3"/>
          <w:sz w:val="24"/>
          <w:szCs w:val="24"/>
        </w:rPr>
        <w:t>明、进货票据等凭证获取。</w:t>
      </w:r>
    </w:p>
    <w:p w14:paraId="08EBFE86">
      <w:pPr>
        <w:spacing w:before="101" w:line="334" w:lineRule="auto"/>
        <w:ind w:right="254" w:firstLine="828" w:firstLineChars="300"/>
        <w:jc w:val="both"/>
        <w:rPr>
          <w:rFonts w:ascii="宋体" w:hAnsi="宋体" w:eastAsia="宋体" w:cs="宋体"/>
          <w:color w:val="472323"/>
          <w:spacing w:val="18"/>
          <w:sz w:val="24"/>
          <w:szCs w:val="24"/>
        </w:rPr>
      </w:pPr>
      <w:r>
        <w:rPr>
          <w:rFonts w:hint="eastAsia" w:ascii="宋体" w:hAnsi="宋体" w:eastAsia="宋体" w:cs="宋体"/>
          <w:color w:val="472323"/>
          <w:spacing w:val="18"/>
          <w:sz w:val="24"/>
          <w:szCs w:val="24"/>
        </w:rPr>
        <w:t>(二)抽样人员应严格按现场提供或确认的信息填写抽样单，有关溯源信息凭证应拍照并上传国抽信息系统。当溯源信息仅有生产者、供应商名称或证照编号(统一社会信用代码或注册号)时，可通过“国家企业信用公示系统”等平台查询缺失信息，并按实际情形备注说明。溯源信息不全时，被抽样单位至少要提供供应商姓名和联系电话。</w:t>
      </w:r>
    </w:p>
    <w:p w14:paraId="645C2918">
      <w:pPr>
        <w:spacing w:before="101" w:line="334" w:lineRule="auto"/>
        <w:ind w:right="254" w:firstLine="828" w:firstLineChars="300"/>
        <w:jc w:val="both"/>
        <w:rPr>
          <w:rFonts w:ascii="宋体" w:hAnsi="宋体" w:eastAsia="宋体" w:cs="宋体"/>
          <w:color w:val="472323"/>
          <w:spacing w:val="18"/>
          <w:sz w:val="24"/>
          <w:szCs w:val="24"/>
        </w:rPr>
      </w:pPr>
      <w:r>
        <w:rPr>
          <w:rFonts w:hint="eastAsia" w:ascii="宋体" w:hAnsi="宋体" w:eastAsia="宋体" w:cs="宋体"/>
          <w:color w:val="472323"/>
          <w:spacing w:val="18"/>
          <w:sz w:val="24"/>
          <w:szCs w:val="24"/>
        </w:rPr>
        <w:t>(三)案件稽查、事故调查、应急处置或在抽样现场发现有明显问题的食用农产品，可不受抽样数量、抽样地点、被抽样单位是否具备合法资质、销售产品是否提供溯源信息等限制；对需要开展不合格食用农产品跟踪抽检的，抽样单备注栏填写“此样品为跟踪抽检”。</w:t>
      </w:r>
    </w:p>
    <w:p w14:paraId="5CCD0E9E">
      <w:pPr>
        <w:spacing w:before="219" w:line="221" w:lineRule="auto"/>
        <w:ind w:left="764"/>
        <w:outlineLvl w:val="2"/>
        <w:rPr>
          <w:rFonts w:ascii="宋体" w:hAnsi="宋体" w:eastAsia="宋体" w:cs="宋体"/>
          <w:sz w:val="24"/>
          <w:szCs w:val="24"/>
        </w:rPr>
      </w:pPr>
      <w:r>
        <w:rPr>
          <w:rFonts w:hint="eastAsia" w:ascii="宋体" w:hAnsi="宋体" w:eastAsia="宋体" w:cs="宋体"/>
          <w:b/>
          <w:bCs/>
          <w:spacing w:val="4"/>
          <w:sz w:val="24"/>
          <w:szCs w:val="24"/>
        </w:rPr>
        <w:t>三、必检和自选品种及检验项目</w:t>
      </w:r>
    </w:p>
    <w:p w14:paraId="62C15E36">
      <w:pPr>
        <w:spacing w:before="163" w:line="339" w:lineRule="auto"/>
        <w:ind w:firstLine="689"/>
        <w:jc w:val="both"/>
        <w:rPr>
          <w:rFonts w:ascii="宋体" w:hAnsi="宋体" w:eastAsia="宋体" w:cs="宋体"/>
          <w:sz w:val="24"/>
          <w:szCs w:val="24"/>
        </w:rPr>
      </w:pPr>
      <w:r>
        <w:rPr>
          <w:rFonts w:hint="eastAsia" w:ascii="宋体" w:hAnsi="宋体" w:eastAsia="宋体" w:cs="宋体"/>
          <w:spacing w:val="16"/>
          <w:sz w:val="24"/>
          <w:szCs w:val="24"/>
        </w:rPr>
        <w:t>依据《食用农产品“治违禁控药残促提升”三年行动方案》</w:t>
      </w:r>
      <w:r>
        <w:rPr>
          <w:rFonts w:hint="eastAsia" w:ascii="宋体" w:hAnsi="宋体" w:eastAsia="宋体" w:cs="宋体"/>
          <w:spacing w:val="8"/>
          <w:sz w:val="24"/>
          <w:szCs w:val="24"/>
        </w:rPr>
        <w:t>及近三年全国食用农产品抽检监测情况，确定《2022年食用农产</w:t>
      </w:r>
      <w:r>
        <w:rPr>
          <w:rFonts w:hint="eastAsia" w:ascii="宋体" w:hAnsi="宋体" w:eastAsia="宋体" w:cs="宋体"/>
          <w:spacing w:val="25"/>
          <w:sz w:val="24"/>
          <w:szCs w:val="24"/>
        </w:rPr>
        <w:t>品必检品种、项目表》(见附件7)。地方各级市场监管部门开</w:t>
      </w:r>
      <w:r>
        <w:rPr>
          <w:rFonts w:hint="eastAsia" w:ascii="宋体" w:hAnsi="宋体" w:eastAsia="宋体" w:cs="宋体"/>
          <w:spacing w:val="8"/>
          <w:sz w:val="24"/>
          <w:szCs w:val="24"/>
        </w:rPr>
        <w:t>展食用农产品监督抽检应包括上表中所列品种及必检项目，同时结合监管实际选择不少于两个可选项目。市、县级市场监管部门</w:t>
      </w:r>
      <w:r>
        <w:rPr>
          <w:rFonts w:hint="eastAsia" w:ascii="宋体" w:hAnsi="宋体" w:eastAsia="宋体" w:cs="宋体"/>
          <w:spacing w:val="6"/>
          <w:sz w:val="24"/>
          <w:szCs w:val="24"/>
        </w:rPr>
        <w:t>可选项目应由省级市场监管部门食品抽检处</w:t>
      </w:r>
      <w:r>
        <w:rPr>
          <w:rFonts w:hint="eastAsia" w:ascii="宋体" w:hAnsi="宋体" w:eastAsia="宋体" w:cs="宋体"/>
          <w:spacing w:val="5"/>
          <w:sz w:val="24"/>
          <w:szCs w:val="24"/>
        </w:rPr>
        <w:t>室审核同意。</w:t>
      </w:r>
      <w:r>
        <w:rPr>
          <w:rFonts w:hint="eastAsia" w:ascii="宋体" w:hAnsi="宋体" w:eastAsia="宋体" w:cs="宋体"/>
          <w:spacing w:val="8"/>
          <w:sz w:val="24"/>
          <w:szCs w:val="24"/>
        </w:rPr>
        <w:t>在抽样品种上，应结合季节供应特点、当地食用习惯合理确</w:t>
      </w:r>
      <w:r>
        <w:rPr>
          <w:rFonts w:hint="eastAsia" w:ascii="宋体" w:hAnsi="宋体" w:eastAsia="宋体" w:cs="宋体"/>
          <w:spacing w:val="9"/>
          <w:sz w:val="24"/>
          <w:szCs w:val="24"/>
        </w:rPr>
        <w:t>定。应合理确定各类食用农产品的抽检比例和</w:t>
      </w:r>
      <w:r>
        <w:rPr>
          <w:rFonts w:hint="eastAsia" w:ascii="宋体" w:hAnsi="宋体" w:eastAsia="宋体" w:cs="宋体"/>
          <w:spacing w:val="8"/>
          <w:sz w:val="24"/>
          <w:szCs w:val="24"/>
        </w:rPr>
        <w:t>批次，杜绝对同一食用农产品反复抽检。在自选检验项目上，应根据当地既往抽检情况、食品安全标准要求、舆情信息、农兽药使用情况等进行确</w:t>
      </w:r>
      <w:r>
        <w:rPr>
          <w:rFonts w:hint="eastAsia" w:ascii="宋体" w:hAnsi="宋体" w:eastAsia="宋体" w:cs="宋体"/>
          <w:spacing w:val="-2"/>
          <w:sz w:val="24"/>
          <w:szCs w:val="24"/>
        </w:rPr>
        <w:t>定。</w:t>
      </w:r>
    </w:p>
    <w:p w14:paraId="60F93EB4">
      <w:pPr>
        <w:spacing w:line="222" w:lineRule="auto"/>
        <w:ind w:left="794"/>
        <w:outlineLvl w:val="2"/>
        <w:rPr>
          <w:rFonts w:ascii="宋体" w:hAnsi="宋体" w:eastAsia="宋体" w:cs="宋体"/>
          <w:sz w:val="24"/>
          <w:szCs w:val="24"/>
        </w:rPr>
      </w:pPr>
      <w:r>
        <w:rPr>
          <w:rFonts w:hint="eastAsia" w:ascii="宋体" w:hAnsi="宋体" w:eastAsia="宋体" w:cs="宋体"/>
          <w:b/>
          <w:bCs/>
          <w:spacing w:val="-1"/>
          <w:sz w:val="24"/>
          <w:szCs w:val="24"/>
        </w:rPr>
        <w:t>四、推进均衡抽检</w:t>
      </w:r>
    </w:p>
    <w:p w14:paraId="489543C2">
      <w:pPr>
        <w:spacing w:before="167" w:line="339" w:lineRule="auto"/>
        <w:ind w:firstLine="689"/>
        <w:jc w:val="both"/>
      </w:pPr>
      <w:r>
        <w:rPr>
          <w:rFonts w:hint="eastAsia" w:ascii="宋体" w:hAnsi="宋体" w:eastAsia="宋体" w:cs="宋体"/>
          <w:spacing w:val="20"/>
          <w:sz w:val="24"/>
          <w:szCs w:val="24"/>
        </w:rPr>
        <w:t>各级市场监管部门应根据本行政区域食用农产品生产销售</w:t>
      </w:r>
      <w:r>
        <w:rPr>
          <w:rFonts w:hint="eastAsia" w:ascii="宋体" w:hAnsi="宋体" w:eastAsia="宋体" w:cs="宋体"/>
          <w:spacing w:val="8"/>
          <w:sz w:val="24"/>
          <w:szCs w:val="24"/>
        </w:rPr>
        <w:t>的季节特点安排监督抽检任务，应重点抽取当季食用农产品，对</w:t>
      </w:r>
      <w:r>
        <w:rPr>
          <w:rFonts w:hint="eastAsia" w:ascii="宋体" w:hAnsi="宋体" w:eastAsia="宋体" w:cs="宋体"/>
          <w:spacing w:val="20"/>
          <w:sz w:val="24"/>
          <w:szCs w:val="24"/>
        </w:rPr>
        <w:t>不合格较多的食用农产品适当增加抽检频次。对食用农产品集</w:t>
      </w:r>
      <w:r>
        <w:rPr>
          <w:rFonts w:hint="eastAsia" w:ascii="宋体" w:hAnsi="宋体" w:eastAsia="宋体" w:cs="宋体"/>
          <w:spacing w:val="12"/>
          <w:sz w:val="24"/>
          <w:szCs w:val="24"/>
        </w:rPr>
        <w:t xml:space="preserve"> </w:t>
      </w:r>
      <w:r>
        <w:rPr>
          <w:rFonts w:hint="eastAsia" w:ascii="宋体" w:hAnsi="宋体" w:eastAsia="宋体" w:cs="宋体"/>
          <w:spacing w:val="8"/>
          <w:sz w:val="24"/>
          <w:szCs w:val="24"/>
        </w:rPr>
        <w:t>中交易市场的经营者尽可能抽检全覆盖</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BatangChe">
    <w:altName w:val="Malgun Gothic"/>
    <w:panose1 w:val="0203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879"/>
    </w:sdtPr>
    <w:sdtContent>
      <w:sdt>
        <w:sdtPr>
          <w:id w:val="147467787"/>
        </w:sdtPr>
        <w:sdtContent>
          <w:p w14:paraId="370C368E">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14:paraId="5F57E85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5165"/>
    </w:sdtPr>
    <w:sdtContent>
      <w:sdt>
        <w:sdtPr>
          <w:id w:val="147460866"/>
        </w:sdtPr>
        <w:sdtContent>
          <w:p w14:paraId="3BF7A3E0">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sdtContent>
      </w:sdt>
    </w:sdtContent>
  </w:sdt>
  <w:p w14:paraId="3DBFC45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EEF1">
    <w:pPr>
      <w:spacing w:before="1" w:line="234" w:lineRule="auto"/>
      <w:ind w:left="230"/>
      <w:rPr>
        <w:rFonts w:ascii="宋体" w:hAnsi="宋体" w:eastAsia="宋体" w:cs="宋体"/>
        <w:sz w:val="39"/>
        <w:szCs w:val="3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D73A2"/>
    <w:multiLevelType w:val="singleLevel"/>
    <w:tmpl w:val="9E4D73A2"/>
    <w:lvl w:ilvl="0" w:tentative="0">
      <w:start w:val="1"/>
      <w:numFmt w:val="decimal"/>
      <w:suff w:val="nothing"/>
      <w:lvlText w:val="%1、"/>
      <w:lvlJc w:val="left"/>
    </w:lvl>
  </w:abstractNum>
  <w:abstractNum w:abstractNumId="1">
    <w:nsid w:val="B5E306ED"/>
    <w:multiLevelType w:val="multilevel"/>
    <w:tmpl w:val="B5E306ED"/>
    <w:lvl w:ilvl="0" w:tentative="0">
      <w:start w:val="3"/>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C4A6176"/>
    <w:multiLevelType w:val="singleLevel"/>
    <w:tmpl w:val="0C4A6176"/>
    <w:lvl w:ilvl="0" w:tentative="0">
      <w:start w:val="1"/>
      <w:numFmt w:val="chineseCounting"/>
      <w:suff w:val="nothing"/>
      <w:lvlText w:val="%1、"/>
      <w:lvlJc w:val="left"/>
      <w:rPr>
        <w:rFonts w:hint="eastAsia"/>
      </w:rPr>
    </w:lvl>
  </w:abstractNum>
  <w:abstractNum w:abstractNumId="3">
    <w:nsid w:val="7FD6C5F3"/>
    <w:multiLevelType w:val="singleLevel"/>
    <w:tmpl w:val="7FD6C5F3"/>
    <w:lvl w:ilvl="0" w:tentative="0">
      <w:start w:val="7"/>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93EC5"/>
    <w:rsid w:val="33B93EC5"/>
    <w:rsid w:val="655A532F"/>
    <w:rsid w:val="7FE7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pPr>
    <w:rPr>
      <w:sz w:val="24"/>
      <w:szCs w:val="20"/>
    </w:rPr>
  </w:style>
  <w:style w:type="paragraph" w:styleId="4">
    <w:name w:val="footer"/>
    <w:basedOn w:val="1"/>
    <w:unhideWhenUsed/>
    <w:qFormat/>
    <w:uiPriority w:val="99"/>
    <w:pPr>
      <w:tabs>
        <w:tab w:val="center" w:pos="4153"/>
        <w:tab w:val="right" w:pos="8306"/>
      </w:tabs>
    </w:pPr>
    <w:rPr>
      <w:sz w:val="18"/>
      <w:szCs w:val="18"/>
    </w:rPr>
  </w:style>
  <w:style w:type="paragraph" w:styleId="5">
    <w:name w:val="Normal (Web)"/>
    <w:basedOn w:val="1"/>
    <w:uiPriority w:val="0"/>
    <w:rPr>
      <w:sz w:val="24"/>
    </w:rPr>
  </w:style>
  <w:style w:type="paragraph" w:styleId="6">
    <w:name w:val="Body Text First Indent 2"/>
    <w:basedOn w:val="3"/>
    <w:unhideWhenUsed/>
    <w:qFormat/>
    <w:uiPriority w:val="99"/>
    <w:pPr>
      <w:ind w:firstLine="420"/>
    </w:pPr>
  </w:style>
  <w:style w:type="paragraph" w:customStyle="1" w:styleId="9">
    <w:name w:val="标题 21"/>
    <w:basedOn w:val="10"/>
    <w:next w:val="17"/>
    <w:qFormat/>
    <w:uiPriority w:val="0"/>
    <w:pPr>
      <w:keepNext/>
      <w:keepLines/>
      <w:tabs>
        <w:tab w:val="left" w:pos="0"/>
      </w:tabs>
      <w:spacing w:before="50"/>
      <w:jc w:val="left"/>
      <w:outlineLvl w:val="1"/>
    </w:pPr>
    <w:rPr>
      <w:rFonts w:ascii="Arial" w:hAnsi="Arial" w:eastAsia="黑体"/>
      <w:sz w:val="32"/>
      <w:szCs w:val="20"/>
    </w:rPr>
  </w:style>
  <w:style w:type="paragraph" w:customStyle="1" w:styleId="10">
    <w:name w:val="正文111"/>
    <w:next w:val="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
    <w:name w:val="正文文本1"/>
    <w:basedOn w:val="12"/>
    <w:next w:val="10"/>
    <w:qFormat/>
    <w:uiPriority w:val="0"/>
    <w:rPr>
      <w:rFonts w:eastAsia="黑体"/>
      <w:b/>
      <w:bCs/>
      <w:spacing w:val="20"/>
      <w:sz w:val="56"/>
    </w:rPr>
  </w:style>
  <w:style w:type="paragraph" w:customStyle="1" w:styleId="12">
    <w:name w:val="正文1"/>
    <w:basedOn w:val="13"/>
    <w:next w:val="11"/>
    <w:qFormat/>
    <w:uiPriority w:val="0"/>
    <w:pPr>
      <w:spacing w:line="360" w:lineRule="atLeast"/>
    </w:pPr>
    <w:rPr>
      <w:rFonts w:ascii="宋体"/>
      <w:sz w:val="24"/>
      <w:szCs w:val="20"/>
    </w:rPr>
  </w:style>
  <w:style w:type="paragraph" w:customStyle="1" w:styleId="13">
    <w:name w:val="正文11"/>
    <w:next w:val="1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正文首行缩进 21"/>
    <w:basedOn w:val="15"/>
    <w:qFormat/>
    <w:uiPriority w:val="0"/>
    <w:pPr>
      <w:spacing w:after="0" w:line="360" w:lineRule="auto"/>
      <w:ind w:left="0" w:firstLine="420"/>
    </w:pPr>
    <w:rPr>
      <w:rFonts w:ascii="宋体" w:hAnsi="宋体"/>
      <w:sz w:val="20"/>
      <w:szCs w:val="20"/>
    </w:rPr>
  </w:style>
  <w:style w:type="paragraph" w:customStyle="1" w:styleId="15">
    <w:name w:val="正文文本缩进1"/>
    <w:basedOn w:val="13"/>
    <w:next w:val="16"/>
    <w:qFormat/>
    <w:uiPriority w:val="0"/>
    <w:pPr>
      <w:spacing w:after="120"/>
      <w:ind w:left="420"/>
    </w:pPr>
  </w:style>
  <w:style w:type="paragraph" w:customStyle="1" w:styleId="16">
    <w:name w:val="寄信人地址1"/>
    <w:basedOn w:val="13"/>
    <w:qFormat/>
    <w:uiPriority w:val="0"/>
    <w:pPr>
      <w:ind w:firstLine="200"/>
    </w:pPr>
    <w:rPr>
      <w:rFonts w:ascii="Arial" w:hAnsi="Arial" w:eastAsia="仿宋_GB2312"/>
    </w:rPr>
  </w:style>
  <w:style w:type="paragraph" w:customStyle="1" w:styleId="17">
    <w:name w:val="标题 31"/>
    <w:basedOn w:val="10"/>
    <w:next w:val="10"/>
    <w:qFormat/>
    <w:uiPriority w:val="0"/>
    <w:pPr>
      <w:keepNext/>
      <w:keepLines/>
      <w:spacing w:before="260" w:after="260" w:line="416" w:lineRule="auto"/>
      <w:outlineLvl w:val="2"/>
    </w:pPr>
    <w:rPr>
      <w:b/>
      <w:bCs/>
      <w:sz w:val="32"/>
      <w:szCs w:val="32"/>
    </w:rPr>
  </w:style>
  <w:style w:type="paragraph" w:styleId="18">
    <w:name w:val="List Paragraph"/>
    <w:basedOn w:val="13"/>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2910</Words>
  <Characters>3008</Characters>
  <Lines>0</Lines>
  <Paragraphs>0</Paragraphs>
  <TotalTime>2</TotalTime>
  <ScaleCrop>false</ScaleCrop>
  <LinksUpToDate>false</LinksUpToDate>
  <CharactersWithSpaces>3018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2025-05-08T09:40:00Z</dcterms:created>
  <dc:creator>斯嘉</dc:creator>
  <cp:lastModifiedBy>斯嘉</cp:lastModifiedBy>
  <dcterms:modified xsi:type="dcterms:W3CDTF">2025-05-08T12:42:44Z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5503549146BF4420B518E45F0AA10704_11</vt:lpwstr>
  </property>
  <property fmtid="{D5CDD505-2E9C-101B-9397-08002B2CF9AE}" pid="4" name="KSOTemplateDocerSaveRecord">
    <vt:lpwstr>eyJoZGlkIjoiY2M5M2FkNTI1ZGE3YjVmNGQ5NGUyOTJkNjI3YTRlOTEiLCJ1c2VySWQiOiIxMTM1NDU4MTc1In0=</vt:lpwstr>
  </property>
</Properties>
</file>