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52131">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如有建议或意见，请以书面形式并加盖公章、注明联系人、联系方式，于202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日17:00 之前送至我单位，逾期不受理（如邮寄，202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日17:00 之后到达本公司的邮件将不再受理）。</w:t>
      </w:r>
    </w:p>
    <w:p w14:paraId="3BE31982">
      <w:pPr>
        <w:rPr>
          <w:rFonts w:hint="eastAsia" w:ascii="宋体" w:hAnsi="宋体" w:eastAsia="宋体" w:cs="宋体"/>
          <w:sz w:val="24"/>
          <w:szCs w:val="24"/>
          <w:highlight w:val="none"/>
        </w:rPr>
      </w:pPr>
    </w:p>
    <w:p w14:paraId="6A0356D9">
      <w:pPr>
        <w:rPr>
          <w:rFonts w:hint="eastAsia" w:ascii="宋体" w:hAnsi="宋体" w:eastAsia="宋体" w:cs="宋体"/>
          <w:sz w:val="24"/>
          <w:szCs w:val="24"/>
          <w:highlight w:val="none"/>
        </w:rPr>
      </w:pPr>
    </w:p>
    <w:p w14:paraId="3915A633">
      <w:pPr>
        <w:rPr>
          <w:rFonts w:hint="eastAsia" w:ascii="宋体" w:hAnsi="宋体" w:eastAsia="宋体" w:cs="宋体"/>
          <w:sz w:val="24"/>
          <w:szCs w:val="24"/>
          <w:highlight w:val="none"/>
        </w:rPr>
      </w:pPr>
    </w:p>
    <w:p w14:paraId="03B396E4">
      <w:pPr>
        <w:rPr>
          <w:rFonts w:hint="eastAsia" w:ascii="宋体" w:hAnsi="宋体" w:eastAsia="宋体" w:cs="宋体"/>
          <w:sz w:val="24"/>
          <w:szCs w:val="24"/>
          <w:highlight w:val="none"/>
        </w:rPr>
      </w:pPr>
    </w:p>
    <w:p w14:paraId="43E12D30">
      <w:pPr>
        <w:rPr>
          <w:rFonts w:hint="eastAsia" w:ascii="宋体" w:hAnsi="宋体" w:eastAsia="宋体" w:cs="宋体"/>
          <w:sz w:val="24"/>
          <w:szCs w:val="24"/>
          <w:highlight w:val="none"/>
        </w:rPr>
      </w:pPr>
    </w:p>
    <w:p w14:paraId="37D9A826">
      <w:pPr>
        <w:rPr>
          <w:rFonts w:hint="eastAsia" w:ascii="宋体" w:hAnsi="宋体" w:eastAsia="宋体" w:cs="宋体"/>
          <w:sz w:val="24"/>
          <w:szCs w:val="24"/>
          <w:highlight w:val="none"/>
        </w:rPr>
      </w:pPr>
    </w:p>
    <w:p w14:paraId="2DB4C772">
      <w:pPr>
        <w:rPr>
          <w:rFonts w:hint="eastAsia" w:ascii="宋体" w:hAnsi="宋体" w:eastAsia="宋体" w:cs="宋体"/>
          <w:sz w:val="24"/>
          <w:szCs w:val="24"/>
          <w:highlight w:val="none"/>
        </w:rPr>
      </w:pPr>
    </w:p>
    <w:p w14:paraId="135DBB3A">
      <w:pPr>
        <w:rPr>
          <w:rFonts w:hint="eastAsia" w:ascii="宋体" w:hAnsi="宋体" w:eastAsia="宋体" w:cs="宋体"/>
          <w:sz w:val="24"/>
          <w:szCs w:val="24"/>
          <w:highlight w:val="none"/>
        </w:rPr>
      </w:pPr>
    </w:p>
    <w:p w14:paraId="776370D1">
      <w:pPr>
        <w:rPr>
          <w:rFonts w:hint="eastAsia" w:ascii="宋体" w:hAnsi="宋体" w:eastAsia="宋体" w:cs="宋体"/>
          <w:sz w:val="24"/>
          <w:szCs w:val="24"/>
          <w:highlight w:val="none"/>
        </w:rPr>
      </w:pPr>
    </w:p>
    <w:p w14:paraId="4579BECC">
      <w:pPr>
        <w:rPr>
          <w:rFonts w:hint="eastAsia" w:ascii="宋体" w:hAnsi="宋体" w:eastAsia="宋体" w:cs="宋体"/>
          <w:sz w:val="24"/>
          <w:szCs w:val="24"/>
          <w:highlight w:val="none"/>
        </w:rPr>
      </w:pPr>
    </w:p>
    <w:p w14:paraId="1822B1F6">
      <w:pPr>
        <w:rPr>
          <w:rFonts w:hint="eastAsia" w:ascii="宋体" w:hAnsi="宋体" w:eastAsia="宋体" w:cs="宋体"/>
          <w:sz w:val="24"/>
          <w:szCs w:val="24"/>
          <w:highlight w:val="none"/>
        </w:rPr>
      </w:pPr>
    </w:p>
    <w:p w14:paraId="0590EBC5">
      <w:pPr>
        <w:rPr>
          <w:rFonts w:hint="eastAsia" w:ascii="宋体" w:hAnsi="宋体" w:eastAsia="宋体" w:cs="宋体"/>
          <w:sz w:val="24"/>
          <w:szCs w:val="24"/>
          <w:highlight w:val="none"/>
        </w:rPr>
      </w:pPr>
    </w:p>
    <w:p w14:paraId="172A14DC">
      <w:pPr>
        <w:rPr>
          <w:rFonts w:hint="eastAsia" w:ascii="宋体" w:hAnsi="宋体" w:eastAsia="宋体" w:cs="宋体"/>
          <w:sz w:val="24"/>
          <w:szCs w:val="24"/>
          <w:highlight w:val="none"/>
        </w:rPr>
      </w:pPr>
    </w:p>
    <w:p w14:paraId="0A24D88D">
      <w:pPr>
        <w:rPr>
          <w:rFonts w:hint="eastAsia" w:ascii="宋体" w:hAnsi="宋体" w:eastAsia="宋体" w:cs="宋体"/>
          <w:sz w:val="24"/>
          <w:szCs w:val="24"/>
          <w:highlight w:val="none"/>
        </w:rPr>
      </w:pPr>
    </w:p>
    <w:p w14:paraId="1E939088">
      <w:pPr>
        <w:rPr>
          <w:rFonts w:hint="eastAsia" w:ascii="宋体" w:hAnsi="宋体" w:eastAsia="宋体" w:cs="宋体"/>
          <w:sz w:val="24"/>
          <w:szCs w:val="24"/>
          <w:highlight w:val="none"/>
        </w:rPr>
      </w:pPr>
    </w:p>
    <w:p w14:paraId="57C28CB4">
      <w:pPr>
        <w:rPr>
          <w:rFonts w:hint="eastAsia" w:ascii="宋体" w:hAnsi="宋体" w:eastAsia="宋体" w:cs="宋体"/>
          <w:sz w:val="24"/>
          <w:szCs w:val="24"/>
          <w:highlight w:val="none"/>
        </w:rPr>
      </w:pPr>
    </w:p>
    <w:p w14:paraId="1AA0E7C0">
      <w:pPr>
        <w:rPr>
          <w:rFonts w:hint="eastAsia" w:ascii="宋体" w:hAnsi="宋体" w:eastAsia="宋体" w:cs="宋体"/>
          <w:sz w:val="24"/>
          <w:szCs w:val="24"/>
          <w:highlight w:val="none"/>
        </w:rPr>
      </w:pPr>
    </w:p>
    <w:p w14:paraId="7DD2FB9E">
      <w:pPr>
        <w:rPr>
          <w:rFonts w:hint="eastAsia" w:ascii="宋体" w:hAnsi="宋体" w:eastAsia="宋体" w:cs="宋体"/>
          <w:sz w:val="24"/>
          <w:szCs w:val="24"/>
          <w:highlight w:val="none"/>
        </w:rPr>
      </w:pPr>
    </w:p>
    <w:p w14:paraId="3E048823">
      <w:pPr>
        <w:rPr>
          <w:rFonts w:hint="eastAsia" w:ascii="宋体" w:hAnsi="宋体" w:eastAsia="宋体" w:cs="宋体"/>
          <w:sz w:val="24"/>
          <w:szCs w:val="24"/>
          <w:highlight w:val="none"/>
        </w:rPr>
      </w:pPr>
    </w:p>
    <w:p w14:paraId="56D4EC77">
      <w:pPr>
        <w:rPr>
          <w:rFonts w:hint="eastAsia" w:ascii="宋体" w:hAnsi="宋体" w:eastAsia="宋体" w:cs="宋体"/>
          <w:sz w:val="24"/>
          <w:szCs w:val="24"/>
          <w:highlight w:val="none"/>
        </w:rPr>
      </w:pPr>
    </w:p>
    <w:p w14:paraId="5B5BCE73">
      <w:pPr>
        <w:rPr>
          <w:rFonts w:hint="eastAsia" w:ascii="宋体" w:hAnsi="宋体" w:eastAsia="宋体" w:cs="宋体"/>
          <w:sz w:val="24"/>
          <w:szCs w:val="24"/>
          <w:highlight w:val="none"/>
        </w:rPr>
      </w:pPr>
    </w:p>
    <w:p w14:paraId="112C8BA7">
      <w:pPr>
        <w:rPr>
          <w:rFonts w:hint="eastAsia" w:ascii="宋体" w:hAnsi="宋体" w:eastAsia="宋体" w:cs="宋体"/>
          <w:sz w:val="24"/>
          <w:szCs w:val="24"/>
          <w:highlight w:val="none"/>
        </w:rPr>
      </w:pPr>
    </w:p>
    <w:p w14:paraId="7DE12928">
      <w:pPr>
        <w:rPr>
          <w:rFonts w:hint="eastAsia" w:ascii="宋体" w:hAnsi="宋体" w:eastAsia="宋体" w:cs="宋体"/>
          <w:sz w:val="24"/>
          <w:szCs w:val="24"/>
          <w:highlight w:val="none"/>
        </w:rPr>
      </w:pPr>
    </w:p>
    <w:p w14:paraId="7CAB3881">
      <w:pPr>
        <w:rPr>
          <w:rFonts w:hint="eastAsia" w:ascii="宋体" w:hAnsi="宋体" w:eastAsia="宋体" w:cs="宋体"/>
          <w:sz w:val="24"/>
          <w:szCs w:val="24"/>
          <w:highlight w:val="none"/>
        </w:rPr>
      </w:pPr>
    </w:p>
    <w:p w14:paraId="25840962">
      <w:pPr>
        <w:rPr>
          <w:rFonts w:hint="eastAsia" w:ascii="宋体" w:hAnsi="宋体" w:eastAsia="宋体" w:cs="宋体"/>
          <w:sz w:val="24"/>
          <w:szCs w:val="24"/>
          <w:highlight w:val="none"/>
        </w:rPr>
      </w:pPr>
    </w:p>
    <w:p w14:paraId="5803569D">
      <w:pPr>
        <w:rPr>
          <w:rFonts w:hint="eastAsia" w:ascii="宋体" w:hAnsi="宋体" w:eastAsia="宋体" w:cs="宋体"/>
          <w:sz w:val="24"/>
          <w:szCs w:val="24"/>
          <w:highlight w:val="none"/>
        </w:rPr>
      </w:pPr>
    </w:p>
    <w:p w14:paraId="28F1AF6E">
      <w:pPr>
        <w:rPr>
          <w:rFonts w:hint="eastAsia" w:ascii="宋体" w:hAnsi="宋体" w:eastAsia="宋体" w:cs="宋体"/>
          <w:sz w:val="24"/>
          <w:szCs w:val="24"/>
          <w:highlight w:val="none"/>
        </w:rPr>
      </w:pPr>
    </w:p>
    <w:p w14:paraId="1C808527">
      <w:pPr>
        <w:rPr>
          <w:rFonts w:hint="eastAsia" w:ascii="宋体" w:hAnsi="宋体" w:eastAsia="宋体" w:cs="宋体"/>
          <w:sz w:val="24"/>
          <w:szCs w:val="24"/>
          <w:highlight w:val="none"/>
        </w:rPr>
      </w:pPr>
    </w:p>
    <w:p w14:paraId="5FCF81E3">
      <w:pPr>
        <w:rPr>
          <w:rFonts w:hint="eastAsia" w:ascii="宋体" w:hAnsi="宋体" w:eastAsia="宋体" w:cs="宋体"/>
          <w:sz w:val="24"/>
          <w:szCs w:val="24"/>
          <w:highlight w:val="none"/>
        </w:rPr>
      </w:pPr>
    </w:p>
    <w:p w14:paraId="256F45C4">
      <w:pPr>
        <w:rPr>
          <w:rFonts w:hint="eastAsia" w:ascii="宋体" w:hAnsi="宋体" w:eastAsia="宋体" w:cs="宋体"/>
          <w:sz w:val="24"/>
          <w:szCs w:val="24"/>
          <w:highlight w:val="none"/>
        </w:rPr>
      </w:pPr>
    </w:p>
    <w:p w14:paraId="1F2816A6">
      <w:pPr>
        <w:rPr>
          <w:rFonts w:hint="eastAsia" w:ascii="宋体" w:hAnsi="宋体" w:eastAsia="宋体" w:cs="宋体"/>
          <w:sz w:val="24"/>
          <w:szCs w:val="24"/>
          <w:highlight w:val="none"/>
        </w:rPr>
      </w:pPr>
    </w:p>
    <w:p w14:paraId="34D80C8A">
      <w:pPr>
        <w:rPr>
          <w:rFonts w:hint="eastAsia" w:ascii="宋体" w:hAnsi="宋体" w:eastAsia="宋体" w:cs="宋体"/>
          <w:sz w:val="24"/>
          <w:szCs w:val="24"/>
          <w:highlight w:val="none"/>
        </w:rPr>
      </w:pPr>
    </w:p>
    <w:p w14:paraId="4D504A8D">
      <w:pPr>
        <w:rPr>
          <w:rFonts w:hint="eastAsia" w:ascii="宋体" w:hAnsi="宋体" w:eastAsia="宋体" w:cs="宋体"/>
          <w:sz w:val="24"/>
          <w:szCs w:val="24"/>
          <w:highlight w:val="none"/>
        </w:rPr>
      </w:pPr>
    </w:p>
    <w:p w14:paraId="054F38A3">
      <w:pPr>
        <w:rPr>
          <w:rFonts w:hint="eastAsia" w:ascii="宋体" w:hAnsi="宋体" w:eastAsia="宋体" w:cs="宋体"/>
          <w:sz w:val="24"/>
          <w:szCs w:val="24"/>
          <w:highlight w:val="none"/>
        </w:rPr>
      </w:pPr>
    </w:p>
    <w:p w14:paraId="7C487955">
      <w:pPr>
        <w:rPr>
          <w:rFonts w:hint="eastAsia" w:ascii="宋体" w:hAnsi="宋体" w:eastAsia="宋体" w:cs="宋体"/>
          <w:sz w:val="24"/>
          <w:szCs w:val="24"/>
          <w:highlight w:val="none"/>
        </w:rPr>
      </w:pPr>
    </w:p>
    <w:p w14:paraId="54418B92">
      <w:pPr>
        <w:rPr>
          <w:rFonts w:hint="eastAsia" w:ascii="宋体" w:hAnsi="宋体" w:eastAsia="宋体" w:cs="宋体"/>
          <w:sz w:val="24"/>
          <w:szCs w:val="24"/>
          <w:highlight w:val="none"/>
        </w:rPr>
      </w:pPr>
    </w:p>
    <w:p w14:paraId="5F032F3F">
      <w:pPr>
        <w:rPr>
          <w:rFonts w:hint="eastAsia" w:ascii="宋体" w:hAnsi="宋体" w:eastAsia="宋体" w:cs="宋体"/>
          <w:sz w:val="24"/>
          <w:szCs w:val="24"/>
          <w:highlight w:val="none"/>
        </w:rPr>
      </w:pPr>
    </w:p>
    <w:p w14:paraId="641F353A">
      <w:pPr>
        <w:rPr>
          <w:rFonts w:hint="eastAsia" w:ascii="宋体" w:hAnsi="宋体" w:eastAsia="宋体" w:cs="宋体"/>
          <w:sz w:val="24"/>
          <w:szCs w:val="24"/>
          <w:highlight w:val="none"/>
        </w:rPr>
      </w:pPr>
    </w:p>
    <w:p w14:paraId="312C03E9">
      <w:pPr>
        <w:rPr>
          <w:rFonts w:hint="eastAsia" w:ascii="宋体" w:hAnsi="宋体" w:eastAsia="宋体" w:cs="宋体"/>
          <w:sz w:val="24"/>
          <w:szCs w:val="24"/>
          <w:highlight w:val="none"/>
        </w:rPr>
      </w:pPr>
    </w:p>
    <w:p w14:paraId="1459118A">
      <w:pPr>
        <w:rPr>
          <w:rFonts w:hint="eastAsia" w:ascii="宋体" w:hAnsi="宋体" w:eastAsia="宋体" w:cs="宋体"/>
          <w:sz w:val="24"/>
          <w:szCs w:val="24"/>
          <w:highlight w:val="none"/>
        </w:rPr>
      </w:pPr>
    </w:p>
    <w:p w14:paraId="133D1196">
      <w:pPr>
        <w:tabs>
          <w:tab w:val="left" w:pos="1703"/>
        </w:tabs>
        <w:jc w:val="center"/>
        <w:rPr>
          <w:rFonts w:ascii="宋体" w:hAnsi="宋体" w:cs="宋体"/>
          <w:sz w:val="24"/>
          <w:highlight w:val="none"/>
        </w:rPr>
      </w:pPr>
      <w:r>
        <w:rPr>
          <w:rFonts w:hint="eastAsia" w:ascii="宋体" w:hAnsi="宋体" w:cs="宋体"/>
          <w:b/>
          <w:bCs/>
          <w:sz w:val="36"/>
          <w:szCs w:val="36"/>
          <w:highlight w:val="none"/>
        </w:rPr>
        <w:t>采购需求</w:t>
      </w:r>
    </w:p>
    <w:p w14:paraId="28D8531A">
      <w:pPr>
        <w:pStyle w:val="29"/>
        <w:rPr>
          <w:rFonts w:ascii="宋体" w:hAnsi="宋体" w:cs="宋体"/>
          <w:highlight w:val="none"/>
        </w:rPr>
      </w:pPr>
    </w:p>
    <w:p w14:paraId="2AFB4D44">
      <w:pPr>
        <w:pStyle w:val="30"/>
        <w:widowControl/>
        <w:spacing w:before="0" w:beforeAutospacing="0" w:after="120" w:afterAutospacing="0" w:line="360" w:lineRule="auto"/>
        <w:ind w:firstLine="482"/>
        <w:outlineLvl w:val="0"/>
        <w:rPr>
          <w:rFonts w:cs="宋体"/>
          <w:b/>
          <w:bCs/>
          <w:highlight w:val="none"/>
        </w:rPr>
      </w:pPr>
      <w:r>
        <w:rPr>
          <w:rStyle w:val="32"/>
          <w:rFonts w:hint="eastAsia" w:ascii="宋体" w:hAnsi="宋体" w:cs="宋体"/>
          <w:b/>
          <w:bCs/>
          <w:sz w:val="24"/>
          <w:szCs w:val="24"/>
          <w:highlight w:val="none"/>
        </w:rPr>
        <w:t>一、说明</w:t>
      </w:r>
    </w:p>
    <w:p w14:paraId="135749E6">
      <w:pPr>
        <w:pStyle w:val="30"/>
        <w:widowControl/>
        <w:spacing w:before="0" w:beforeAutospacing="0" w:after="120" w:afterAutospacing="0" w:line="360" w:lineRule="auto"/>
        <w:ind w:firstLine="480"/>
        <w:rPr>
          <w:rFonts w:cs="宋体"/>
          <w:highlight w:val="none"/>
        </w:rPr>
      </w:pPr>
      <w:r>
        <w:rPr>
          <w:rStyle w:val="32"/>
          <w:rFonts w:hint="eastAsia" w:ascii="宋体" w:hAnsi="宋体" w:cs="宋体"/>
          <w:sz w:val="24"/>
          <w:szCs w:val="24"/>
          <w:highlight w:val="none"/>
        </w:rPr>
        <w:t>1、项目名称：</w:t>
      </w:r>
      <w:r>
        <w:rPr>
          <w:rStyle w:val="32"/>
          <w:rFonts w:hint="eastAsia" w:ascii="宋体" w:hAnsi="宋体" w:cs="宋体"/>
          <w:sz w:val="24"/>
          <w:szCs w:val="24"/>
          <w:highlight w:val="none"/>
          <w:lang w:val="en-US" w:eastAsia="zh-CN"/>
        </w:rPr>
        <w:t>贾汪区2025年度智能垃圾分类房项目</w:t>
      </w:r>
    </w:p>
    <w:p w14:paraId="742DBF5B">
      <w:pPr>
        <w:pStyle w:val="30"/>
        <w:widowControl/>
        <w:tabs>
          <w:tab w:val="left" w:pos="2310"/>
        </w:tabs>
        <w:spacing w:before="0" w:beforeAutospacing="0" w:after="120" w:afterAutospacing="0" w:line="360" w:lineRule="auto"/>
        <w:ind w:firstLine="480"/>
        <w:rPr>
          <w:rStyle w:val="32"/>
          <w:rFonts w:hint="eastAsia" w:ascii="宋体" w:hAnsi="宋体" w:cs="宋体"/>
          <w:sz w:val="24"/>
          <w:szCs w:val="24"/>
          <w:highlight w:val="none"/>
        </w:rPr>
      </w:pPr>
      <w:r>
        <w:rPr>
          <w:rStyle w:val="32"/>
          <w:rFonts w:hint="eastAsia" w:ascii="宋体" w:hAnsi="宋体" w:cs="宋体"/>
          <w:sz w:val="24"/>
          <w:szCs w:val="24"/>
          <w:highlight w:val="none"/>
        </w:rPr>
        <w:t>2、项目地点：徐州市贾汪区</w:t>
      </w:r>
    </w:p>
    <w:p w14:paraId="181E3B7B">
      <w:pPr>
        <w:pStyle w:val="30"/>
        <w:widowControl/>
        <w:spacing w:before="0" w:beforeAutospacing="0" w:after="120" w:afterAutospacing="0" w:line="360" w:lineRule="auto"/>
        <w:ind w:firstLine="480"/>
        <w:rPr>
          <w:rStyle w:val="32"/>
          <w:rFonts w:hint="eastAsia" w:ascii="宋体" w:hAnsi="宋体" w:eastAsia="宋体" w:cs="宋体"/>
          <w:sz w:val="24"/>
          <w:szCs w:val="24"/>
          <w:highlight w:val="none"/>
          <w:lang w:val="en-US" w:eastAsia="zh-CN"/>
        </w:rPr>
      </w:pPr>
      <w:r>
        <w:rPr>
          <w:rStyle w:val="32"/>
          <w:rFonts w:hint="eastAsia" w:eastAsia="宋体" w:cs="宋体"/>
          <w:sz w:val="24"/>
          <w:szCs w:val="24"/>
          <w:highlight w:val="none"/>
          <w:lang w:val="en-US" w:eastAsia="zh-CN"/>
        </w:rPr>
        <w:t>3、合同签订后30日历天内，供应商应保证在要求时间内完成全部货物的供货、安装、调试和培训工作,符合国家标准、行业规范和合同等相关文件的要求。</w:t>
      </w:r>
    </w:p>
    <w:p w14:paraId="05B91817">
      <w:pPr>
        <w:spacing w:line="360" w:lineRule="auto"/>
        <w:ind w:firstLine="480"/>
        <w:rPr>
          <w:rStyle w:val="32"/>
          <w:rFonts w:ascii="宋体" w:hAnsi="宋体" w:cs="宋体"/>
          <w:sz w:val="24"/>
          <w:szCs w:val="24"/>
          <w:highlight w:val="none"/>
        </w:rPr>
      </w:pPr>
      <w:r>
        <w:rPr>
          <w:rStyle w:val="32"/>
          <w:rFonts w:hint="eastAsia" w:ascii="宋体" w:hAnsi="宋体" w:cs="宋体"/>
          <w:sz w:val="24"/>
          <w:szCs w:val="24"/>
          <w:highlight w:val="none"/>
        </w:rPr>
        <w:t>4、项目采购预算金额：</w:t>
      </w:r>
      <w:r>
        <w:rPr>
          <w:rStyle w:val="32"/>
          <w:rFonts w:ascii="宋体" w:hAnsi="宋体" w:cs="宋体"/>
          <w:sz w:val="24"/>
          <w:szCs w:val="24"/>
          <w:highlight w:val="none"/>
        </w:rPr>
        <w:t>本项目采购预算总金额</w:t>
      </w:r>
      <w:r>
        <w:rPr>
          <w:rStyle w:val="32"/>
          <w:rFonts w:hint="eastAsia" w:ascii="宋体" w:hAnsi="宋体" w:eastAsia="宋体" w:cs="宋体"/>
          <w:sz w:val="24"/>
          <w:szCs w:val="24"/>
          <w:highlight w:val="none"/>
          <w:lang w:val="en-US" w:eastAsia="zh-CN"/>
        </w:rPr>
        <w:t>100</w:t>
      </w:r>
      <w:r>
        <w:rPr>
          <w:rStyle w:val="32"/>
          <w:rFonts w:ascii="宋体" w:hAnsi="宋体" w:cs="宋体"/>
          <w:sz w:val="24"/>
          <w:szCs w:val="24"/>
          <w:highlight w:val="none"/>
        </w:rPr>
        <w:t>万元人民币</w:t>
      </w:r>
      <w:r>
        <w:rPr>
          <w:rStyle w:val="32"/>
          <w:rFonts w:hint="eastAsia" w:ascii="宋体" w:hAnsi="宋体" w:eastAsia="宋体" w:cs="宋体"/>
          <w:sz w:val="24"/>
          <w:szCs w:val="24"/>
          <w:highlight w:val="none"/>
          <w:lang w:val="en-US" w:eastAsia="zh-CN"/>
        </w:rPr>
        <w:t>,</w:t>
      </w:r>
      <w:r>
        <w:rPr>
          <w:rStyle w:val="32"/>
          <w:rFonts w:ascii="宋体" w:hAnsi="宋体" w:cs="宋体"/>
          <w:sz w:val="24"/>
          <w:szCs w:val="24"/>
          <w:highlight w:val="none"/>
        </w:rPr>
        <w:t>不接受超过</w:t>
      </w:r>
      <w:r>
        <w:rPr>
          <w:rStyle w:val="32"/>
          <w:rFonts w:hint="eastAsia" w:ascii="宋体" w:hAnsi="宋体" w:eastAsia="宋体" w:cs="宋体"/>
          <w:sz w:val="24"/>
          <w:szCs w:val="24"/>
          <w:highlight w:val="none"/>
          <w:lang w:val="en-US" w:eastAsia="zh-CN"/>
        </w:rPr>
        <w:t>100</w:t>
      </w:r>
      <w:r>
        <w:rPr>
          <w:rStyle w:val="32"/>
          <w:rFonts w:ascii="宋体" w:hAnsi="宋体" w:cs="宋体"/>
          <w:sz w:val="24"/>
          <w:szCs w:val="24"/>
          <w:highlight w:val="none"/>
        </w:rPr>
        <w:t>万元人民币（采购项目预算金额）的投标报价。</w:t>
      </w:r>
    </w:p>
    <w:p w14:paraId="52A6CAD5">
      <w:pPr>
        <w:spacing w:line="360" w:lineRule="auto"/>
        <w:ind w:firstLine="480"/>
        <w:rPr>
          <w:rStyle w:val="32"/>
          <w:sz w:val="24"/>
          <w:szCs w:val="24"/>
          <w:highlight w:val="none"/>
        </w:rPr>
      </w:pPr>
      <w:r>
        <w:rPr>
          <w:rStyle w:val="32"/>
          <w:sz w:val="24"/>
          <w:szCs w:val="24"/>
          <w:highlight w:val="none"/>
        </w:rPr>
        <w:t>报价应包括招标文件中所确定的服务范围内所含的全部内容，以及为完成上述内容所需的全部费用。投标人应充分了解该项目的总体情况、各类市场风险以及影响投标报价的其他要素风险。采购人不再支付报价以外的任何费用。</w:t>
      </w:r>
    </w:p>
    <w:p w14:paraId="3055A874">
      <w:pPr>
        <w:pStyle w:val="2"/>
        <w:ind w:left="0" w:leftChars="0" w:firstLine="0" w:firstLineChars="0"/>
        <w:rPr>
          <w:rFonts w:hint="default" w:eastAsia="宋体"/>
          <w:lang w:val="en-US" w:eastAsia="zh-CN"/>
        </w:rPr>
      </w:pPr>
      <w:r>
        <w:rPr>
          <w:rStyle w:val="32"/>
          <w:rFonts w:hint="eastAsia"/>
          <w:sz w:val="24"/>
          <w:szCs w:val="24"/>
          <w:highlight w:val="none"/>
          <w:lang w:val="en-US" w:eastAsia="zh-CN"/>
        </w:rPr>
        <w:t xml:space="preserve">    5、质保期：2年</w:t>
      </w:r>
    </w:p>
    <w:p w14:paraId="700826C9">
      <w:pPr>
        <w:pStyle w:val="30"/>
        <w:widowControl/>
        <w:numPr>
          <w:ilvl w:val="0"/>
          <w:numId w:val="1"/>
        </w:numPr>
        <w:spacing w:before="0" w:beforeAutospacing="0" w:after="120" w:afterAutospacing="0" w:line="360" w:lineRule="auto"/>
        <w:ind w:left="-62" w:leftChars="0" w:firstLine="482" w:firstLineChars="0"/>
        <w:outlineLvl w:val="0"/>
        <w:rPr>
          <w:rStyle w:val="32"/>
          <w:rFonts w:hint="eastAsia" w:eastAsia="宋体" w:cs="宋体"/>
          <w:b/>
          <w:bCs/>
          <w:sz w:val="24"/>
          <w:szCs w:val="24"/>
          <w:highlight w:val="none"/>
          <w:lang w:eastAsia="zh-CN"/>
        </w:rPr>
      </w:pPr>
      <w:r>
        <w:rPr>
          <w:rStyle w:val="32"/>
          <w:rFonts w:hint="eastAsia" w:ascii="宋体" w:hAnsi="宋体" w:cs="宋体"/>
          <w:b/>
          <w:bCs/>
          <w:sz w:val="24"/>
          <w:szCs w:val="24"/>
          <w:highlight w:val="none"/>
        </w:rPr>
        <w:t>项目</w:t>
      </w:r>
      <w:r>
        <w:rPr>
          <w:rStyle w:val="32"/>
          <w:rFonts w:hint="eastAsia" w:eastAsia="宋体" w:cs="宋体"/>
          <w:b/>
          <w:bCs/>
          <w:sz w:val="24"/>
          <w:szCs w:val="24"/>
          <w:highlight w:val="none"/>
          <w:lang w:eastAsia="zh-CN"/>
        </w:rPr>
        <w:t>简介</w:t>
      </w:r>
    </w:p>
    <w:p w14:paraId="1E4CA2B4">
      <w:pPr>
        <w:pStyle w:val="30"/>
        <w:widowControl/>
        <w:numPr>
          <w:ilvl w:val="0"/>
          <w:numId w:val="0"/>
        </w:numPr>
        <w:spacing w:before="0" w:beforeAutospacing="0" w:after="120" w:afterAutospacing="0" w:line="360" w:lineRule="auto"/>
        <w:ind w:firstLine="482" w:firstLineChars="200"/>
        <w:outlineLvl w:val="0"/>
        <w:rPr>
          <w:rFonts w:hint="eastAsia" w:eastAsia="宋体" w:cs="宋体"/>
          <w:b/>
          <w:bCs/>
          <w:highlight w:val="none"/>
          <w:lang w:eastAsia="zh-CN"/>
        </w:rPr>
      </w:pPr>
      <w:r>
        <w:rPr>
          <w:rStyle w:val="32"/>
          <w:rFonts w:hint="eastAsia" w:eastAsia="宋体" w:cs="宋体"/>
          <w:b/>
          <w:bCs/>
          <w:sz w:val="24"/>
          <w:szCs w:val="24"/>
          <w:highlight w:val="none"/>
          <w:lang w:eastAsia="zh-CN"/>
        </w:rPr>
        <w:t>实施范围内小区生活垃圾分类推行四分类即：有害垃圾、可回收物、厨余垃圾和其他垃圾四种类别并分类投放</w:t>
      </w:r>
    </w:p>
    <w:p w14:paraId="6A12DBFD">
      <w:pPr>
        <w:numPr>
          <w:ilvl w:val="0"/>
          <w:numId w:val="0"/>
        </w:numPr>
        <w:spacing w:line="360" w:lineRule="auto"/>
        <w:ind w:firstLine="482" w:firstLineChars="200"/>
        <w:rPr>
          <w:rFonts w:hint="eastAsia" w:ascii="仿宋" w:hAnsi="仿宋" w:eastAsia="仿宋" w:cs="仿宋"/>
          <w:b/>
          <w:kern w:val="0"/>
          <w:sz w:val="24"/>
          <w:szCs w:val="24"/>
        </w:rPr>
      </w:pPr>
      <w:r>
        <w:rPr>
          <w:rStyle w:val="32"/>
          <w:rFonts w:hint="eastAsia" w:ascii="宋体" w:hAnsi="宋体" w:cs="宋体"/>
          <w:b/>
          <w:bCs/>
          <w:sz w:val="24"/>
          <w:szCs w:val="24"/>
          <w:highlight w:val="none"/>
        </w:rPr>
        <w:t>三、</w:t>
      </w:r>
      <w:r>
        <w:rPr>
          <w:rFonts w:hint="eastAsia" w:ascii="仿宋" w:hAnsi="仿宋" w:eastAsia="仿宋" w:cs="仿宋"/>
          <w:b/>
          <w:kern w:val="0"/>
          <w:sz w:val="24"/>
          <w:szCs w:val="24"/>
        </w:rPr>
        <w:t>总体要求</w:t>
      </w:r>
      <w:bookmarkStart w:id="0" w:name="_Toc513151351"/>
    </w:p>
    <w:bookmarkEnd w:id="0"/>
    <w:p w14:paraId="22959467">
      <w:pPr>
        <w:widowControl w:val="0"/>
        <w:spacing w:line="360" w:lineRule="auto"/>
        <w:ind w:firstLine="0" w:firstLineChars="0"/>
        <w:jc w:val="both"/>
        <w:rPr>
          <w:rStyle w:val="32"/>
          <w:rFonts w:hint="eastAsia" w:ascii="Times New Roman" w:hAnsi="Times New Roman" w:eastAsia="宋体" w:cs="Times New Roman"/>
          <w:kern w:val="2"/>
          <w:sz w:val="24"/>
          <w:szCs w:val="24"/>
          <w:highlight w:val="none"/>
          <w:lang w:val="en-US" w:eastAsia="zh-CN" w:bidi="ar-SA"/>
        </w:rPr>
      </w:pPr>
      <w:r>
        <w:rPr>
          <w:rFonts w:hint="eastAsia" w:ascii="仿宋" w:hAnsi="仿宋" w:eastAsia="仿宋" w:cs="仿宋"/>
          <w:b/>
          <w:sz w:val="24"/>
          <w:szCs w:val="24"/>
          <w:lang w:val="en-US" w:eastAsia="zh-CN" w:bidi="ar-SA"/>
        </w:rPr>
        <w:t>1、</w:t>
      </w:r>
      <w:r>
        <w:rPr>
          <w:rStyle w:val="32"/>
          <w:rFonts w:hint="eastAsia" w:ascii="Times New Roman" w:hAnsi="Times New Roman" w:eastAsia="宋体" w:cs="Times New Roman"/>
          <w:kern w:val="2"/>
          <w:sz w:val="24"/>
          <w:szCs w:val="24"/>
          <w:highlight w:val="none"/>
          <w:lang w:val="en-US" w:eastAsia="zh-CN" w:bidi="ar-SA"/>
        </w:rPr>
        <w:t>项目工程量（最终以实际招标为准）：约420平方(最终依据现场条件进行制作生产安装)。</w:t>
      </w:r>
    </w:p>
    <w:p w14:paraId="6CCBECAF">
      <w:pPr>
        <w:widowControl w:val="0"/>
        <w:spacing w:line="360" w:lineRule="auto"/>
        <w:ind w:firstLine="0" w:firstLineChars="0"/>
        <w:jc w:val="both"/>
        <w:rPr>
          <w:rStyle w:val="32"/>
          <w:rFonts w:hint="eastAsia" w:ascii="Times New Roman" w:hAnsi="Times New Roman" w:eastAsia="宋体" w:cs="Times New Roman"/>
          <w:color w:val="FF0000"/>
          <w:kern w:val="2"/>
          <w:sz w:val="24"/>
          <w:szCs w:val="24"/>
          <w:highlight w:val="none"/>
          <w:lang w:val="en-US" w:eastAsia="zh-CN" w:bidi="ar-SA"/>
        </w:rPr>
      </w:pPr>
      <w:r>
        <w:rPr>
          <w:rStyle w:val="32"/>
          <w:rFonts w:hint="eastAsia" w:ascii="Times New Roman" w:hAnsi="Times New Roman" w:eastAsia="宋体" w:cs="Times New Roman"/>
          <w:kern w:val="2"/>
          <w:sz w:val="24"/>
          <w:szCs w:val="24"/>
          <w:highlight w:val="none"/>
          <w:lang w:val="en-US" w:eastAsia="zh-CN" w:bidi="ar-SA"/>
        </w:rPr>
        <w:t>2、分类收集房满足“九有”标准设施。收集点收集容器按投放需要合理配备；</w:t>
      </w:r>
      <w:r>
        <w:rPr>
          <w:rStyle w:val="32"/>
          <w:rFonts w:hint="eastAsia" w:ascii="Times New Roman" w:hAnsi="Times New Roman" w:eastAsia="宋体" w:cs="Times New Roman"/>
          <w:color w:val="0000FF"/>
          <w:kern w:val="2"/>
          <w:sz w:val="24"/>
          <w:szCs w:val="24"/>
          <w:highlight w:val="none"/>
          <w:lang w:val="en-US" w:eastAsia="zh-CN" w:bidi="ar-SA"/>
        </w:rPr>
        <w:t>收集点位配置各公示牌、制度牌的张贴方便维护、更新</w:t>
      </w:r>
      <w:r>
        <w:rPr>
          <w:rStyle w:val="32"/>
          <w:rFonts w:hint="eastAsia" w:ascii="Times New Roman" w:hAnsi="Times New Roman" w:eastAsia="宋体" w:cs="Times New Roman"/>
          <w:color w:val="FF0000"/>
          <w:kern w:val="2"/>
          <w:sz w:val="24"/>
          <w:szCs w:val="24"/>
          <w:highlight w:val="none"/>
          <w:lang w:val="en-US" w:eastAsia="zh-CN" w:bidi="ar-SA"/>
        </w:rPr>
        <w:t>。</w:t>
      </w:r>
    </w:p>
    <w:p w14:paraId="5F8BF8A1">
      <w:pPr>
        <w:widowControl w:val="0"/>
        <w:numPr>
          <w:ilvl w:val="0"/>
          <w:numId w:val="0"/>
        </w:numPr>
        <w:spacing w:line="360" w:lineRule="auto"/>
        <w:jc w:val="both"/>
        <w:rPr>
          <w:rFonts w:hint="eastAsia" w:ascii="仿宋" w:hAnsi="仿宋" w:eastAsia="仿宋" w:cs="仿宋"/>
          <w:b/>
          <w:kern w:val="0"/>
          <w:sz w:val="24"/>
          <w:lang w:val="en-US" w:eastAsia="zh-CN"/>
        </w:rPr>
      </w:pPr>
    </w:p>
    <w:p w14:paraId="5E6ABD03">
      <w:pPr>
        <w:widowControl w:val="0"/>
        <w:numPr>
          <w:ilvl w:val="0"/>
          <w:numId w:val="0"/>
        </w:numPr>
        <w:spacing w:line="360" w:lineRule="auto"/>
        <w:jc w:val="both"/>
        <w:rPr>
          <w:rFonts w:hint="default" w:ascii="仿宋" w:hAnsi="仿宋" w:eastAsia="仿宋" w:cs="仿宋"/>
          <w:bCs/>
          <w:sz w:val="24"/>
          <w:szCs w:val="24"/>
          <w:lang w:val="en-US" w:eastAsia="zh-CN" w:bidi="ar-SA"/>
        </w:rPr>
      </w:pPr>
      <w:r>
        <w:rPr>
          <w:rFonts w:hint="eastAsia" w:ascii="仿宋" w:hAnsi="仿宋" w:eastAsia="仿宋" w:cs="仿宋"/>
          <w:b/>
          <w:kern w:val="0"/>
          <w:sz w:val="24"/>
          <w:lang w:val="en-US" w:eastAsia="zh-CN"/>
        </w:rPr>
        <w:t>3、</w:t>
      </w:r>
      <w:r>
        <w:rPr>
          <w:rFonts w:hint="eastAsia" w:ascii="仿宋" w:hAnsi="仿宋" w:eastAsia="仿宋" w:cs="仿宋"/>
          <w:b/>
          <w:kern w:val="0"/>
          <w:sz w:val="24"/>
        </w:rPr>
        <w:t>生活垃圾分类房基础参数</w:t>
      </w:r>
    </w:p>
    <w:p w14:paraId="177C11A7">
      <w:pPr>
        <w:widowControl w:val="0"/>
        <w:numPr>
          <w:ilvl w:val="0"/>
          <w:numId w:val="0"/>
        </w:numPr>
        <w:spacing w:line="360" w:lineRule="auto"/>
        <w:jc w:val="both"/>
        <w:rPr>
          <w:rFonts w:hint="eastAsia" w:ascii="仿宋" w:hAnsi="仿宋" w:eastAsia="仿宋" w:cs="仿宋"/>
          <w:b/>
          <w:kern w:val="0"/>
          <w:sz w:val="24"/>
        </w:rPr>
      </w:pPr>
    </w:p>
    <w:p w14:paraId="02F48EFE">
      <w:pPr>
        <w:widowControl w:val="0"/>
        <w:numPr>
          <w:ilvl w:val="0"/>
          <w:numId w:val="0"/>
        </w:numPr>
        <w:spacing w:line="360" w:lineRule="auto"/>
        <w:jc w:val="both"/>
        <w:rPr>
          <w:rFonts w:hint="eastAsia" w:ascii="仿宋" w:hAnsi="仿宋" w:eastAsia="仿宋" w:cs="仿宋"/>
          <w:b/>
          <w:kern w:val="0"/>
          <w:sz w:val="24"/>
        </w:rPr>
      </w:pPr>
    </w:p>
    <w:p w14:paraId="68D2FDCE">
      <w:pPr>
        <w:widowControl w:val="0"/>
        <w:numPr>
          <w:ilvl w:val="0"/>
          <w:numId w:val="0"/>
        </w:numPr>
        <w:spacing w:line="360" w:lineRule="auto"/>
        <w:jc w:val="both"/>
        <w:rPr>
          <w:rFonts w:hint="eastAsia" w:ascii="仿宋" w:hAnsi="仿宋" w:eastAsia="仿宋" w:cs="仿宋"/>
          <w:b/>
          <w:kern w:val="0"/>
          <w:sz w:val="24"/>
        </w:rPr>
      </w:pPr>
    </w:p>
    <w:p w14:paraId="03649EC1">
      <w:pPr>
        <w:widowControl w:val="0"/>
        <w:numPr>
          <w:ilvl w:val="0"/>
          <w:numId w:val="0"/>
        </w:numPr>
        <w:spacing w:line="360" w:lineRule="auto"/>
        <w:jc w:val="both"/>
        <w:rPr>
          <w:rFonts w:hint="eastAsia" w:ascii="仿宋" w:hAnsi="仿宋" w:eastAsia="仿宋" w:cs="仿宋"/>
          <w:b/>
          <w:kern w:val="0"/>
          <w:sz w:val="24"/>
        </w:rPr>
      </w:pPr>
    </w:p>
    <w:p w14:paraId="0B6D0C41">
      <w:pPr>
        <w:widowControl w:val="0"/>
        <w:numPr>
          <w:ilvl w:val="0"/>
          <w:numId w:val="0"/>
        </w:numPr>
        <w:spacing w:line="360" w:lineRule="auto"/>
        <w:jc w:val="both"/>
        <w:rPr>
          <w:rFonts w:hint="eastAsia" w:ascii="仿宋" w:hAnsi="仿宋" w:eastAsia="仿宋" w:cs="仿宋"/>
          <w:b/>
          <w:kern w:val="0"/>
          <w:sz w:val="24"/>
        </w:rPr>
      </w:pPr>
    </w:p>
    <w:tbl>
      <w:tblPr>
        <w:tblStyle w:val="12"/>
        <w:tblpPr w:leftFromText="180" w:rightFromText="180" w:vertAnchor="text" w:horzAnchor="page" w:tblpX="1579" w:tblpY="471"/>
        <w:tblOverlap w:val="never"/>
        <w:tblW w:w="8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5"/>
        <w:gridCol w:w="745"/>
        <w:gridCol w:w="7139"/>
      </w:tblGrid>
      <w:tr w14:paraId="3530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349D9EE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B3173A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7139" w:type="dxa"/>
            <w:tcBorders>
              <w:top w:val="single" w:color="000000" w:sz="4" w:space="0"/>
              <w:left w:val="single" w:color="000000" w:sz="4" w:space="0"/>
              <w:bottom w:val="single" w:color="000000" w:sz="4" w:space="0"/>
              <w:right w:val="single" w:color="000000" w:sz="4" w:space="0"/>
            </w:tcBorders>
            <w:noWrap/>
            <w:vAlign w:val="center"/>
          </w:tcPr>
          <w:p w14:paraId="5285086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参数及指标</w:t>
            </w:r>
          </w:p>
        </w:tc>
      </w:tr>
      <w:tr w14:paraId="0F60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755" w:type="dxa"/>
            <w:tcBorders>
              <w:top w:val="single" w:color="000000" w:sz="4" w:space="0"/>
              <w:left w:val="single" w:color="000000" w:sz="4" w:space="0"/>
              <w:bottom w:val="single" w:color="000000" w:sz="4" w:space="0"/>
              <w:right w:val="single" w:color="000000" w:sz="4" w:space="0"/>
            </w:tcBorders>
            <w:noWrap/>
            <w:vAlign w:val="center"/>
          </w:tcPr>
          <w:p w14:paraId="3C7CA3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44B02A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智能垃圾分类房</w:t>
            </w:r>
          </w:p>
        </w:tc>
        <w:tc>
          <w:tcPr>
            <w:tcW w:w="7139" w:type="dxa"/>
            <w:tcBorders>
              <w:top w:val="single" w:color="000000" w:sz="4" w:space="0"/>
              <w:left w:val="single" w:color="000000" w:sz="4" w:space="0"/>
              <w:bottom w:val="single" w:color="000000" w:sz="4" w:space="0"/>
              <w:right w:val="single" w:color="000000" w:sz="4" w:space="0"/>
            </w:tcBorders>
            <w:noWrap w:val="0"/>
            <w:vAlign w:val="center"/>
          </w:tcPr>
          <w:p w14:paraId="3F52660A">
            <w:pPr>
              <w:keepNext w:val="0"/>
              <w:keepLines w:val="0"/>
              <w:widowControl/>
              <w:numPr>
                <w:ilvl w:val="0"/>
                <w:numId w:val="2"/>
              </w:numPr>
              <w:suppressLineNumbers w:val="0"/>
              <w:jc w:val="left"/>
              <w:textAlignment w:val="center"/>
              <w:rPr>
                <w:rStyle w:val="36"/>
                <w:lang w:val="en-US" w:eastAsia="zh-CN" w:bidi="ar"/>
              </w:rPr>
            </w:pPr>
            <w:r>
              <w:rPr>
                <w:rFonts w:hint="eastAsia" w:ascii="宋体" w:hAnsi="宋体" w:eastAsia="宋体" w:cs="宋体"/>
                <w:i w:val="0"/>
                <w:iCs w:val="0"/>
                <w:color w:val="000000"/>
                <w:kern w:val="0"/>
                <w:sz w:val="24"/>
                <w:szCs w:val="24"/>
                <w:u w:val="none"/>
                <w:lang w:val="en-US" w:eastAsia="zh-CN" w:bidi="ar"/>
              </w:rPr>
              <w:t>正面尺寸4000*2500*3000mm,房体净高2600mm,房体正面上方设遮阳棚,高度约430mm（招标工程量为暂定量，最终以实际现场面积计取制作)。</w:t>
            </w:r>
            <w:r>
              <w:rPr>
                <w:rFonts w:hint="eastAsia" w:ascii="宋体" w:hAnsi="宋体" w:eastAsia="宋体" w:cs="宋体"/>
                <w:i w:val="0"/>
                <w:iCs w:val="0"/>
                <w:color w:val="000000"/>
                <w:kern w:val="0"/>
                <w:sz w:val="24"/>
                <w:szCs w:val="24"/>
                <w:u w:val="none"/>
                <w:lang w:val="en-US" w:eastAsia="zh-CN" w:bidi="ar"/>
              </w:rPr>
              <w:br w:type="textWrapping"/>
            </w:r>
            <w:r>
              <w:rPr>
                <w:rStyle w:val="35"/>
                <w:lang w:val="en-US" w:eastAsia="zh-CN" w:bidi="ar"/>
              </w:rPr>
              <w:t>结构形式</w:t>
            </w:r>
            <w:r>
              <w:rPr>
                <w:rStyle w:val="36"/>
                <w:lang w:val="en-US" w:eastAsia="zh-CN" w:bidi="ar"/>
              </w:rPr>
              <w:t>：镀锌管框架结构,立柱规格为100*100*3.0mm（厚度t=3.0mm);</w:t>
            </w:r>
            <w:r>
              <w:rPr>
                <w:rStyle w:val="36"/>
                <w:lang w:val="en-US" w:eastAsia="zh-CN" w:bidi="ar"/>
              </w:rPr>
              <w:br w:type="textWrapping"/>
            </w:r>
            <w:r>
              <w:rPr>
                <w:rStyle w:val="35"/>
                <w:lang w:val="en-US" w:eastAsia="zh-CN" w:bidi="ar"/>
              </w:rPr>
              <w:t>地面主梁</w:t>
            </w:r>
            <w:r>
              <w:rPr>
                <w:rStyle w:val="36"/>
                <w:lang w:val="en-US" w:eastAsia="zh-CN" w:bidi="ar"/>
              </w:rPr>
              <w:t>100*100*3mm镀锌管（厚度t=3.0mm,材质镀锌管)；</w:t>
            </w:r>
            <w:r>
              <w:rPr>
                <w:rStyle w:val="36"/>
                <w:lang w:val="en-US" w:eastAsia="zh-CN" w:bidi="ar"/>
              </w:rPr>
              <w:br w:type="textWrapping"/>
            </w:r>
            <w:r>
              <w:rPr>
                <w:rStyle w:val="35"/>
                <w:lang w:val="en-US" w:eastAsia="zh-CN" w:bidi="ar"/>
              </w:rPr>
              <w:t>地面次梁</w:t>
            </w:r>
            <w:r>
              <w:rPr>
                <w:rStyle w:val="36"/>
                <w:lang w:val="en-US" w:eastAsia="zh-CN" w:bidi="ar"/>
              </w:rPr>
              <w:t>80*40*1.5mm镀锌管;（厚度t=1.5mm,材质镀锌管)</w:t>
            </w:r>
            <w:r>
              <w:rPr>
                <w:rStyle w:val="36"/>
                <w:lang w:val="en-US" w:eastAsia="zh-CN" w:bidi="ar"/>
              </w:rPr>
              <w:br w:type="textWrapping"/>
            </w:r>
            <w:r>
              <w:rPr>
                <w:rStyle w:val="35"/>
                <w:lang w:val="en-US" w:eastAsia="zh-CN" w:bidi="ar"/>
              </w:rPr>
              <w:t>地面铺设</w:t>
            </w:r>
            <w:r>
              <w:rPr>
                <w:rStyle w:val="36"/>
                <w:lang w:val="en-US" w:eastAsia="zh-CN" w:bidi="ar"/>
              </w:rPr>
              <w:t>t≥2.0mm不锈钢花纹防滑板;</w:t>
            </w:r>
            <w:r>
              <w:rPr>
                <w:rStyle w:val="36"/>
                <w:lang w:val="en-US" w:eastAsia="zh-CN" w:bidi="ar"/>
              </w:rPr>
              <w:br w:type="textWrapping"/>
            </w:r>
            <w:r>
              <w:rPr>
                <w:rStyle w:val="35"/>
                <w:lang w:val="en-US" w:eastAsia="zh-CN" w:bidi="ar"/>
              </w:rPr>
              <w:t>顶框屋面主梁</w:t>
            </w:r>
            <w:r>
              <w:rPr>
                <w:rStyle w:val="36"/>
                <w:lang w:val="en-US" w:eastAsia="zh-CN" w:bidi="ar"/>
              </w:rPr>
              <w:t>100*100*3mm镀锌管;（厚度t=3.0mm,材质镀锌管);</w:t>
            </w:r>
            <w:r>
              <w:rPr>
                <w:rStyle w:val="36"/>
                <w:lang w:val="en-US" w:eastAsia="zh-CN" w:bidi="ar"/>
              </w:rPr>
              <w:br w:type="textWrapping"/>
            </w:r>
            <w:r>
              <w:rPr>
                <w:rStyle w:val="35"/>
                <w:lang w:val="en-US" w:eastAsia="zh-CN" w:bidi="ar"/>
              </w:rPr>
              <w:t>顶框次梁</w:t>
            </w:r>
            <w:r>
              <w:rPr>
                <w:rStyle w:val="36"/>
                <w:lang w:val="en-US" w:eastAsia="zh-CN" w:bidi="ar"/>
              </w:rPr>
              <w:t>80*40*1.5mm镀锌管;（厚度t=1.5mm,材质镀锌管)</w:t>
            </w:r>
            <w:r>
              <w:rPr>
                <w:rStyle w:val="36"/>
                <w:lang w:val="en-US" w:eastAsia="zh-CN" w:bidi="ar"/>
              </w:rPr>
              <w:br w:type="textWrapping"/>
            </w:r>
            <w:r>
              <w:rPr>
                <w:rStyle w:val="35"/>
                <w:lang w:val="en-US" w:eastAsia="zh-CN" w:bidi="ar"/>
              </w:rPr>
              <w:t>所有外漏镀锌板材及镀锌方管表面喷漆处理(防腐、防锈、美观）</w:t>
            </w:r>
            <w:r>
              <w:rPr>
                <w:rStyle w:val="36"/>
                <w:lang w:val="en-US" w:eastAsia="zh-CN" w:bidi="ar"/>
              </w:rPr>
              <w:br w:type="textWrapping"/>
            </w:r>
            <w:r>
              <w:rPr>
                <w:rStyle w:val="36"/>
                <w:lang w:val="en-US" w:eastAsia="zh-CN" w:bidi="ar"/>
              </w:rPr>
              <w:t>2、</w:t>
            </w:r>
            <w:r>
              <w:rPr>
                <w:rStyle w:val="35"/>
                <w:lang w:val="en-US" w:eastAsia="zh-CN" w:bidi="ar"/>
              </w:rPr>
              <w:t>顶部：</w:t>
            </w:r>
            <w:r>
              <w:rPr>
                <w:rStyle w:val="36"/>
                <w:lang w:val="en-US" w:eastAsia="zh-CN" w:bidi="ar"/>
              </w:rPr>
              <w:t>屋顶1mm彩钢板加20mm岩棉卷毡保温层加金属雕花板吊顶；</w:t>
            </w:r>
            <w:r>
              <w:rPr>
                <w:rStyle w:val="36"/>
                <w:lang w:val="en-US" w:eastAsia="zh-CN" w:bidi="ar"/>
              </w:rPr>
              <w:br w:type="textWrapping"/>
            </w:r>
            <w:r>
              <w:rPr>
                <w:rStyle w:val="36"/>
                <w:lang w:val="en-US" w:eastAsia="zh-CN" w:bidi="ar"/>
              </w:rPr>
              <w:t>3、</w:t>
            </w:r>
            <w:r>
              <w:rPr>
                <w:rStyle w:val="35"/>
                <w:lang w:val="en-US" w:eastAsia="zh-CN" w:bidi="ar"/>
              </w:rPr>
              <w:t>墙体部分</w:t>
            </w:r>
            <w:r>
              <w:rPr>
                <w:rStyle w:val="36"/>
                <w:lang w:val="en-US" w:eastAsia="zh-CN" w:bidi="ar"/>
              </w:rPr>
              <w:t>：内墙:内墙采用50mm厚岩棉板,耐火极限为2.15h,材料燃烧等级为B1级;保温隔热,传热系数为0.3-0.4W/(m.k);产品绿色环保,不含甲醛,可100%回收再利用,具有防水、耐腐蚀等效果。房内阴角加装镀锌板（喷塑）角线装饰，确保美观。</w:t>
            </w:r>
            <w:r>
              <w:rPr>
                <w:rStyle w:val="36"/>
                <w:lang w:val="en-US" w:eastAsia="zh-CN" w:bidi="ar"/>
              </w:rPr>
              <w:br w:type="textWrapping"/>
            </w:r>
            <w:r>
              <w:rPr>
                <w:rStyle w:val="36"/>
                <w:lang w:val="en-US" w:eastAsia="zh-CN" w:bidi="ar"/>
              </w:rPr>
              <w:t>外墙：采用厚度16mm金属雕花板，燃烧性能为B1级阻燃，具有美观、耐酸碱、抗冲击、耐腐蚀、阻燃等效果。</w:t>
            </w:r>
            <w:r>
              <w:rPr>
                <w:rStyle w:val="36"/>
                <w:lang w:val="en-US" w:eastAsia="zh-CN" w:bidi="ar"/>
              </w:rPr>
              <w:br w:type="textWrapping"/>
            </w:r>
            <w:r>
              <w:rPr>
                <w:rStyle w:val="36"/>
                <w:lang w:val="en-US" w:eastAsia="zh-CN" w:bidi="ar"/>
              </w:rPr>
              <w:t>4、</w:t>
            </w:r>
            <w:r>
              <w:rPr>
                <w:rStyle w:val="35"/>
                <w:lang w:val="en-US" w:eastAsia="zh-CN" w:bidi="ar"/>
              </w:rPr>
              <w:t>门窗</w:t>
            </w:r>
            <w:r>
              <w:rPr>
                <w:rStyle w:val="36"/>
                <w:lang w:val="en-US" w:eastAsia="zh-CN" w:bidi="ar"/>
              </w:rPr>
              <w:t>:侧面安装铝合金门</w:t>
            </w:r>
            <w:r>
              <w:rPr>
                <w:rStyle w:val="36"/>
                <w:rFonts w:hint="eastAsia"/>
                <w:lang w:val="en-US" w:eastAsia="zh-CN" w:bidi="ar"/>
              </w:rPr>
              <w:t>或手动卷帘门</w:t>
            </w:r>
            <w:r>
              <w:rPr>
                <w:rStyle w:val="36"/>
                <w:lang w:val="en-US" w:eastAsia="zh-CN" w:bidi="ar"/>
              </w:rPr>
              <w:t>,尺寸</w:t>
            </w:r>
            <w:r>
              <w:rPr>
                <w:rStyle w:val="36"/>
                <w:rFonts w:hint="eastAsia"/>
                <w:lang w:val="en-US" w:eastAsia="zh-CN" w:bidi="ar"/>
              </w:rPr>
              <w:t>不低于</w:t>
            </w:r>
            <w:r>
              <w:rPr>
                <w:rStyle w:val="36"/>
                <w:lang w:val="en-US" w:eastAsia="zh-CN" w:bidi="ar"/>
              </w:rPr>
              <w:t>1000*2000mm,,整体铝材厚度≥1.2mm,含固定装置,于门配套的相关五金件符合房屋使用寿命要求。后窗为铝合金窗</w:t>
            </w:r>
            <w:r>
              <w:rPr>
                <w:rStyle w:val="36"/>
                <w:rFonts w:hint="eastAsia"/>
                <w:lang w:val="en-US" w:eastAsia="zh-CN" w:bidi="ar"/>
              </w:rPr>
              <w:t>户</w:t>
            </w:r>
            <w:r>
              <w:rPr>
                <w:rStyle w:val="36"/>
                <w:lang w:val="en-US" w:eastAsia="zh-CN" w:bidi="ar"/>
              </w:rPr>
              <w:t>（壁厚符合国家规范要求）尺寸</w:t>
            </w:r>
            <w:r>
              <w:rPr>
                <w:rStyle w:val="36"/>
                <w:rFonts w:hint="eastAsia"/>
                <w:lang w:val="en-US" w:eastAsia="zh-CN" w:bidi="ar"/>
              </w:rPr>
              <w:t>不低于</w:t>
            </w:r>
            <w:r>
              <w:rPr>
                <w:rStyle w:val="36"/>
                <w:lang w:val="en-US" w:eastAsia="zh-CN" w:bidi="ar"/>
              </w:rPr>
              <w:t>700*400mm。</w:t>
            </w:r>
            <w:r>
              <w:rPr>
                <w:rStyle w:val="36"/>
                <w:lang w:val="en-US" w:eastAsia="zh-CN" w:bidi="ar"/>
              </w:rPr>
              <w:br w:type="textWrapping"/>
            </w:r>
            <w:r>
              <w:rPr>
                <w:rStyle w:val="36"/>
                <w:lang w:val="en-US" w:eastAsia="zh-CN" w:bidi="ar"/>
              </w:rPr>
              <w:t>5、</w:t>
            </w:r>
            <w:r>
              <w:rPr>
                <w:rStyle w:val="35"/>
                <w:lang w:val="en-US" w:eastAsia="zh-CN" w:bidi="ar"/>
              </w:rPr>
              <w:t>主体包含</w:t>
            </w:r>
            <w:r>
              <w:rPr>
                <w:rStyle w:val="36"/>
                <w:lang w:val="en-US" w:eastAsia="zh-CN" w:bidi="ar"/>
              </w:rPr>
              <w:t>：破袋分拣器、除臭设施（紫外线+臭氧杀菌+负离功能）、不锈钢（</w:t>
            </w:r>
            <w:r>
              <w:rPr>
                <w:rStyle w:val="36"/>
                <w:rFonts w:hint="eastAsia"/>
                <w:lang w:val="en-US" w:eastAsia="zh-CN" w:bidi="ar"/>
              </w:rPr>
              <w:t>或陶瓷）</w:t>
            </w:r>
            <w:r>
              <w:rPr>
                <w:rStyle w:val="36"/>
                <w:lang w:val="en-US" w:eastAsia="zh-CN" w:bidi="ar"/>
              </w:rPr>
              <w:t>洗手池、不锈钢水龙头、吸顶灯（满足日常使用瓦数）、五孔电源插座（满足日常使用）、换气扇、灭蚊蝇灯、应急照明灯（应急时间不低于90分钟）、冲洗水枪（满足日常使用）、水池（含拖把池及配件）、配电箱（额定电压：AC400v,防护等级IP30,漏电保护断路器2P/C40A/40MA/C,小型断路器C16A/2P*1,C10A/2P*1,均为国标产品,满足消防验收标准)（以上内容为基础配备，如未配备甲方有权自行购买并扣除相应违约金）</w:t>
            </w:r>
            <w:r>
              <w:rPr>
                <w:rStyle w:val="36"/>
                <w:lang w:val="en-US" w:eastAsia="zh-CN" w:bidi="ar"/>
              </w:rPr>
              <w:br w:type="textWrapping"/>
            </w:r>
            <w:r>
              <w:rPr>
                <w:rStyle w:val="36"/>
                <w:lang w:val="en-US" w:eastAsia="zh-CN" w:bidi="ar"/>
              </w:rPr>
              <w:t>6、</w:t>
            </w:r>
            <w:r>
              <w:rPr>
                <w:rStyle w:val="35"/>
                <w:lang w:val="en-US" w:eastAsia="zh-CN" w:bidi="ar"/>
              </w:rPr>
              <w:t>LED显示屏</w:t>
            </w:r>
            <w:r>
              <w:rPr>
                <w:rStyle w:val="36"/>
                <w:lang w:val="en-US" w:eastAsia="zh-CN" w:bidi="ar"/>
              </w:rPr>
              <w:t>：P10全户外单红色LED广告滚动屏</w:t>
            </w:r>
            <w:r>
              <w:rPr>
                <w:rStyle w:val="36"/>
                <w:lang w:val="en-US" w:eastAsia="zh-CN" w:bidi="ar"/>
              </w:rPr>
              <w:br w:type="textWrapping"/>
            </w:r>
            <w:r>
              <w:rPr>
                <w:rStyle w:val="36"/>
                <w:lang w:val="en-US" w:eastAsia="zh-CN" w:bidi="ar"/>
              </w:rPr>
              <w:t>单元板尺寸：320*160mm，换帧频率：≥60HZ</w:t>
            </w:r>
            <w:r>
              <w:rPr>
                <w:rStyle w:val="36"/>
                <w:rFonts w:hint="eastAsia"/>
                <w:lang w:val="en-US" w:eastAsia="zh-CN" w:bidi="ar"/>
              </w:rPr>
              <w:t xml:space="preserve"> ，</w:t>
            </w:r>
            <w:r>
              <w:rPr>
                <w:rStyle w:val="36"/>
                <w:lang w:val="en-US" w:eastAsia="zh-CN" w:bidi="ar"/>
              </w:rPr>
              <w:t>可手机无线遥控配置广告；</w:t>
            </w:r>
          </w:p>
          <w:p w14:paraId="0F75B123">
            <w:pPr>
              <w:keepNext w:val="0"/>
              <w:keepLines w:val="0"/>
              <w:widowControl/>
              <w:numPr>
                <w:ilvl w:val="0"/>
                <w:numId w:val="0"/>
              </w:numPr>
              <w:suppressLineNumbers w:val="0"/>
              <w:jc w:val="left"/>
              <w:textAlignment w:val="center"/>
              <w:rPr>
                <w:rStyle w:val="36"/>
                <w:lang w:val="en-US" w:eastAsia="zh-CN" w:bidi="ar"/>
              </w:rPr>
            </w:pPr>
            <w:r>
              <w:rPr>
                <w:rStyle w:val="36"/>
                <w:lang w:val="en-US" w:eastAsia="zh-CN" w:bidi="ar"/>
              </w:rPr>
              <w:t>显示区域：2560*320mm（最终以实际现场制定）</w:t>
            </w:r>
            <w:r>
              <w:rPr>
                <w:rStyle w:val="36"/>
                <w:lang w:val="en-US" w:eastAsia="zh-CN" w:bidi="ar"/>
              </w:rPr>
              <w:br w:type="textWrapping"/>
            </w:r>
            <w:r>
              <w:rPr>
                <w:rStyle w:val="36"/>
                <w:lang w:val="en-US" w:eastAsia="zh-CN" w:bidi="ar"/>
              </w:rPr>
              <w:t>7、</w:t>
            </w:r>
            <w:r>
              <w:rPr>
                <w:rStyle w:val="35"/>
                <w:lang w:val="en-US" w:eastAsia="zh-CN" w:bidi="ar"/>
              </w:rPr>
              <w:t>智能投口</w:t>
            </w:r>
            <w:r>
              <w:rPr>
                <w:rStyle w:val="36"/>
                <w:lang w:val="en-US" w:eastAsia="zh-CN" w:bidi="ar"/>
              </w:rPr>
              <w:t>：智能推拉杆投口，单个智能投口尺寸：62（±2）cm（长*高），适配240L塑料垃圾桶</w:t>
            </w:r>
            <w:r>
              <w:rPr>
                <w:rStyle w:val="36"/>
                <w:lang w:val="en-US" w:eastAsia="zh-CN" w:bidi="ar"/>
              </w:rPr>
              <w:br w:type="textWrapping"/>
            </w:r>
            <w:r>
              <w:rPr>
                <w:rStyle w:val="36"/>
                <w:lang w:val="en-US" w:eastAsia="zh-CN" w:bidi="ar"/>
              </w:rPr>
              <w:t>智能投口功能要求：智能化机械投口：投口具有按键开启、感应开启以及位置记忆防夹手功能（防夹手：带机械感应防夹手）</w:t>
            </w:r>
            <w:r>
              <w:rPr>
                <w:rStyle w:val="36"/>
                <w:lang w:val="en-US" w:eastAsia="zh-CN" w:bidi="ar"/>
              </w:rPr>
              <w:br w:type="textWrapping"/>
            </w:r>
            <w:r>
              <w:rPr>
                <w:rStyle w:val="36"/>
                <w:lang w:val="en-US" w:eastAsia="zh-CN" w:bidi="ar"/>
              </w:rPr>
              <w:t>智能投口超声波感应模块：人站在垃圾房投口超声波感应模块区域，规定时间内投口门不会关闭，当人离开指定区域，投口自动关闭（测量精度：正负20ma；测量角度：夹角70度；测量距离：0-70cm(以实际现场指定投口数量及分类标识)；</w:t>
            </w:r>
            <w:r>
              <w:rPr>
                <w:rStyle w:val="36"/>
                <w:lang w:val="en-US" w:eastAsia="zh-CN" w:bidi="ar"/>
              </w:rPr>
              <w:br w:type="textWrapping"/>
            </w:r>
            <w:r>
              <w:rPr>
                <w:rStyle w:val="36"/>
                <w:lang w:val="en-US" w:eastAsia="zh-CN" w:bidi="ar"/>
              </w:rPr>
              <w:t>满溢报警功能设计：当某个投口内部垃圾桶满载，相应报警指示灯亮起。</w:t>
            </w:r>
            <w:r>
              <w:rPr>
                <w:rStyle w:val="36"/>
                <w:lang w:val="en-US" w:eastAsia="zh-CN" w:bidi="ar"/>
              </w:rPr>
              <w:br w:type="textWrapping"/>
            </w:r>
            <w:r>
              <w:rPr>
                <w:rStyle w:val="36"/>
                <w:lang w:val="en-US" w:eastAsia="zh-CN" w:bidi="ar"/>
              </w:rPr>
              <w:t>8、集中投放点标识牌及广告（由招标人指定）；</w:t>
            </w:r>
          </w:p>
          <w:p w14:paraId="52365B4E">
            <w:pPr>
              <w:keepNext w:val="0"/>
              <w:keepLines w:val="0"/>
              <w:widowControl/>
              <w:numPr>
                <w:ilvl w:val="0"/>
                <w:numId w:val="0"/>
              </w:numPr>
              <w:suppressLineNumbers w:val="0"/>
              <w:jc w:val="left"/>
              <w:textAlignment w:val="center"/>
              <w:rPr>
                <w:rStyle w:val="36"/>
                <w:lang w:val="en-US" w:eastAsia="zh-CN" w:bidi="ar"/>
              </w:rPr>
            </w:pPr>
            <w:r>
              <w:rPr>
                <w:rStyle w:val="36"/>
                <w:rFonts w:hint="eastAsia"/>
                <w:lang w:val="en-US" w:eastAsia="zh-CN" w:bidi="ar"/>
              </w:rPr>
              <w:t>9、</w:t>
            </w:r>
            <w:r>
              <w:rPr>
                <w:rFonts w:hint="eastAsia" w:ascii="宋体" w:hAnsi="宋体" w:eastAsia="宋体" w:cs="宋体"/>
                <w:i w:val="0"/>
                <w:iCs w:val="0"/>
                <w:color w:val="0000FF"/>
                <w:kern w:val="0"/>
                <w:sz w:val="24"/>
                <w:szCs w:val="24"/>
                <w:u w:val="none"/>
                <w:lang w:val="en-US" w:eastAsia="zh-CN" w:bidi="ar"/>
              </w:rPr>
              <w:t>安装垃圾分类房门前接坡（符合垃圾分类房长度、高度）</w:t>
            </w:r>
            <w:r>
              <w:rPr>
                <w:rStyle w:val="36"/>
                <w:lang w:val="en-US" w:eastAsia="zh-CN" w:bidi="ar"/>
              </w:rPr>
              <w:br w:type="textWrapping"/>
            </w:r>
            <w:r>
              <w:rPr>
                <w:rStyle w:val="36"/>
                <w:rFonts w:hint="eastAsia"/>
                <w:lang w:val="en-US" w:eastAsia="zh-CN" w:bidi="ar"/>
              </w:rPr>
              <w:t>10</w:t>
            </w:r>
            <w:r>
              <w:rPr>
                <w:rStyle w:val="36"/>
                <w:lang w:val="en-US" w:eastAsia="zh-CN" w:bidi="ar"/>
              </w:rPr>
              <w:t>、颜色由招标人指定（中标后需按招标人要求出具相应效果图）；</w:t>
            </w:r>
          </w:p>
          <w:p w14:paraId="2E3F1B4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Style w:val="36"/>
                <w:rFonts w:hint="eastAsia"/>
                <w:lang w:val="en-US" w:eastAsia="zh-CN" w:bidi="ar"/>
              </w:rPr>
              <w:t>11、垃圾房内外均设置监控系统，可保证24小时实时监控。内外监控调取时间不低于15天。</w:t>
            </w:r>
            <w:r>
              <w:rPr>
                <w:rStyle w:val="36"/>
                <w:lang w:val="en-US" w:eastAsia="zh-CN" w:bidi="ar"/>
              </w:rPr>
              <w:br w:type="textWrapping"/>
            </w:r>
            <w:r>
              <w:rPr>
                <w:rStyle w:val="35"/>
                <w:lang w:val="en-US" w:eastAsia="zh-CN" w:bidi="ar"/>
              </w:rPr>
              <w:t>本次招标工程量为暂定量，以上工程量以实际场地建筑面积制定，由投标人综合考虑综合单价，结算以实际完成面积结算（投标人依据现场综合考虑，结算时单价不予调整，工程量以现场实际完成工程量计取）</w:t>
            </w:r>
          </w:p>
        </w:tc>
      </w:tr>
    </w:tbl>
    <w:p w14:paraId="42C39B13">
      <w:pPr>
        <w:spacing w:line="360" w:lineRule="auto"/>
        <w:rPr>
          <w:rFonts w:hint="eastAsia" w:ascii="宋体" w:hAnsi="宋体"/>
          <w:b/>
          <w:color w:val="auto"/>
          <w:kern w:val="28"/>
          <w:sz w:val="24"/>
          <w:lang w:val="en-US" w:eastAsia="zh-CN"/>
        </w:rPr>
      </w:pPr>
    </w:p>
    <w:tbl>
      <w:tblPr>
        <w:tblStyle w:val="12"/>
        <w:tblpPr w:leftFromText="180" w:rightFromText="180" w:vertAnchor="text" w:horzAnchor="page" w:tblpX="1598" w:tblpY="615"/>
        <w:tblOverlap w:val="never"/>
        <w:tblW w:w="8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
        <w:gridCol w:w="745"/>
        <w:gridCol w:w="7085"/>
      </w:tblGrid>
      <w:tr w14:paraId="12D5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722" w:type="dxa"/>
            <w:tcBorders>
              <w:top w:val="single" w:color="000000" w:sz="4" w:space="0"/>
              <w:left w:val="single" w:color="000000" w:sz="4" w:space="0"/>
              <w:bottom w:val="single" w:color="000000" w:sz="4" w:space="0"/>
              <w:right w:val="single" w:color="000000" w:sz="4" w:space="0"/>
            </w:tcBorders>
            <w:noWrap/>
            <w:vAlign w:val="center"/>
          </w:tcPr>
          <w:p w14:paraId="55B872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4E6AB7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智能垃圾分类房基础设施要求</w:t>
            </w:r>
          </w:p>
        </w:tc>
        <w:tc>
          <w:tcPr>
            <w:tcW w:w="7085" w:type="dxa"/>
            <w:tcBorders>
              <w:top w:val="single" w:color="000000" w:sz="4" w:space="0"/>
              <w:left w:val="single" w:color="000000" w:sz="4" w:space="0"/>
              <w:bottom w:val="single" w:color="000000" w:sz="4" w:space="0"/>
              <w:right w:val="single" w:color="000000" w:sz="4" w:space="0"/>
            </w:tcBorders>
            <w:noWrap w:val="0"/>
            <w:vAlign w:val="center"/>
          </w:tcPr>
          <w:p w14:paraId="2A0794A5">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长*宽*厚：面积以实际面积计取，厚度不低于10cm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2、混凝土强度C20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3、负责垃圾房安装过程中所产生的环境破坏（如路面、绿化等）得修复工作。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4、负责暂定安装点位原有设施拆除堆放至招标人指定地点。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注意事项：使用施工护栏对施工区域进行维护，保证施工区域内外人员安全；施工区域内原有设施需要进行安全拆除并放置招标人指定地点；如需开挖需要进行树木移植，应提前联系相关部门进行报备，施工后并移回新的种植点，避免破坏施工区域内雨污水、燃气、电缆等相应内容，做好防护措施，不影响后期使用及维护。施工期间内需符合大气污染防治防控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（投标人依据现场综合考虑，结算时综合单价不予调整，工程量以现场实际完成工程量计取）</w:t>
            </w:r>
          </w:p>
        </w:tc>
      </w:tr>
      <w:tr w14:paraId="131C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22" w:type="dxa"/>
            <w:tcBorders>
              <w:top w:val="single" w:color="000000" w:sz="4" w:space="0"/>
              <w:left w:val="single" w:color="000000" w:sz="4" w:space="0"/>
              <w:bottom w:val="single" w:color="000000" w:sz="4" w:space="0"/>
              <w:right w:val="single" w:color="000000" w:sz="4" w:space="0"/>
            </w:tcBorders>
            <w:noWrap/>
            <w:vAlign w:val="center"/>
          </w:tcPr>
          <w:p w14:paraId="2FD5B3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58684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配电要求</w:t>
            </w:r>
          </w:p>
        </w:tc>
        <w:tc>
          <w:tcPr>
            <w:tcW w:w="7085" w:type="dxa"/>
            <w:tcBorders>
              <w:top w:val="single" w:color="000000" w:sz="4" w:space="0"/>
              <w:left w:val="single" w:color="000000" w:sz="4" w:space="0"/>
              <w:bottom w:val="single" w:color="000000" w:sz="4" w:space="0"/>
              <w:right w:val="single" w:color="000000" w:sz="4" w:space="0"/>
            </w:tcBorders>
            <w:noWrap w:val="0"/>
            <w:vAlign w:val="center"/>
          </w:tcPr>
          <w:p w14:paraId="4FE22A10">
            <w:pPr>
              <w:keepNext w:val="0"/>
              <w:keepLines w:val="0"/>
              <w:widowControl/>
              <w:suppressLineNumbers w:val="0"/>
              <w:ind w:right="15" w:rightChars="7"/>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1、rvv2*1.5²（国标铜线）包含部分开挖、配管敷设安装、回填、恢复地面。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（投标人依据现场综合考虑，结算时综合单价不予调整，工程量以现场实际完成工程量计取），</w:t>
            </w:r>
          </w:p>
        </w:tc>
      </w:tr>
      <w:tr w14:paraId="0C50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22" w:type="dxa"/>
            <w:tcBorders>
              <w:top w:val="single" w:color="000000" w:sz="4" w:space="0"/>
              <w:left w:val="single" w:color="000000" w:sz="4" w:space="0"/>
              <w:bottom w:val="single" w:color="000000" w:sz="4" w:space="0"/>
              <w:right w:val="single" w:color="000000" w:sz="4" w:space="0"/>
            </w:tcBorders>
            <w:noWrap/>
            <w:vAlign w:val="center"/>
          </w:tcPr>
          <w:p w14:paraId="65A07B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795074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给水要求</w:t>
            </w:r>
          </w:p>
        </w:tc>
        <w:tc>
          <w:tcPr>
            <w:tcW w:w="7085" w:type="dxa"/>
            <w:tcBorders>
              <w:top w:val="single" w:color="000000" w:sz="4" w:space="0"/>
              <w:left w:val="single" w:color="000000" w:sz="4" w:space="0"/>
              <w:bottom w:val="single" w:color="000000" w:sz="4" w:space="0"/>
              <w:right w:val="single" w:color="000000" w:sz="4" w:space="0"/>
            </w:tcBorders>
            <w:noWrap w:val="0"/>
            <w:vAlign w:val="center"/>
          </w:tcPr>
          <w:p w14:paraId="36F3BE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1、PPRφ20给水管及配件，包含部分开挖、保温敷设安装、回填、恢复地面（如有）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（投标人依据现场综合考虑，结算时综合单价不予调整，工程量以现场实际完成工程量计取）</w:t>
            </w:r>
          </w:p>
        </w:tc>
      </w:tr>
      <w:tr w14:paraId="5D32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722" w:type="dxa"/>
            <w:tcBorders>
              <w:top w:val="single" w:color="000000" w:sz="4" w:space="0"/>
              <w:left w:val="single" w:color="000000" w:sz="4" w:space="0"/>
              <w:bottom w:val="single" w:color="000000" w:sz="4" w:space="0"/>
              <w:right w:val="single" w:color="000000" w:sz="4" w:space="0"/>
            </w:tcBorders>
            <w:noWrap/>
            <w:vAlign w:val="center"/>
          </w:tcPr>
          <w:p w14:paraId="739405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1E1D4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排水要求</w:t>
            </w:r>
          </w:p>
        </w:tc>
        <w:tc>
          <w:tcPr>
            <w:tcW w:w="7085" w:type="dxa"/>
            <w:tcBorders>
              <w:top w:val="single" w:color="000000" w:sz="4" w:space="0"/>
              <w:left w:val="single" w:color="000000" w:sz="4" w:space="0"/>
              <w:bottom w:val="single" w:color="000000" w:sz="4" w:space="0"/>
              <w:right w:val="single" w:color="000000" w:sz="4" w:space="0"/>
            </w:tcBorders>
            <w:noWrap w:val="0"/>
            <w:vAlign w:val="center"/>
          </w:tcPr>
          <w:p w14:paraId="67EEDD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1、PVCφ75排水管及配件，包含部分开挖、敷设安装、回填、恢复地面（如有）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（投标人依据现场综合考虑，结算时综合单价不予调整，工程量以现场实际完成工程量计取）</w:t>
            </w:r>
          </w:p>
        </w:tc>
      </w:tr>
    </w:tbl>
    <w:p w14:paraId="3C4BB832">
      <w:pPr>
        <w:numPr>
          <w:ilvl w:val="0"/>
          <w:numId w:val="3"/>
        </w:numPr>
        <w:spacing w:line="360" w:lineRule="auto"/>
        <w:ind w:left="0" w:leftChars="0" w:firstLine="0" w:firstLineChars="0"/>
      </w:pPr>
      <w:r>
        <w:rPr>
          <w:rFonts w:hint="eastAsia" w:ascii="宋体" w:hAnsi="宋体"/>
          <w:b/>
          <w:color w:val="auto"/>
          <w:kern w:val="28"/>
          <w:sz w:val="24"/>
          <w:lang w:val="en-US" w:eastAsia="zh-CN"/>
        </w:rPr>
        <w:t>基础建设要求：</w:t>
      </w:r>
    </w:p>
    <w:p w14:paraId="135F4F29">
      <w:pPr>
        <w:pStyle w:val="2"/>
        <w:widowControl w:val="0"/>
        <w:numPr>
          <w:ilvl w:val="0"/>
          <w:numId w:val="0"/>
        </w:numPr>
        <w:tabs>
          <w:tab w:val="left" w:pos="7980"/>
        </w:tabs>
        <w:spacing w:after="120" w:line="360" w:lineRule="auto"/>
        <w:ind w:leftChars="0" w:right="106" w:rightChars="0"/>
        <w:jc w:val="both"/>
        <w:rPr>
          <w:rFonts w:hint="eastAsia"/>
          <w:lang w:val="en-US" w:eastAsia="zh-CN"/>
        </w:rPr>
      </w:pPr>
    </w:p>
    <w:p w14:paraId="26E9F5DC">
      <w:pPr>
        <w:pStyle w:val="2"/>
        <w:widowControl w:val="0"/>
        <w:numPr>
          <w:ilvl w:val="0"/>
          <w:numId w:val="0"/>
        </w:numPr>
        <w:tabs>
          <w:tab w:val="left" w:pos="7980"/>
        </w:tabs>
        <w:spacing w:after="120" w:line="360" w:lineRule="auto"/>
        <w:ind w:leftChars="0" w:right="106" w:rightChars="0"/>
        <w:jc w:val="both"/>
        <w:rPr>
          <w:rFonts w:hint="eastAsia"/>
          <w:lang w:val="en-US" w:eastAsia="zh-CN"/>
        </w:rPr>
      </w:pPr>
      <w:r>
        <w:drawing>
          <wp:inline distT="0" distB="0" distL="114300" distR="114300">
            <wp:extent cx="8639175" cy="53911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rot="5400000">
                      <a:off x="0" y="0"/>
                      <a:ext cx="8639175" cy="5391150"/>
                    </a:xfrm>
                    <a:prstGeom prst="rect">
                      <a:avLst/>
                    </a:prstGeom>
                    <a:noFill/>
                    <a:ln>
                      <a:noFill/>
                    </a:ln>
                  </pic:spPr>
                </pic:pic>
              </a:graphicData>
            </a:graphic>
          </wp:inline>
        </w:drawing>
      </w:r>
      <w:r>
        <w:rPr>
          <w:rFonts w:hint="eastAsia"/>
          <w:lang w:val="en-US" w:eastAsia="zh-CN"/>
        </w:rPr>
        <w:t>4、建议供应商对项目现场和周围</w:t>
      </w:r>
      <w:bookmarkStart w:id="1" w:name="_GoBack"/>
      <w:bookmarkEnd w:id="1"/>
      <w:r>
        <w:rPr>
          <w:rFonts w:hint="eastAsia"/>
          <w:lang w:val="en-US" w:eastAsia="zh-CN"/>
        </w:rPr>
        <w:t>环境进行实地踏勘，以了解现场的环境、范围、技术要求及相关服务，获取有关编制响应文件和签订合同所需的各项资料，供应商应承担现场踏勘的责任和风险，费用由供应商自己承担。成交后不得以未踏勘现场或不了解现场为由提出任何增加费用的要求。</w:t>
      </w:r>
    </w:p>
    <w:p w14:paraId="3AC0E797">
      <w:pPr>
        <w:pStyle w:val="2"/>
        <w:widowControl w:val="0"/>
        <w:numPr>
          <w:ilvl w:val="0"/>
          <w:numId w:val="0"/>
        </w:numPr>
        <w:tabs>
          <w:tab w:val="left" w:pos="7980"/>
        </w:tabs>
        <w:spacing w:after="120" w:line="360" w:lineRule="auto"/>
        <w:ind w:leftChars="0" w:right="106" w:rightChars="0"/>
        <w:jc w:val="both"/>
        <w:rPr>
          <w:rFonts w:hint="eastAsia"/>
          <w:lang w:val="en-US" w:eastAsia="zh-CN"/>
        </w:rPr>
      </w:pPr>
      <w:r>
        <w:rPr>
          <w:rFonts w:hint="eastAsia"/>
          <w:lang w:val="en-US" w:eastAsia="zh-CN"/>
        </w:rPr>
        <w:t>5、成交供应商应定期征求采购人的意见，反馈采购人的建议。</w:t>
      </w:r>
    </w:p>
    <w:p w14:paraId="0FE4509E">
      <w:pPr>
        <w:pStyle w:val="2"/>
        <w:widowControl w:val="0"/>
        <w:numPr>
          <w:ilvl w:val="0"/>
          <w:numId w:val="0"/>
        </w:numPr>
        <w:tabs>
          <w:tab w:val="left" w:pos="7980"/>
        </w:tabs>
        <w:spacing w:after="120" w:line="360" w:lineRule="auto"/>
        <w:ind w:leftChars="0" w:right="106" w:rightChars="0"/>
        <w:jc w:val="both"/>
        <w:rPr>
          <w:rFonts w:hint="eastAsia"/>
          <w:lang w:val="en-US" w:eastAsia="zh-CN"/>
        </w:rPr>
      </w:pPr>
      <w:r>
        <w:rPr>
          <w:rFonts w:hint="eastAsia"/>
          <w:lang w:val="en-US" w:eastAsia="zh-CN"/>
        </w:rPr>
        <w:t>6、其他要求见招标文件第六章《拟签订的合同草案》。</w:t>
      </w:r>
    </w:p>
    <w:p w14:paraId="4A19205C">
      <w:pPr>
        <w:pStyle w:val="2"/>
        <w:widowControl w:val="0"/>
        <w:numPr>
          <w:ilvl w:val="0"/>
          <w:numId w:val="0"/>
        </w:numPr>
        <w:tabs>
          <w:tab w:val="left" w:pos="7980"/>
        </w:tabs>
        <w:spacing w:after="120" w:line="360" w:lineRule="auto"/>
        <w:ind w:leftChars="0" w:right="106" w:rightChars="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8A71E"/>
    <w:multiLevelType w:val="singleLevel"/>
    <w:tmpl w:val="B228A71E"/>
    <w:lvl w:ilvl="0" w:tentative="0">
      <w:start w:val="2"/>
      <w:numFmt w:val="chineseCounting"/>
      <w:suff w:val="nothing"/>
      <w:lvlText w:val="%1、"/>
      <w:lvlJc w:val="left"/>
      <w:pPr>
        <w:ind w:left="-62"/>
      </w:pPr>
      <w:rPr>
        <w:rFonts w:hint="eastAsia"/>
      </w:rPr>
    </w:lvl>
  </w:abstractNum>
  <w:abstractNum w:abstractNumId="1">
    <w:nsid w:val="F58C3A6D"/>
    <w:multiLevelType w:val="singleLevel"/>
    <w:tmpl w:val="F58C3A6D"/>
    <w:lvl w:ilvl="0" w:tentative="0">
      <w:start w:val="1"/>
      <w:numFmt w:val="decimal"/>
      <w:suff w:val="nothing"/>
      <w:lvlText w:val="%1、"/>
      <w:lvlJc w:val="left"/>
    </w:lvl>
  </w:abstractNum>
  <w:abstractNum w:abstractNumId="2">
    <w:nsid w:val="711A2C5C"/>
    <w:multiLevelType w:val="singleLevel"/>
    <w:tmpl w:val="711A2C5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2F21"/>
    <w:rsid w:val="037C31D2"/>
    <w:rsid w:val="0A84735B"/>
    <w:rsid w:val="0F59068B"/>
    <w:rsid w:val="13D97F0D"/>
    <w:rsid w:val="18475151"/>
    <w:rsid w:val="18513CF1"/>
    <w:rsid w:val="1B5C22AB"/>
    <w:rsid w:val="1C381D54"/>
    <w:rsid w:val="1E0C0AB7"/>
    <w:rsid w:val="250F30D7"/>
    <w:rsid w:val="2A2850B2"/>
    <w:rsid w:val="2B2F6259"/>
    <w:rsid w:val="2DAE1962"/>
    <w:rsid w:val="330F37EE"/>
    <w:rsid w:val="45B81419"/>
    <w:rsid w:val="4950607F"/>
    <w:rsid w:val="51173AE3"/>
    <w:rsid w:val="535C417D"/>
    <w:rsid w:val="66FA037B"/>
    <w:rsid w:val="67D7257C"/>
    <w:rsid w:val="6AE743B3"/>
    <w:rsid w:val="72104BEC"/>
    <w:rsid w:val="75812F99"/>
    <w:rsid w:val="780A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after="260" w:line="360" w:lineRule="auto"/>
      <w:ind w:firstLine="200"/>
      <w:jc w:val="center"/>
      <w:outlineLvl w:val="1"/>
    </w:pPr>
    <w:rPr>
      <w:rFonts w:ascii="Cambria" w:hAnsi="Cambria"/>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99"/>
    <w:pPr>
      <w:keepNext/>
      <w:keepLines/>
      <w:spacing w:before="320" w:after="200"/>
      <w:outlineLvl w:val="3"/>
    </w:pPr>
    <w:rPr>
      <w:rFonts w:ascii="Arial" w:hAnsi="Arial" w:eastAsia="Arial" w:cs="Arial"/>
      <w:b/>
      <w:bCs/>
      <w:sz w:val="26"/>
      <w:szCs w:val="26"/>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line="360" w:lineRule="auto"/>
      <w:ind w:left="1440" w:right="1440" w:firstLine="200"/>
    </w:pPr>
    <w:rPr>
      <w:rFonts w:eastAsia="宋体"/>
      <w:sz w:val="24"/>
    </w:rPr>
  </w:style>
  <w:style w:type="paragraph" w:styleId="6">
    <w:name w:val="Normal Indent"/>
    <w:basedOn w:val="1"/>
    <w:next w:val="1"/>
    <w:qFormat/>
    <w:uiPriority w:val="99"/>
    <w:pPr>
      <w:ind w:firstLine="420"/>
    </w:pPr>
    <w:rPr>
      <w:rFonts w:ascii="Times New Roman" w:hAnsi="Times New Roman" w:eastAsia="宋体" w:cs="Times New Roman"/>
      <w:szCs w:val="24"/>
    </w:rPr>
  </w:style>
  <w:style w:type="paragraph" w:styleId="7">
    <w:name w:val="caption"/>
    <w:basedOn w:val="1"/>
    <w:next w:val="1"/>
    <w:unhideWhenUsed/>
    <w:qFormat/>
    <w:uiPriority w:val="99"/>
    <w:pPr>
      <w:spacing w:line="276" w:lineRule="auto"/>
    </w:pPr>
    <w:rPr>
      <w:b/>
      <w:bCs/>
      <w:color w:val="4874CB" w:themeColor="accent1"/>
      <w:sz w:val="18"/>
      <w:szCs w:val="18"/>
      <w14:textFill>
        <w14:solidFill>
          <w14:schemeClr w14:val="accent1"/>
        </w14:solidFill>
      </w14:textFill>
    </w:rPr>
  </w:style>
  <w:style w:type="paragraph" w:styleId="8">
    <w:name w:val="Body Text"/>
    <w:basedOn w:val="1"/>
    <w:qFormat/>
    <w:uiPriority w:val="0"/>
    <w:pPr>
      <w:spacing w:after="120"/>
    </w:pPr>
  </w:style>
  <w:style w:type="paragraph" w:styleId="9">
    <w:name w:val="toc 1"/>
    <w:basedOn w:val="1"/>
    <w:next w:val="1"/>
    <w:unhideWhenUsed/>
    <w:qFormat/>
    <w:uiPriority w:val="99"/>
    <w:pPr>
      <w:widowControl/>
      <w:spacing w:after="57" w:line="276" w:lineRule="auto"/>
      <w:jc w:val="left"/>
    </w:pPr>
    <w:rPr>
      <w:sz w:val="22"/>
      <w:lang w:eastAsia="en-US"/>
    </w:rPr>
  </w:style>
  <w:style w:type="paragraph" w:styleId="1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szCs w:val="24"/>
      <w:lang w:eastAsia="ar-SA"/>
    </w:rPr>
  </w:style>
  <w:style w:type="paragraph" w:styleId="11">
    <w:name w:val="Normal (Web)"/>
    <w:basedOn w:val="1"/>
    <w:qFormat/>
    <w:uiPriority w:val="0"/>
    <w:pPr>
      <w:widowControl/>
      <w:spacing w:before="100" w:beforeAutospacing="1" w:after="100" w:afterAutospacing="1"/>
      <w:jc w:val="left"/>
    </w:pPr>
    <w:rPr>
      <w:rFonts w:ascii="宋体" w:hAnsi="宋体"/>
      <w:sz w:val="24"/>
    </w:rPr>
  </w:style>
  <w:style w:type="paragraph" w:customStyle="1" w:styleId="14">
    <w:name w:val="正文1"/>
    <w:basedOn w:val="15"/>
    <w:next w:val="16"/>
    <w:qFormat/>
    <w:uiPriority w:val="0"/>
    <w:pPr>
      <w:spacing w:line="360" w:lineRule="auto"/>
      <w:ind w:firstLine="361"/>
    </w:pPr>
    <w:rPr>
      <w:rFonts w:ascii="宋体" w:hAnsi="宋体" w:eastAsia="仿宋_GB2312"/>
      <w:sz w:val="24"/>
    </w:rPr>
  </w:style>
  <w:style w:type="paragraph" w:customStyle="1" w:styleId="15">
    <w:name w:val="正文111"/>
    <w:next w:val="1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6">
    <w:name w:val="正文文本1"/>
    <w:basedOn w:val="17"/>
    <w:next w:val="14"/>
    <w:qFormat/>
    <w:uiPriority w:val="0"/>
    <w:pPr>
      <w:spacing w:after="120"/>
    </w:pPr>
    <w:rPr>
      <w:rFonts w:ascii="Calibri" w:hAnsi="Calibri"/>
    </w:rPr>
  </w:style>
  <w:style w:type="paragraph" w:customStyle="1" w:styleId="17">
    <w:name w:val="正文11"/>
    <w:next w:val="1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8">
    <w:name w:val="标题 111"/>
    <w:basedOn w:val="17"/>
    <w:next w:val="17"/>
    <w:qFormat/>
    <w:uiPriority w:val="0"/>
    <w:pPr>
      <w:keepNext/>
      <w:keepLines/>
      <w:spacing w:line="578" w:lineRule="auto"/>
      <w:jc w:val="center"/>
      <w:outlineLvl w:val="0"/>
    </w:pPr>
    <w:rPr>
      <w:rFonts w:eastAsia="新宋体"/>
      <w:b/>
      <w:bCs/>
      <w:sz w:val="30"/>
      <w:szCs w:val="44"/>
    </w:rPr>
  </w:style>
  <w:style w:type="paragraph" w:customStyle="1" w:styleId="19">
    <w:name w:val="目录 11"/>
    <w:basedOn w:val="20"/>
    <w:next w:val="1"/>
    <w:qFormat/>
    <w:uiPriority w:val="0"/>
  </w:style>
  <w:style w:type="paragraph" w:customStyle="1" w:styleId="20">
    <w:name w:val="正文12"/>
    <w:next w:val="21"/>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customStyle="1" w:styleId="21">
    <w:name w:val="脚注文本1"/>
    <w:basedOn w:val="22"/>
    <w:next w:val="24"/>
    <w:qFormat/>
    <w:uiPriority w:val="0"/>
    <w:pPr>
      <w:jc w:val="left"/>
    </w:pPr>
    <w:rPr>
      <w:rFonts w:ascii="宋体" w:eastAsia="Times New Roman"/>
      <w:sz w:val="18"/>
      <w:szCs w:val="18"/>
    </w:rPr>
  </w:style>
  <w:style w:type="paragraph" w:customStyle="1" w:styleId="22">
    <w:name w:val="正文1111"/>
    <w:next w:val="2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3">
    <w:name w:val="文本块11"/>
    <w:basedOn w:val="20"/>
    <w:unhideWhenUsed/>
    <w:qFormat/>
    <w:uiPriority w:val="0"/>
    <w:pPr>
      <w:spacing w:after="120"/>
      <w:ind w:left="1440" w:right="1440"/>
    </w:pPr>
    <w:rPr>
      <w:rFonts w:ascii="Calibri" w:hAnsi="Calibri"/>
    </w:rPr>
  </w:style>
  <w:style w:type="paragraph" w:customStyle="1" w:styleId="24">
    <w:name w:val="索引 51"/>
    <w:basedOn w:val="14"/>
    <w:next w:val="14"/>
    <w:qFormat/>
    <w:uiPriority w:val="0"/>
    <w:pPr>
      <w:ind w:left="798"/>
      <w:jc w:val="left"/>
    </w:pPr>
    <w:rPr>
      <w:rFonts w:ascii="Calibri" w:hAnsi="Calibri"/>
    </w:rPr>
  </w:style>
  <w:style w:type="paragraph" w:customStyle="1" w:styleId="25">
    <w:name w:val="正文112"/>
    <w:next w:val="2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6">
    <w:name w:val="页脚1"/>
    <w:basedOn w:val="1"/>
    <w:qFormat/>
    <w:uiPriority w:val="99"/>
    <w:pPr>
      <w:tabs>
        <w:tab w:val="center" w:pos="4153"/>
        <w:tab w:val="right" w:pos="8306"/>
      </w:tabs>
      <w:jc w:val="left"/>
    </w:pPr>
    <w:rPr>
      <w:sz w:val="18"/>
      <w:szCs w:val="18"/>
    </w:rPr>
  </w:style>
  <w:style w:type="paragraph" w:customStyle="1" w:styleId="27">
    <w:name w:val="索引 41"/>
    <w:basedOn w:val="28"/>
    <w:next w:val="14"/>
    <w:qFormat/>
    <w:uiPriority w:val="0"/>
    <w:pPr>
      <w:spacing w:line="274" w:lineRule="auto"/>
      <w:ind w:left="600" w:firstLine="200"/>
    </w:pPr>
    <w:rPr>
      <w:rFonts w:ascii="Calibri" w:hAnsi="Calibri" w:eastAsia="仿宋_GB2312"/>
      <w:sz w:val="24"/>
    </w:rPr>
  </w:style>
  <w:style w:type="paragraph" w:customStyle="1" w:styleId="28">
    <w:name w:val="正文13"/>
    <w:next w:val="27"/>
    <w:qFormat/>
    <w:uiPriority w:val="0"/>
    <w:pPr>
      <w:widowControl w:val="0"/>
      <w:jc w:val="both"/>
    </w:pPr>
    <w:rPr>
      <w:rFonts w:hint="default" w:ascii="Times New Roman" w:hAnsi="Times New Roman" w:eastAsia="宋体" w:cs="Times New Roman"/>
      <w:sz w:val="21"/>
      <w:szCs w:val="24"/>
    </w:rPr>
  </w:style>
  <w:style w:type="paragraph" w:customStyle="1" w:styleId="29">
    <w:name w:val="Fließtext"/>
    <w:basedOn w:val="1"/>
    <w:qFormat/>
    <w:uiPriority w:val="99"/>
    <w:rPr>
      <w:rFonts w:ascii="Calibri" w:hAnsi="Calibri"/>
    </w:rPr>
  </w:style>
  <w:style w:type="paragraph" w:customStyle="1" w:styleId="30">
    <w:name w:val="HtmlNormal"/>
    <w:basedOn w:val="1"/>
    <w:qFormat/>
    <w:uiPriority w:val="0"/>
    <w:pPr>
      <w:spacing w:before="100" w:beforeAutospacing="1" w:after="100" w:afterAutospacing="1"/>
      <w:jc w:val="left"/>
    </w:pPr>
    <w:rPr>
      <w:rFonts w:ascii="宋体" w:hAnsi="宋体"/>
      <w:sz w:val="24"/>
    </w:rPr>
  </w:style>
  <w:style w:type="character" w:customStyle="1" w:styleId="31">
    <w:name w:val="NormalCharacter"/>
    <w:semiHidden/>
    <w:qFormat/>
    <w:uiPriority w:val="0"/>
    <w:rPr>
      <w:rFonts w:hint="default" w:ascii="Times New Roman" w:hAnsi="Times New Roman" w:eastAsia="宋体" w:cs="Times New Roman"/>
      <w:sz w:val="21"/>
      <w:szCs w:val="24"/>
    </w:rPr>
  </w:style>
  <w:style w:type="character" w:customStyle="1" w:styleId="32">
    <w:name w:val="15"/>
    <w:basedOn w:val="13"/>
    <w:qFormat/>
    <w:uiPriority w:val="0"/>
    <w:rPr>
      <w:rFonts w:hint="default" w:ascii="Times New Roman" w:hAnsi="Times New Roman" w:eastAsia="宋体" w:cs="Times New Roman"/>
      <w:sz w:val="21"/>
      <w:szCs w:val="21"/>
    </w:rPr>
  </w:style>
  <w:style w:type="paragraph" w:customStyle="1" w:styleId="33">
    <w:name w:val="表格正文"/>
    <w:basedOn w:val="1"/>
    <w:qFormat/>
    <w:uiPriority w:val="99"/>
    <w:pPr>
      <w:spacing w:line="360" w:lineRule="auto"/>
      <w:jc w:val="left"/>
    </w:pPr>
    <w:rPr>
      <w:rFonts w:ascii="Arial" w:hAnsi="Arial" w:eastAsia="宋体" w:cs="宋体"/>
      <w:sz w:val="24"/>
      <w:szCs w:val="20"/>
    </w:rPr>
  </w:style>
  <w:style w:type="paragraph" w:styleId="34">
    <w:name w:val="List Paragraph"/>
    <w:basedOn w:val="1"/>
    <w:qFormat/>
    <w:uiPriority w:val="34"/>
    <w:pPr>
      <w:ind w:left="720"/>
      <w:contextualSpacing/>
    </w:pPr>
  </w:style>
  <w:style w:type="character" w:customStyle="1" w:styleId="35">
    <w:name w:val="font11"/>
    <w:qFormat/>
    <w:uiPriority w:val="0"/>
    <w:rPr>
      <w:rFonts w:hint="eastAsia" w:ascii="宋体" w:hAnsi="宋体" w:eastAsia="宋体" w:cs="宋体"/>
      <w:b/>
      <w:bCs/>
      <w:color w:val="000000"/>
      <w:sz w:val="24"/>
      <w:szCs w:val="24"/>
      <w:u w:val="none"/>
    </w:rPr>
  </w:style>
  <w:style w:type="character" w:customStyle="1" w:styleId="36">
    <w:name w:val="font01"/>
    <w:qFormat/>
    <w:uiPriority w:val="0"/>
    <w:rPr>
      <w:rFonts w:hint="eastAsia" w:ascii="宋体" w:hAnsi="宋体" w:eastAsia="宋体" w:cs="宋体"/>
      <w:color w:val="000000"/>
      <w:sz w:val="24"/>
      <w:szCs w:val="24"/>
      <w:u w:val="none"/>
    </w:rPr>
  </w:style>
  <w:style w:type="paragraph" w:customStyle="1" w:styleId="37">
    <w:name w:val="首行缩进"/>
    <w:qFormat/>
    <w:uiPriority w:val="99"/>
    <w:pPr>
      <w:widowControl w:val="0"/>
      <w:ind w:firstLine="480" w:firstLineChars="200"/>
      <w:jc w:val="both"/>
    </w:pPr>
    <w:rPr>
      <w:rFonts w:asciiTheme="minorHAnsi" w:hAnsiTheme="minorHAnsi" w:eastAsiaTheme="minorEastAsia" w:cstheme="minorBidi"/>
      <w:kern w:val="2"/>
      <w:sz w:val="21"/>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2465</Words>
  <Characters>2784</Characters>
  <Lines>0</Lines>
  <Paragraphs>0</Paragraphs>
  <TotalTime>0</TotalTime>
  <ScaleCrop>false</ScaleCrop>
  <LinksUpToDate>false</LinksUpToDate>
  <CharactersWithSpaces>2791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2025-03-17T08:24:00Z</dcterms:created>
  <dc:creator>Administrator</dc:creator>
  <cp:lastModifiedBy>....</cp:lastModifiedBy>
  <dcterms:modified xsi:type="dcterms:W3CDTF">2025-05-07T07:00:41Z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eyJoZGlkIjoiOTIxMDk4Y2U1MWUyMzdlZmM2MWMwNzQ4ZGVkY2FiNzgiLCJ1c2VySWQiOiI3NDE1NzE4MzUifQ==</vt:lpwstr>
  </property>
  <property fmtid="{D5CDD505-2E9C-101B-9397-08002B2CF9AE}" pid="4" name="ICV">
    <vt:lpwstr>83768E8C03A54CEA9C8214007313026D_13</vt:lpwstr>
  </property>
</Properties>
</file>